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faite : décision de JF du 2026-10-06 (décision 6).]</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r>
        <w:rPr>
          <w:color w:val="1F4E79"/>
        </w:rPr>
        <w:t xml:space="preserve"> A sixth control was declared after an exploratory ordination showed the samples of one station separating by fishing campaign, in a document committed before its own computation. (vi) Whether fishing campaign, which the models do not include within stations, could produce the category effects: at the five stations fished twice, hybrids were mostly sampled in the second campaign, so the principal model was refitted with permutations restricted within the 14 station × campaign blocks (station × year, the two 2014 fishing days at Pertuis kept separate), the share of category was re-estimated after these blocks, and the effect of campaign was tested in the parental species alone, with permutations within station × species blocks.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genotype-resolved host identities and campaign-prefixed host subject identifiers, without altering any accession, alias or sequence file, and the corrected state was verified against the archive (5,339 fields on 727 samples; Supplementary Note S2); host subject identifiers reused between years in the field records are disambiguated by the campaign prefix (Supplementary Note S3). Collection dates are given at day resolution for every station, the two 2014 fishing campaigns at Pertuis being dated separately (2014-07-07 and 2014-08-20).</w:t>
      </w:r>
    </w:p>
    <w:p>
      <w:pPr/>
      <w:r>
        <w:rPr>
          <w:i/>
          <w:color w:val="888888"/>
          <w:sz w:val="18"/>
        </w:rPr>
        <w:t>[ENA : MODIFY du 2026-10-06 (dates des deux pêches de Pertuis, 44 échantillons ; host subject id préfixé par la campagne, 727 échantillons) — reçu ena_deposit/receipt_pertuis_sujet_prod_20261006_111847.xml, success=true, accessions inchangées ; vérifié sur l'archive par JF le 2026-10-06 à 15:02 : 5 339 champs conformes sur 727 échantillons, aucun écart (ena_deposit/verification_cumulee_20261006_1502.txt). À retirer avant soumission.]</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In ordination space, the samples of the three stations carrying all three categories group by station rather than by category in every tissue (Supplementary Figure S4).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r>
        <w:rPr>
          <w:color w:val="1F4E79"/>
        </w:rPr>
        <w:t xml:space="preserve">Restricting permutations to the 14 station × campaign blocks (§8.12, control vi) left these detections unchanged in substance. The midgut on Jaccard remained significant in all three runs of both passes, and the caudal fin on weighted UniFrac in all three runs of pass 1. Of the 96 metric × tissue × run × pass strata, 46 were significant with station blocks and 52 with station × campaign blocks; the 2 lost were both on unweighted UniFrac in pass 2, with p moving from 0.042–0.045 to 0.065–0.068. The share of category fitted after the station × campaign blocks (median 1.46 % over the 96 strata) was that fitted after station (1.53 %). Fishing campaign nevertheless structured composition on its own: in the parental species alone, at the five stations fished twice, it accounted for 6.7–27.3 % of variance within station and species (p ≤ 0.039 in all 48 metric × tissue × run strata). </w:t>
      </w:r>
      <w:r>
        <w:rPr>
          <w:i/>
          <w:color w:val="888888"/>
          <w:sz w:val="18"/>
        </w:rPr>
        <w:t>[Contrôle (vi), campagne de pêche : plan docs/plan_controle_campagne_2026-10-06.md, scripts/66-controle_campagne.R (commit 118d09a), sorties results/controle_campagne/ ; déclaré après observation (ordinations exploratoires du script 65, figure candidate non retenue à ce jour). Témoin de montage : la référence à blocs de station reproduit les p et R² de results/recat dans les 96 strates. À retirer avant soumission.]</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S5.</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S5 (numérotée S3, puis S4,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Five limits bound these conclusions. Genotypic category is confounded with station, and the three stations carrying all three categories hold 65–74 individuals, so that category effects are estimated mostly between stations. Station itself includes, at the five stations fished twice, a difference between fishing campaigns that accounted for 7–27 % of compositional variance in the parental species alone; restricting permutations within campaigns left the category results unchanged (§8.12, control vi), and what this campaign effect consists of — year, date or conditions of capture and handling — is not resolved by these data.</w:t>
      </w:r>
      <w:r>
        <w:rPr>
          <w:color w:val="1F4E79"/>
        </w:rPr>
        <w:t xml:space="preserve"> Body size also differed between genotypic categories (mean total length 24.4 cm in </w:t>
      </w:r>
      <w:r>
        <w:rPr>
          <w:i/>
          <w:color w:val="1F4E79"/>
        </w:rPr>
        <w:t>C. nasus</w:t>
      </w:r>
      <w:r>
        <w:rPr>
          <w:color w:val="1F4E79"/>
        </w:rPr>
        <w:t xml:space="preserve">, 19.4 cm in hybrids and 16.0 cm in </w:t>
      </w:r>
      <w:r>
        <w:rPr>
          <w:i/>
          <w:color w:val="1F4E79"/>
        </w:rPr>
        <w:t>P. toxostoma</w:t>
      </w:r>
      <w:r>
        <w:rPr>
          <w:color w:val="1F4E79"/>
        </w:rPr>
        <w:t>; Kruskal–Wallis p = 0.004), and age was not estimated, so that category contrasts may include effects of size or age that this design cannot separate from those of ancestry.</w:t>
      </w:r>
      <w:r>
        <w:rPr>
          <w:color w:val="1F4E79"/>
        </w:rPr>
        <w:t xml:space="preserve">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retrait validé par JF le 2026-10-06.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