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Demande de compléments — Materials &amp; Methods</w:t>
      </w:r>
    </w:p>
    <w:p>
      <w:r>
        <w:rPr>
          <w:b w:val="0"/>
          <w:i/>
        </w:rPr>
        <w:t>Projet microbiome-hybrid (16S, hotu × toxostome). Informations de paillasse manquantes pour finaliser la section Matériel &amp; Méthodes du manuscrit.</w:t>
      </w:r>
    </w:p>
    <w:p>
      <w:r>
        <w:rPr>
          <w:b w:val="0"/>
          <w:i/>
        </w:rPr>
        <w:t>Le pipeline bioinformatique est complet et documenté ; les points ci-dessous ne peuvent venir que du cahier de laboratoire ou de la plateforme de séquençage.</w:t>
      </w:r>
    </w:p>
    <w:p>
      <w:pPr>
        <w:pStyle w:val="Heading1"/>
      </w:pPr>
      <w:r>
        <w:t>1 — Échantillonnage (§1 du M&amp;M)</w:t>
      </w:r>
    </w:p>
    <w:p>
      <w:pPr>
        <w:pStyle w:val="ListBullet"/>
      </w:pPr>
      <w:r>
        <w:rPr>
          <w:b w:val="0"/>
        </w:rPr>
        <w:t>Dates précises de collecte (par site et par année 2014 / 2015).</w:t>
      </w:r>
    </w:p>
    <w:p>
      <w:pPr>
        <w:pStyle w:val="ListBullet"/>
      </w:pPr>
      <w:r>
        <w:rPr>
          <w:b w:val="0"/>
        </w:rPr>
        <w:t>Coordonnées géographiques des 9 sites.</w:t>
      </w:r>
    </w:p>
    <w:p>
      <w:pPr>
        <w:pStyle w:val="ListBullet"/>
      </w:pPr>
      <w:r>
        <w:rPr>
          <w:b w:val="0"/>
        </w:rPr>
        <w:t>Méthode et autorisations : confirmer que la pêche électrique et les autorisations n° 2014-156-0001 et n° 2015-1426DDT605 (reprises du manuscrit d'origine) s'appliquent bien au lot Durance.</w:t>
      </w:r>
    </w:p>
    <w:p>
      <w:r>
        <w:rPr>
          <w:b w:val="0"/>
          <w:i/>
        </w:rPr>
        <w:t>Note : les effectifs séquencés sont connus (181 individus). Restent à statuer le rôle de Manosque et l'identité de Per — liés au génotypage en cours.</w:t>
      </w:r>
    </w:p>
    <w:p>
      <w:pPr>
        <w:pStyle w:val="Heading1"/>
      </w:pPr>
      <w:r>
        <w:t>2 — PCR et séquençage (§3 du M&amp;M)</w:t>
      </w:r>
    </w:p>
    <w:p>
      <w:pPr>
        <w:pStyle w:val="ListBullet"/>
      </w:pPr>
      <w:r>
        <w:rPr>
          <w:b w:val="0"/>
        </w:rPr>
        <w:t>Nombre exact de cycles PCR.</w:t>
      </w:r>
    </w:p>
    <w:p>
      <w:pPr>
        <w:pStyle w:val="ListBullet"/>
      </w:pPr>
      <w:r>
        <w:rPr>
          <w:b w:val="0"/>
        </w:rPr>
        <w:t>Polymérase utilisée (nom commercial et fournisseur).</w:t>
      </w:r>
    </w:p>
    <w:p>
      <w:pPr>
        <w:pStyle w:val="ListBullet"/>
      </w:pPr>
      <w:r>
        <w:rPr>
          <w:b w:val="0"/>
        </w:rPr>
        <w:t>Dates des trois runs MiSeq (durance1, durance2, durance3).</w:t>
      </w:r>
    </w:p>
    <w:p>
      <w:pPr>
        <w:pStyle w:val="ListBullet"/>
      </w:pPr>
      <w:r>
        <w:rPr>
          <w:b w:val="0"/>
        </w:rPr>
        <w:t>Taux de spike-in PhiX.</w:t>
      </w:r>
    </w:p>
    <w:p>
      <w:pPr>
        <w:pStyle w:val="Heading1"/>
      </w:pPr>
      <w:r>
        <w:t>3 — Contrôles : standard Zymo (§4 et §7 du M&amp;M) — POINT PRIORITAIRE</w:t>
      </w:r>
    </w:p>
    <w:p>
      <w:r>
        <w:rPr>
          <w:b/>
          <w:i w:val="0"/>
          <w:color w:val="C0392B"/>
        </w:rPr>
        <w:t>Référence catalogue ET numéro de lot exact du standard ZymoBIOMICS utilisé.</w:t>
      </w:r>
    </w:p>
    <w:p>
      <w:r>
        <w:rPr>
          <w:b w:val="0"/>
          <w:i w:val="0"/>
        </w:rPr>
        <w:t>Pourquoi c'est nécessaire — et pourquoi nos données ne peuvent pas y répondre :</w:t>
      </w:r>
    </w:p>
    <w:p>
      <w:r>
        <w:rPr>
          <w:b w:val="0"/>
          <w:i w:val="0"/>
        </w:rPr>
        <w:t>Zymo a modifié 5 souches de son standard à partir du lot ZRC190633. Il existe donc deux jeux de génomes de référence. Nous avons validé les mocks contre le jeu « ancien lot » (cohérent avec un séquençage 2014-2015) : les 8 espèces attendues sont retrouvées à 100 % d'identité, sans ASV parasite.</w:t>
      </w:r>
    </w:p>
    <w:p>
      <w:r>
        <w:rPr>
          <w:b w:val="0"/>
          <w:i w:val="0"/>
          <w:color w:val="1F4E79"/>
        </w:rPr>
        <w:t>Cependant, nous avons vérifié que ce résultat ne permet PAS de confirmer le lot : sur la région V4 amplifiée, les séquences des deux jeux de référence sont identiques pour les 8 espèces — y compris pour Enterococcus faecalis et Staphylococcus aureus, dont les 16S complets diffèrent pourtant entre lots. Le désaccord était donc impossible à détecter avec nos données ; seul le numéro de lot permet de verrouiller le jeu de souches cité dans le manuscrit.</w:t>
      </w:r>
    </w:p>
    <w:p>
      <w:pPr>
        <w:pStyle w:val="ListBullet"/>
      </w:pPr>
      <w:r>
        <w:rPr>
          <w:b w:val="0"/>
        </w:rPr>
        <w:t>Répartition précise des contrôles négatifs : combien de blancs d'extraction et combien de contrôles PCR (no-template) ont été préparés, et selon quel plan ? (Nous observons 4 blancs d'extraction — un par tissu — et 8 témoins PCR, chacun présent dans les 3 runs.)</w:t>
      </w:r>
    </w:p>
    <w:p>
      <w:pPr>
        <w:pStyle w:val="Heading1"/>
      </w:pPr>
      <w:r>
        <w:t>4 — Dépôt des données (§9 du M&amp;M)</w:t>
      </w:r>
    </w:p>
    <w:p>
      <w:pPr>
        <w:pStyle w:val="ListBullet"/>
      </w:pPr>
      <w:r>
        <w:rPr>
          <w:b w:val="0"/>
        </w:rPr>
        <w:t>Les lectures brutes ont-elles déjà été déposées (SRA / ENA) ? Si oui, numéro d'accession.</w:t>
      </w:r>
    </w:p>
    <w:p>
      <w:pPr>
        <w:pStyle w:val="ListBullet"/>
      </w:pPr>
      <w:r>
        <w:rPr>
          <w:b w:val="0"/>
        </w:rPr>
        <w:t>Si non : qui pilote le dépôt, et sous quel BioProject ?</w:t>
      </w:r>
    </w:p>
    <w:p>
      <w:pPr>
        <w:pStyle w:val="ListBullet"/>
      </w:pPr>
      <w:r>
        <w:rPr>
          <w:b w:val="0"/>
        </w:rPr>
        <w:t>Métadonnées au format MIxS : existent-elles déjà pour ce jeu ?</w:t>
      </w:r>
    </w:p>
    <w:p>
      <w:pPr>
        <w:pStyle w:val="Heading1"/>
      </w:pPr>
      <w:r>
        <w:t>Rappel — ce qui n'est PAS demandé ici</w:t>
      </w:r>
    </w:p>
    <w:p>
      <w:r>
        <w:rPr>
          <w:b w:val="0"/>
          <w:i/>
        </w:rPr>
        <w:t>Le génotypage / index hybride fait l'objet d'une demande séparée (fichier metadata/index_hybride_andre.csv, 181 individus, 132 à renseigner). Le mode d'application de la raréfaction est une décision d'analyse interne, pas une donnée de paillasse.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