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w:t>
      </w:r>
      <w:r>
        <w:rPr>
          <w:i w:val="0"/>
          <w:color w:val="1F4E79"/>
        </w:rPr>
        <w:t>1</w:t>
      </w:r>
      <w:r>
        <w:rPr>
          <w:i w:val="0"/>
          <w:color w:val="1F4E79"/>
        </w:rPr>
        <w:t>. Coordinates and collection dates are field records supplied by the collecting team; an earlier version of this dataset carried coordinates extrapolated from commune names, which have been replaced (see the note to Table S</w:t>
      </w:r>
      <w:r>
        <w:rPr>
          <w:i w:val="0"/>
          <w:color w:val="1F4E79"/>
        </w:rPr>
        <w:t>1</w:t>
      </w:r>
      <w:r>
        <w:rPr>
          <w:i w:val="0"/>
          <w:color w:val="1F4E79"/>
        </w:rPr>
        <w:t>).</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w:t>
      </w:r>
      <w:r>
        <w:rPr>
          <w:i w:val="0"/>
          <w:color w:val="1F4E79"/>
        </w:rPr>
        <w:t>2</w:t>
      </w:r>
      <w:r>
        <w:rPr>
          <w:i w:val="0"/>
          <w:color w:val="1F4E79"/>
        </w:rPr>
        <w:t>.</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w:t>
      </w:r>
      <w:r>
        <w:rPr>
          <w:color w:val="1F4E79"/>
        </w:rPr>
        <w:t>3</w:t>
      </w:r>
      <w:r>
        <w:t>.</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w:t>
      </w:r>
      <w:r>
        <w:rPr>
          <w:color w:val="1F4E79"/>
        </w:rPr>
        <w:t>4</w:t>
      </w:r>
      <w:r>
        <w:t>.</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 xml:space="preserve">The 16S V4 primers co-amplify the host mitochondrial 12S rRNA gene </w:t>
      </w:r>
      <w:r>
        <w:rPr>
          <w:b w:val="0"/>
          <w:i w:val="0"/>
          <w:color w:val="1F4E79"/>
        </w:rPr>
        <w:t>(host 12S and primer dimers: 14–15 % of reads per run; median 12 % per biological sample, range 0–99 %)</w:t>
      </w:r>
      <w:r>
        <w:rPr>
          <w:b w:val="0"/>
          <w:i w:val="0"/>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r>
        <w:rPr>
          <w:color w:val="1F4E79"/>
        </w:rPr>
        <w:t xml:space="preserve"> Convergence values are given in Supplementary Table S</w:t>
      </w:r>
      <w:r>
        <w:rPr>
          <w:color w:val="1F4E79"/>
        </w:rPr>
        <w:t>5</w:t>
      </w:r>
      <w:r>
        <w:rPr>
          <w:color w:val="1F4E79"/>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b w:val="0"/>
          <w:i w:val="0"/>
          <w:color w:val="1F4E79"/>
        </w:rPr>
        <w:t>in the caudal fin, in sequencing run durance1, 50 % of intermediate hybrids</w:t>
      </w:r>
      <w:r>
        <w:rPr>
          <w:b w:val="0"/>
          <w:i w:val="0"/>
          <w:color w:val="1F4E79"/>
        </w:rPr>
        <w:t xml:space="preserve">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w:t>
      </w:r>
      <w:r>
        <w:rPr>
          <w:b w:val="0"/>
          <w:i w:val="0"/>
          <w:color w:val="1F4E79"/>
        </w:rPr>
        <w:t>6</w:t>
      </w:r>
      <w:r>
        <w:rPr>
          <w:b w:val="0"/>
          <w:i w:val="0"/>
          <w:color w:val="1F4E79"/>
        </w:rPr>
        <w:t xml:space="preserve"> and Figure S1.</w:t>
      </w:r>
      <w:r>
        <w:rPr>
          <w:color w:val="1F4E79"/>
        </w:rPr>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w:t>
      </w:r>
      <w:r>
        <w:rPr>
          <w:i w:val="0"/>
          <w:color w:val="1F4E79"/>
        </w:rPr>
        <w:t>7</w:t>
      </w:r>
      <w:r>
        <w:rPr>
          <w:i w:val="0"/>
        </w:rPr>
        <w:t>.</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w:t>
      </w:r>
      <w:r>
        <w:rPr>
          <w:i w:val="0"/>
        </w:rPr>
        <w:t>1</w:t>
      </w:r>
      <w:r>
        <w:rPr>
          <w:i w:val="0"/>
        </w:rPr>
        <w:t>.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w:t>
      </w:r>
      <w:r>
        <w:rPr>
          <w:color w:val="1F4E79"/>
        </w:rPr>
        <w:t>3</w:t>
      </w:r>
      <w:r>
        <w:t xml:space="preserve">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w:t>
      </w:r>
      <w:r>
        <w:rPr>
          <w:i w:val="0"/>
        </w:rPr>
        <w:t>9</w:t>
      </w:r>
      <w:r>
        <w:rPr>
          <w:i w:val="0"/>
        </w:rPr>
        <w:t>.</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w:t>
      </w:r>
      <w:r>
        <w:rPr>
          <w:color w:val="1F4E79"/>
        </w:rPr>
        <w:t>10</w:t>
      </w:r>
      <w:r>
        <w:rPr>
          <w:color w:val="1F4E79"/>
        </w:rPr>
        <w:t xml:space="preserve">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