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t>Site codes, rivers, WGS84 coordinates, years of sampling and the number of individuals and libraries per site are given in Supplementary Table S1. Collection dates are recorded at year resolution.</w:t>
      </w:r>
    </w:p>
    <w:p>
      <w:pPr/>
      <w:r>
        <w:rPr>
          <w:i w:val="0"/>
        </w:rPr>
        <w:t>Individuals are counted per site and year of sampling, since the same station sampled in two years contributes distinct individuals to the design. Counting this way gives 181 individuals; collapsing years gives 156, because individual numbering restarts each year and identical numbers at one station are then merged. The two figures describe the same fish: 181 is the count used in the analyses, 156 the count obtained if the year is ignored. Supplementary Table S1 reports both.</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color w:val="888888"/>
          <w:sz w:val="18"/>
        </w:rPr>
        <w:t>[À COMPLÉTER : modèles statistiques — structure des effets aléatoires (séquençage niché dans la préparation de librairie, cf. §8.7), PERMANOVA et PERMDISP, méthode d'abondance différentielle, et contrastes le long du gradient de la zone hybride. Dépend de l'index hybride en cours de génotypage.]</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