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t>Table S1. Sampling sites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907"/>
          </w:tcPr>
          <w:p>
            <w:r/>
            <w:r>
              <w:rPr>
                <w:b/>
                <w:sz w:val="18"/>
              </w:rPr>
              <w:t>Site code</w:t>
            </w:r>
          </w:p>
        </w:tc>
        <w:tc>
          <w:tcPr>
            <w:tcW w:type="dxa" w:w="1020"/>
          </w:tcPr>
          <w:p>
            <w:r/>
            <w:r>
              <w:rPr>
                <w:b/>
                <w:sz w:val="18"/>
              </w:rPr>
              <w:t>River</w:t>
            </w:r>
          </w:p>
        </w:tc>
        <w:tc>
          <w:tcPr>
            <w:tcW w:type="dxa" w:w="2041"/>
          </w:tcPr>
          <w:p>
            <w:r/>
            <w:r>
              <w:rPr>
                <w:b/>
                <w:sz w:val="18"/>
              </w:rPr>
              <w:t>Commune</w:t>
            </w:r>
          </w:p>
        </w:tc>
        <w:tc>
          <w:tcPr>
            <w:tcW w:type="dxa" w:w="1247"/>
          </w:tcPr>
          <w:p>
            <w:r/>
            <w:r>
              <w:rPr>
                <w:b/>
                <w:sz w:val="18"/>
              </w:rPr>
              <w:t>Latitude (°N)</w:t>
            </w:r>
          </w:p>
        </w:tc>
        <w:tc>
          <w:tcPr>
            <w:tcW w:type="dxa" w:w="1247"/>
          </w:tcPr>
          <w:p>
            <w:r/>
            <w:r>
              <w:rPr>
                <w:b/>
                <w:sz w:val="18"/>
              </w:rPr>
              <w:t>Longitude (°E)</w:t>
            </w:r>
          </w:p>
        </w:tc>
        <w:tc>
          <w:tcPr>
            <w:tcW w:type="dxa" w:w="1077"/>
          </w:tcPr>
          <w:p>
            <w:r/>
            <w:r>
              <w:rPr>
                <w:b/>
                <w:sz w:val="18"/>
              </w:rPr>
              <w:t>Years</w:t>
            </w:r>
          </w:p>
        </w:tc>
        <w:tc>
          <w:tcPr>
            <w:tcW w:type="dxa" w:w="964"/>
          </w:tcPr>
          <w:p>
            <w:r>
              <w:t>Individuals (per site-year / year-collapsed)</w:t>
            </w:r>
            <w:r>
              <w:rPr>
                <w:b/>
                <w:sz w:val="18"/>
              </w:rPr>
              <w:t>Individuals</w:t>
            </w:r>
          </w:p>
        </w:tc>
        <w:tc>
          <w:tcPr>
            <w:tcW w:type="dxa" w:w="907"/>
          </w:tcPr>
          <w:p>
            <w:r/>
            <w:r>
              <w:rPr>
                <w:b/>
                <w:sz w:val="18"/>
              </w:rPr>
              <w:t>Libraries</w:t>
            </w:r>
          </w:p>
        </w:tc>
      </w:tr>
      <w:tr>
        <w:tc>
          <w:tcPr>
            <w:tcW w:type="dxa" w:w="907"/>
          </w:tcPr>
          <w:p>
            <w:r/>
            <w:r>
              <w:rPr>
                <w:sz w:val="18"/>
              </w:rPr>
              <w:t>Ain</w:t>
            </w:r>
          </w:p>
        </w:tc>
        <w:tc>
          <w:tcPr>
            <w:tcW w:type="dxa" w:w="1020"/>
          </w:tcPr>
          <w:p>
            <w:r/>
            <w:r>
              <w:rPr>
                <w:sz w:val="18"/>
              </w:rPr>
              <w:t>Ain</w:t>
            </w:r>
          </w:p>
        </w:tc>
        <w:tc>
          <w:tcPr>
            <w:tcW w:type="dxa" w:w="2041"/>
          </w:tcPr>
          <w:p>
            <w:r/>
            <w:r>
              <w:rPr>
                <w:sz w:val="18"/>
              </w:rPr>
              <w:t>Villieu-Loyes-Mollon</w:t>
            </w:r>
          </w:p>
        </w:tc>
        <w:tc>
          <w:tcPr>
            <w:tcW w:type="dxa" w:w="1247"/>
          </w:tcPr>
          <w:p>
            <w:r/>
            <w:r>
              <w:rPr>
                <w:sz w:val="18"/>
              </w:rPr>
              <w:t>45.906458</w:t>
            </w:r>
          </w:p>
        </w:tc>
        <w:tc>
          <w:tcPr>
            <w:tcW w:type="dxa" w:w="1247"/>
          </w:tcPr>
          <w:p>
            <w:r/>
            <w:r>
              <w:rPr>
                <w:sz w:val="18"/>
              </w:rPr>
              <w:t>5.233251</w:t>
            </w:r>
          </w:p>
        </w:tc>
        <w:tc>
          <w:tcPr>
            <w:tcW w:type="dxa" w:w="1077"/>
          </w:tcPr>
          <w:p>
            <w:r/>
            <w:r>
              <w:rPr>
                <w:sz w:val="18"/>
              </w:rPr>
              <w:t>2014</w:t>
            </w:r>
          </w:p>
        </w:tc>
        <w:tc>
          <w:tcPr>
            <w:tcW w:type="dxa" w:w="964"/>
          </w:tcPr>
          <w:p>
            <w:r>
              <w:t>14</w:t>
            </w:r>
            <w:r>
              <w:rPr>
                <w:sz w:val="18"/>
              </w:rPr>
            </w:r>
          </w:p>
        </w:tc>
        <w:tc>
          <w:tcPr>
            <w:tcW w:type="dxa" w:w="907"/>
          </w:tcPr>
          <w:p>
            <w:r/>
            <w:r>
              <w:rPr>
                <w:sz w:val="18"/>
              </w:rPr>
              <w:t>55</w:t>
            </w:r>
          </w:p>
        </w:tc>
      </w:tr>
      <w:tr>
        <w:tc>
          <w:tcPr>
            <w:tcW w:type="dxa" w:w="907"/>
          </w:tcPr>
          <w:p>
            <w:r/>
            <w:r>
              <w:rPr>
                <w:sz w:val="18"/>
              </w:rPr>
              <w:t>Avi</w:t>
            </w:r>
          </w:p>
        </w:tc>
        <w:tc>
          <w:tcPr>
            <w:tcW w:type="dxa" w:w="1020"/>
          </w:tcPr>
          <w:p>
            <w:r/>
            <w:r>
              <w:rPr>
                <w:sz w:val="18"/>
              </w:rPr>
              <w:t>Durance</w:t>
            </w:r>
          </w:p>
        </w:tc>
        <w:tc>
          <w:tcPr>
            <w:tcW w:type="dxa" w:w="2041"/>
          </w:tcPr>
          <w:p>
            <w:r/>
            <w:r>
              <w:rPr>
                <w:sz w:val="18"/>
              </w:rPr>
              <w:t>Avignon</w:t>
            </w:r>
          </w:p>
        </w:tc>
        <w:tc>
          <w:tcPr>
            <w:tcW w:type="dxa" w:w="1247"/>
          </w:tcPr>
          <w:p>
            <w:r/>
            <w:r>
              <w:rPr>
                <w:sz w:val="18"/>
              </w:rPr>
              <w:t>43.912848</w:t>
            </w:r>
          </w:p>
        </w:tc>
        <w:tc>
          <w:tcPr>
            <w:tcW w:type="dxa" w:w="1247"/>
          </w:tcPr>
          <w:p>
            <w:r/>
            <w:r>
              <w:rPr>
                <w:sz w:val="18"/>
              </w:rPr>
              <w:t>4.817756</w:t>
            </w:r>
          </w:p>
        </w:tc>
        <w:tc>
          <w:tcPr>
            <w:tcW w:type="dxa" w:w="1077"/>
          </w:tcPr>
          <w:p>
            <w:r/>
            <w:r>
              <w:rPr>
                <w:sz w:val="18"/>
              </w:rPr>
              <w:t>2014, 2015</w:t>
            </w:r>
          </w:p>
        </w:tc>
        <w:tc>
          <w:tcPr>
            <w:tcW w:type="dxa" w:w="964"/>
          </w:tcPr>
          <w:p>
            <w:r>
              <w:t>24 / 16</w:t>
            </w:r>
            <w:r>
              <w:rPr>
                <w:sz w:val="18"/>
              </w:rPr>
            </w:r>
          </w:p>
        </w:tc>
        <w:tc>
          <w:tcPr>
            <w:tcW w:type="dxa" w:w="907"/>
          </w:tcPr>
          <w:p>
            <w:r/>
            <w:r>
              <w:rPr>
                <w:sz w:val="18"/>
              </w:rPr>
              <w:t>96</w:t>
            </w:r>
          </w:p>
        </w:tc>
      </w:tr>
      <w:tr>
        <w:tc>
          <w:tcPr>
            <w:tcW w:type="dxa" w:w="907"/>
          </w:tcPr>
          <w:p>
            <w:r/>
            <w:r>
              <w:rPr>
                <w:sz w:val="18"/>
              </w:rPr>
              <w:t>Bau</w:t>
            </w:r>
          </w:p>
        </w:tc>
        <w:tc>
          <w:tcPr>
            <w:tcW w:type="dxa" w:w="1020"/>
          </w:tcPr>
          <w:p>
            <w:r/>
            <w:r>
              <w:rPr>
                <w:sz w:val="18"/>
              </w:rPr>
              <w:t>Ardèche</w:t>
            </w:r>
          </w:p>
        </w:tc>
        <w:tc>
          <w:tcPr>
            <w:tcW w:type="dxa" w:w="2041"/>
          </w:tcPr>
          <w:p>
            <w:r/>
            <w:r>
              <w:rPr>
                <w:sz w:val="18"/>
              </w:rPr>
              <w:t>Sanilhac</w:t>
            </w:r>
          </w:p>
        </w:tc>
        <w:tc>
          <w:tcPr>
            <w:tcW w:type="dxa" w:w="1247"/>
          </w:tcPr>
          <w:p>
            <w:r/>
            <w:r>
              <w:rPr>
                <w:sz w:val="18"/>
              </w:rPr>
              <w:t>44.523904</w:t>
            </w:r>
          </w:p>
        </w:tc>
        <w:tc>
          <w:tcPr>
            <w:tcW w:type="dxa" w:w="1247"/>
          </w:tcPr>
          <w:p>
            <w:r/>
            <w:r>
              <w:rPr>
                <w:sz w:val="18"/>
              </w:rPr>
              <w:t>4.196789</w:t>
            </w:r>
          </w:p>
        </w:tc>
        <w:tc>
          <w:tcPr>
            <w:tcW w:type="dxa" w:w="1077"/>
          </w:tcPr>
          <w:p>
            <w:r/>
            <w:r>
              <w:rPr>
                <w:sz w:val="18"/>
              </w:rPr>
              <w:t>2015</w:t>
            </w:r>
          </w:p>
        </w:tc>
        <w:tc>
          <w:tcPr>
            <w:tcW w:type="dxa" w:w="964"/>
          </w:tcPr>
          <w:p>
            <w:r>
              <w:t>25</w:t>
            </w:r>
            <w:r>
              <w:rPr>
                <w:sz w:val="18"/>
              </w:rPr>
            </w:r>
          </w:p>
        </w:tc>
        <w:tc>
          <w:tcPr>
            <w:tcW w:type="dxa" w:w="907"/>
          </w:tcPr>
          <w:p>
            <w:r/>
            <w:r>
              <w:rPr>
                <w:sz w:val="18"/>
              </w:rPr>
              <w:t>100</w:t>
            </w:r>
          </w:p>
        </w:tc>
      </w:tr>
      <w:tr>
        <w:tc>
          <w:tcPr>
            <w:tcW w:type="dxa" w:w="907"/>
          </w:tcPr>
          <w:p>
            <w:r/>
            <w:r>
              <w:rPr>
                <w:sz w:val="18"/>
              </w:rPr>
              <w:t>Bue</w:t>
            </w:r>
          </w:p>
        </w:tc>
        <w:tc>
          <w:tcPr>
            <w:tcW w:type="dxa" w:w="1020"/>
          </w:tcPr>
          <w:p>
            <w:r/>
            <w:r>
              <w:rPr>
                <w:sz w:val="18"/>
              </w:rPr>
              <w:t>Durance</w:t>
            </w:r>
          </w:p>
        </w:tc>
        <w:tc>
          <w:tcPr>
            <w:tcW w:type="dxa" w:w="2041"/>
          </w:tcPr>
          <w:p>
            <w:r/>
            <w:r>
              <w:rPr>
                <w:sz w:val="18"/>
              </w:rPr>
              <w:t>Laragne-Montéglin</w:t>
            </w:r>
          </w:p>
        </w:tc>
        <w:tc>
          <w:tcPr>
            <w:tcW w:type="dxa" w:w="1247"/>
          </w:tcPr>
          <w:p>
            <w:r/>
            <w:r>
              <w:rPr>
                <w:sz w:val="18"/>
              </w:rPr>
              <w:t>44.308322</w:t>
            </w:r>
          </w:p>
        </w:tc>
        <w:tc>
          <w:tcPr>
            <w:tcW w:type="dxa" w:w="1247"/>
          </w:tcPr>
          <w:p>
            <w:r/>
            <w:r>
              <w:rPr>
                <w:sz w:val="18"/>
              </w:rPr>
              <w:t>5.823657</w:t>
            </w:r>
          </w:p>
        </w:tc>
        <w:tc>
          <w:tcPr>
            <w:tcW w:type="dxa" w:w="1077"/>
          </w:tcPr>
          <w:p>
            <w:r/>
            <w:r>
              <w:rPr>
                <w:sz w:val="18"/>
              </w:rPr>
              <w:t>2014, 2015</w:t>
            </w:r>
          </w:p>
        </w:tc>
        <w:tc>
          <w:tcPr>
            <w:tcW w:type="dxa" w:w="964"/>
          </w:tcPr>
          <w:p>
            <w:r>
              <w:t>35 / 19</w:t>
            </w:r>
            <w:r>
              <w:rPr>
                <w:sz w:val="18"/>
              </w:rPr>
            </w:r>
          </w:p>
        </w:tc>
        <w:tc>
          <w:tcPr>
            <w:tcW w:type="dxa" w:w="907"/>
          </w:tcPr>
          <w:p>
            <w:r/>
            <w:r>
              <w:rPr>
                <w:sz w:val="18"/>
              </w:rPr>
              <w:t>140</w:t>
            </w:r>
          </w:p>
        </w:tc>
      </w:tr>
      <w:tr>
        <w:tc>
          <w:tcPr>
            <w:tcW w:type="dxa" w:w="907"/>
          </w:tcPr>
          <w:p>
            <w:r/>
            <w:r>
              <w:rPr>
                <w:sz w:val="18"/>
              </w:rPr>
              <w:t>Caa</w:t>
            </w:r>
          </w:p>
        </w:tc>
        <w:tc>
          <w:tcPr>
            <w:tcW w:type="dxa" w:w="1020"/>
          </w:tcPr>
          <w:p>
            <w:r/>
            <w:r>
              <w:rPr>
                <w:sz w:val="18"/>
              </w:rPr>
              <w:t>Durance</w:t>
            </w:r>
          </w:p>
        </w:tc>
        <w:tc>
          <w:tcPr>
            <w:tcW w:type="dxa" w:w="2041"/>
          </w:tcPr>
          <w:p>
            <w:r/>
            <w:r>
              <w:rPr>
                <w:sz w:val="18"/>
              </w:rPr>
              <w:t>Le Puy-Sainte-Réparade</w:t>
            </w:r>
          </w:p>
        </w:tc>
        <w:tc>
          <w:tcPr>
            <w:tcW w:type="dxa" w:w="1247"/>
          </w:tcPr>
          <w:p>
            <w:r/>
            <w:r>
              <w:rPr>
                <w:sz w:val="18"/>
              </w:rPr>
              <w:t>43.660840</w:t>
            </w:r>
          </w:p>
        </w:tc>
        <w:tc>
          <w:tcPr>
            <w:tcW w:type="dxa" w:w="1247"/>
          </w:tcPr>
          <w:p>
            <w:r/>
            <w:r>
              <w:rPr>
                <w:sz w:val="18"/>
              </w:rPr>
              <w:t>5.417827</w:t>
            </w:r>
          </w:p>
        </w:tc>
        <w:tc>
          <w:tcPr>
            <w:tcW w:type="dxa" w:w="1077"/>
          </w:tcPr>
          <w:p>
            <w:r/>
            <w:r>
              <w:rPr>
                <w:sz w:val="18"/>
              </w:rPr>
              <w:t>2015</w:t>
            </w:r>
          </w:p>
        </w:tc>
        <w:tc>
          <w:tcPr>
            <w:tcW w:type="dxa" w:w="964"/>
          </w:tcPr>
          <w:p>
            <w:r>
              <w:t>20</w:t>
            </w:r>
            <w:r>
              <w:rPr>
                <w:sz w:val="18"/>
              </w:rPr>
            </w:r>
          </w:p>
        </w:tc>
        <w:tc>
          <w:tcPr>
            <w:tcW w:type="dxa" w:w="907"/>
          </w:tcPr>
          <w:p>
            <w:r/>
            <w:r>
              <w:rPr>
                <w:sz w:val="18"/>
              </w:rPr>
              <w:t>80</w:t>
            </w:r>
          </w:p>
        </w:tc>
      </w:tr>
      <w:tr>
        <w:tc>
          <w:tcPr>
            <w:tcW w:type="dxa" w:w="907"/>
          </w:tcPr>
          <w:p>
            <w:r/>
            <w:r>
              <w:rPr>
                <w:sz w:val="18"/>
              </w:rPr>
              <w:t>Cab</w:t>
            </w:r>
          </w:p>
        </w:tc>
        <w:tc>
          <w:tcPr>
            <w:tcW w:type="dxa" w:w="1020"/>
          </w:tcPr>
          <w:p>
            <w:r/>
            <w:r>
              <w:rPr>
                <w:sz w:val="18"/>
              </w:rPr>
              <w:t>Ain</w:t>
            </w:r>
          </w:p>
        </w:tc>
        <w:tc>
          <w:tcPr>
            <w:tcW w:type="dxa" w:w="2041"/>
          </w:tcPr>
          <w:p>
            <w:r/>
            <w:r>
              <w:rPr>
                <w:sz w:val="18"/>
              </w:rPr>
              <w:t>Villieu-Loyes-Mollon</w:t>
            </w:r>
          </w:p>
        </w:tc>
        <w:tc>
          <w:tcPr>
            <w:tcW w:type="dxa" w:w="1247"/>
          </w:tcPr>
          <w:p>
            <w:r/>
            <w:r>
              <w:rPr>
                <w:sz w:val="18"/>
              </w:rPr>
              <w:t>45.906458</w:t>
            </w:r>
          </w:p>
        </w:tc>
        <w:tc>
          <w:tcPr>
            <w:tcW w:type="dxa" w:w="1247"/>
          </w:tcPr>
          <w:p>
            <w:r/>
            <w:r>
              <w:rPr>
                <w:sz w:val="18"/>
              </w:rPr>
              <w:t>5.233251</w:t>
            </w:r>
          </w:p>
        </w:tc>
        <w:tc>
          <w:tcPr>
            <w:tcW w:type="dxa" w:w="1077"/>
          </w:tcPr>
          <w:p>
            <w:r/>
            <w:r>
              <w:rPr>
                <w:sz w:val="18"/>
              </w:rPr>
              <w:t>2015</w:t>
            </w:r>
          </w:p>
        </w:tc>
        <w:tc>
          <w:tcPr>
            <w:tcW w:type="dxa" w:w="964"/>
          </w:tcPr>
          <w:p>
            <w:r>
              <w:t>19</w:t>
            </w:r>
            <w:r>
              <w:rPr>
                <w:sz w:val="18"/>
              </w:rPr>
            </w:r>
          </w:p>
        </w:tc>
        <w:tc>
          <w:tcPr>
            <w:tcW w:type="dxa" w:w="907"/>
          </w:tcPr>
          <w:p>
            <w:r/>
            <w:r>
              <w:rPr>
                <w:sz w:val="18"/>
              </w:rPr>
              <w:t>78</w:t>
            </w:r>
          </w:p>
        </w:tc>
      </w:tr>
      <w:tr>
        <w:tc>
          <w:tcPr>
            <w:tcW w:type="dxa" w:w="907"/>
          </w:tcPr>
          <w:p>
            <w:r/>
            <w:r>
              <w:rPr>
                <w:sz w:val="18"/>
              </w:rPr>
              <w:t>Jus</w:t>
            </w:r>
          </w:p>
        </w:tc>
        <w:tc>
          <w:tcPr>
            <w:tcW w:type="dxa" w:w="1020"/>
          </w:tcPr>
          <w:p>
            <w:r/>
            <w:r>
              <w:rPr>
                <w:sz w:val="18"/>
              </w:rPr>
              <w:t>Ardèche</w:t>
            </w:r>
          </w:p>
        </w:tc>
        <w:tc>
          <w:tcPr>
            <w:tcW w:type="dxa" w:w="2041"/>
          </w:tcPr>
          <w:p>
            <w:r/>
            <w:r>
              <w:rPr>
                <w:sz w:val="18"/>
              </w:rPr>
              <w:t>Saint-Just-d'Ardèche</w:t>
            </w:r>
          </w:p>
        </w:tc>
        <w:tc>
          <w:tcPr>
            <w:tcW w:type="dxa" w:w="1247"/>
          </w:tcPr>
          <w:p>
            <w:r/>
            <w:r>
              <w:rPr>
                <w:sz w:val="18"/>
              </w:rPr>
              <w:t>44.286334</w:t>
            </w:r>
          </w:p>
        </w:tc>
        <w:tc>
          <w:tcPr>
            <w:tcW w:type="dxa" w:w="1247"/>
          </w:tcPr>
          <w:p>
            <w:r/>
            <w:r>
              <w:rPr>
                <w:sz w:val="18"/>
              </w:rPr>
              <w:t>4.611151</w:t>
            </w:r>
          </w:p>
        </w:tc>
        <w:tc>
          <w:tcPr>
            <w:tcW w:type="dxa" w:w="1077"/>
          </w:tcPr>
          <w:p>
            <w:r/>
            <w:r>
              <w:rPr>
                <w:sz w:val="18"/>
              </w:rPr>
              <w:t>2015</w:t>
            </w:r>
          </w:p>
        </w:tc>
        <w:tc>
          <w:tcPr>
            <w:tcW w:type="dxa" w:w="964"/>
          </w:tcPr>
          <w:p>
            <w:r>
              <w:t>19</w:t>
            </w:r>
            <w:r>
              <w:rPr>
                <w:sz w:val="18"/>
              </w:rPr>
            </w:r>
          </w:p>
        </w:tc>
        <w:tc>
          <w:tcPr>
            <w:tcW w:type="dxa" w:w="907"/>
          </w:tcPr>
          <w:p>
            <w:r/>
            <w:r>
              <w:rPr>
                <w:sz w:val="18"/>
              </w:rPr>
              <w:t>76</w:t>
            </w:r>
          </w:p>
        </w:tc>
      </w:tr>
      <w:tr>
        <w:tc>
          <w:tcPr>
            <w:tcW w:type="dxa" w:w="907"/>
          </w:tcPr>
          <w:p>
            <w:r/>
            <w:r>
              <w:rPr>
                <w:sz w:val="18"/>
              </w:rPr>
              <w:t>Man</w:t>
            </w:r>
          </w:p>
        </w:tc>
        <w:tc>
          <w:tcPr>
            <w:tcW w:type="dxa" w:w="1020"/>
          </w:tcPr>
          <w:p>
            <w:r/>
            <w:r>
              <w:rPr>
                <w:sz w:val="18"/>
              </w:rPr>
              <w:t>Durance</w:t>
            </w:r>
          </w:p>
        </w:tc>
        <w:tc>
          <w:tcPr>
            <w:tcW w:type="dxa" w:w="2041"/>
          </w:tcPr>
          <w:p>
            <w:r/>
            <w:r>
              <w:rPr>
                <w:sz w:val="18"/>
              </w:rPr>
              <w:t>Manosque</w:t>
            </w:r>
          </w:p>
        </w:tc>
        <w:tc>
          <w:tcPr>
            <w:tcW w:type="dxa" w:w="1247"/>
          </w:tcPr>
          <w:p>
            <w:r/>
            <w:r>
              <w:rPr>
                <w:sz w:val="18"/>
              </w:rPr>
              <w:t>43.809710</w:t>
            </w:r>
          </w:p>
        </w:tc>
        <w:tc>
          <w:tcPr>
            <w:tcW w:type="dxa" w:w="1247"/>
          </w:tcPr>
          <w:p>
            <w:r/>
            <w:r>
              <w:rPr>
                <w:sz w:val="18"/>
              </w:rPr>
              <w:t>5.828565</w:t>
            </w:r>
          </w:p>
        </w:tc>
        <w:tc>
          <w:tcPr>
            <w:tcW w:type="dxa" w:w="1077"/>
          </w:tcPr>
          <w:p>
            <w:r/>
            <w:r>
              <w:rPr>
                <w:sz w:val="18"/>
              </w:rPr>
              <w:t>2014</w:t>
            </w:r>
          </w:p>
        </w:tc>
        <w:tc>
          <w:tcPr>
            <w:tcW w:type="dxa" w:w="964"/>
          </w:tcPr>
          <w:p>
            <w:r>
              <w:t>15</w:t>
            </w:r>
            <w:r>
              <w:rPr>
                <w:sz w:val="18"/>
              </w:rPr>
            </w:r>
          </w:p>
        </w:tc>
        <w:tc>
          <w:tcPr>
            <w:tcW w:type="dxa" w:w="907"/>
          </w:tcPr>
          <w:p>
            <w:r/>
            <w:r>
              <w:rPr>
                <w:sz w:val="18"/>
              </w:rPr>
              <w:t>60</w:t>
            </w:r>
          </w:p>
        </w:tc>
      </w:tr>
      <w:tr>
        <w:tc>
          <w:tcPr>
            <w:tcW w:type="dxa" w:w="907"/>
          </w:tcPr>
          <w:p>
            <w:r/>
            <w:r>
              <w:rPr>
                <w:sz w:val="18"/>
              </w:rPr>
              <w:t>Per</w:t>
            </w:r>
          </w:p>
        </w:tc>
        <w:tc>
          <w:tcPr>
            <w:tcW w:type="dxa" w:w="1020"/>
          </w:tcPr>
          <w:p>
            <w:r/>
            <w:r>
              <w:rPr>
                <w:sz w:val="18"/>
              </w:rPr>
              <w:t>Durance</w:t>
            </w:r>
          </w:p>
        </w:tc>
        <w:tc>
          <w:tcPr>
            <w:tcW w:type="dxa" w:w="2041"/>
          </w:tcPr>
          <w:p>
            <w:r/>
            <w:r>
              <w:rPr>
                <w:sz w:val="18"/>
              </w:rPr>
              <w:t>Pertuis</w:t>
            </w:r>
          </w:p>
        </w:tc>
        <w:tc>
          <w:tcPr>
            <w:tcW w:type="dxa" w:w="1247"/>
          </w:tcPr>
          <w:p>
            <w:r/>
            <w:r>
              <w:rPr>
                <w:sz w:val="18"/>
              </w:rPr>
              <w:t>43.667517</w:t>
            </w:r>
          </w:p>
        </w:tc>
        <w:tc>
          <w:tcPr>
            <w:tcW w:type="dxa" w:w="1247"/>
          </w:tcPr>
          <w:p>
            <w:r/>
            <w:r>
              <w:rPr>
                <w:sz w:val="18"/>
              </w:rPr>
              <w:t>5.497149</w:t>
            </w:r>
          </w:p>
        </w:tc>
        <w:tc>
          <w:tcPr>
            <w:tcW w:type="dxa" w:w="1077"/>
          </w:tcPr>
          <w:p>
            <w:r/>
            <w:r>
              <w:rPr>
                <w:sz w:val="18"/>
              </w:rPr>
              <w:t>2014, 2015</w:t>
            </w:r>
          </w:p>
        </w:tc>
        <w:tc>
          <w:tcPr>
            <w:tcW w:type="dxa" w:w="964"/>
          </w:tcPr>
          <w:p>
            <w:r>
              <w:t>10 / 9</w:t>
            </w:r>
            <w:r>
              <w:rPr>
                <w:sz w:val="18"/>
              </w:rPr>
            </w:r>
          </w:p>
        </w:tc>
        <w:tc>
          <w:tcPr>
            <w:tcW w:type="dxa" w:w="907"/>
          </w:tcPr>
          <w:p>
            <w:r/>
            <w:r>
              <w:rPr>
                <w:sz w:val="18"/>
              </w:rPr>
              <w:t>44</w:t>
            </w:r>
          </w:p>
        </w:tc>
      </w:tr>
      <w:tr>
        <w:tc>
          <w:tcPr>
            <w:tcW w:type="dxa" w:w="907"/>
          </w:tcPr>
          <w:p>
            <w:r/>
            <w:r>
              <w:rPr>
                <w:sz w:val="18"/>
              </w:rPr>
              <w:t>Total</w:t>
            </w:r>
          </w:p>
        </w:tc>
        <w:tc>
          <w:tcPr>
            <w:tcW w:type="dxa" w:w="1020"/>
          </w:tcPr>
          <w:p>
            <w:r/>
            <w:r>
              <w:rPr>
                <w:sz w:val="18"/>
              </w:rPr>
            </w:r>
          </w:p>
        </w:tc>
        <w:tc>
          <w:tcPr>
            <w:tcW w:type="dxa" w:w="2041"/>
          </w:tcPr>
          <w:p>
            <w:r/>
            <w:r>
              <w:rPr>
                <w:sz w:val="18"/>
              </w:rPr>
            </w:r>
          </w:p>
        </w:tc>
        <w:tc>
          <w:tcPr>
            <w:tcW w:type="dxa" w:w="1247"/>
          </w:tcPr>
          <w:p>
            <w:r/>
            <w:r>
              <w:rPr>
                <w:sz w:val="18"/>
              </w:rPr>
            </w:r>
          </w:p>
        </w:tc>
        <w:tc>
          <w:tcPr>
            <w:tcW w:type="dxa" w:w="1247"/>
          </w:tcPr>
          <w:p>
            <w:r/>
            <w:r>
              <w:rPr>
                <w:sz w:val="18"/>
              </w:rPr>
            </w:r>
          </w:p>
        </w:tc>
        <w:tc>
          <w:tcPr>
            <w:tcW w:type="dxa" w:w="1077"/>
          </w:tcPr>
          <w:p>
            <w:r/>
            <w:r>
              <w:rPr>
                <w:sz w:val="18"/>
              </w:rPr>
            </w:r>
          </w:p>
        </w:tc>
        <w:tc>
          <w:tcPr>
            <w:tcW w:type="dxa" w:w="964"/>
          </w:tcPr>
          <w:p>
            <w:r>
              <w:t>181 / 156</w:t>
            </w:r>
            <w:r>
              <w:rPr>
                <w:sz w:val="18"/>
              </w:rPr>
            </w:r>
          </w:p>
        </w:tc>
        <w:tc>
          <w:tcPr>
            <w:tcW w:type="dxa" w:w="907"/>
          </w:tcPr>
          <w:p>
            <w:r/>
            <w:r>
              <w:rPr>
                <w:sz w:val="18"/>
              </w:rPr>
              <w:t>729</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t>Individual counts. Individuals are counted per site and year of sampling, because individual numbering restarts each year and the same station sampled in two years contributes distinct fish to the design. This gives 181 individuals across the nine site codes; collapsing years merges same-numbered fish from different years and gives 156. Both counts describe the same deposited samples; 181 is the figure used in the analyses. The two sites affected are Avi (24 vs 16) and Bue (35 vs 19), both sampled in 2014 and 2015.</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by nearest-neighbour matching of community composition between replicates; no reciprocal mismatch was observed (0 of 136 discordant pairs), excluding a labelling error.</w:t>
      </w:r>
      <w:r>
        <w:rPr>
          <w:i/>
          <w:color w:val="1F4E79"/>
        </w:rPr>
        <w:t xml:space="preserve"> [À TRACER : ce contrôle d'assignation échantillon–fichier (appariement par plus proche voisin, 0/136 paires discordantes) provient d'une autre session ; aucun script ni fichier de résultat correspondant n'a été trouvé dans le dépôt (scripts/ et results/). À reproduire et versionner avant soumission, ou à retirer.]</w:t>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