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 xml:space="preserve">Raw sequence data: European Nucleotide Archive accession PRJEB124417. Table numbering follows the order of first citation </w:t>
      </w:r>
      <w:r>
        <w:rPr>
          <w:i/>
          <w:color w:val="1F4E79"/>
          <w:sz w:val="18"/>
        </w:rPr>
        <w:t>in the main text.</w:t>
      </w:r>
    </w:p>
    <w:p>
      <w:pPr>
        <w:pStyle w:val="Heading1"/>
      </w:pPr>
      <w:r/>
      <w:r>
        <w:rPr>
          <w:b/>
        </w:rPr>
        <w:t>Table S</w:t>
      </w:r>
      <w:r>
        <w:rPr>
          <w:b/>
        </w:rPr>
        <w:t>1</w:t>
      </w:r>
      <w:r>
        <w:rPr>
          <w:b/>
        </w:rPr>
        <w:t>.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w:t>
      </w:r>
      <w:r>
        <w:rPr>
          <w:color w:val="1F4E79"/>
        </w:rPr>
        <w:t>4</w:t>
      </w:r>
      <w:r>
        <w:t xml:space="preserve">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w:t>
      </w:r>
      <w:r>
        <w:rPr>
          <w:i w:val="0"/>
          <w:color w:val="1F4E79"/>
        </w:rPr>
        <w:t>2</w:t>
      </w:r>
      <w:r>
        <w:rPr>
          <w:i w:val="0"/>
          <w:color w:val="1F4E79"/>
        </w:rPr>
        <w:t>. Individual genotypes</w:t>
      </w:r>
    </w:p>
    <w:p>
      <w:r>
        <w:rPr>
          <w:i w:val="0"/>
          <w:color w:val="1F4E79"/>
        </w:rPr>
        <w:t>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TL: total length.</w:t>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[À confirmer : signification du code de sexe « X » (52 individus) — non documentée dans les fichiers du projet ; 17 individus sans sexe renseigné. Table insérée le 2026-10-03 sur décision de JF (question 2.9) ; les tables suivantes sont renumérotées S3 à S10.]</w:t>
      </w:r>
    </w:p>
    <w:p>
      <w:pPr>
        <w:pStyle w:val="Heading1"/>
      </w:pPr>
      <w:r>
        <w:t>Table S</w:t>
      </w:r>
      <w:r>
        <w:rPr>
          <w:color w:val="1F4E79"/>
        </w:rPr>
        <w:t>3</w:t>
      </w:r>
      <w:r>
        <w:t>.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§3 and §8.8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Pr>
        <w:pStyle w:val="Heading1"/>
      </w:pPr>
      <w:r>
        <w:rPr>
          <w:color w:val="1F4E79"/>
        </w:rPr>
        <w:t>Note S2. Sequence processing, quality control and repeated rarefaction</w:t>
      </w:r>
    </w:p>
    <w:p>
      <w:pPr/>
      <w:r>
        <w:rPr>
          <w:color w:val="1F4E79"/>
        </w:rPr>
        <w:t>This note gives in full the parameters and controls summarised in Materials and Methods §4–§9 of the main text; the paragraphs are those of an earlier, longer version of the Methods, moved here unchanged except for cross-references. Reference numbers refer to the main-text reference list.</w:t>
      </w:r>
    </w:p>
    <w:p>
      <w:pPr/>
      <w:r>
        <w:rPr>
          <w:b/>
          <w:color w:val="1F4E79"/>
        </w:rPr>
        <w:t xml:space="preserve">Library preparation and sequencing. </w:t>
      </w:r>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pPr/>
      <w:r>
        <w:rPr>
          <w:b/>
          <w:color w:val="1F4E79"/>
        </w:rPr>
        <w:t xml:space="preserve">Replication structure. </w:t>
      </w:r>
      <w:r>
        <w:rPr>
          <w:color w:val="1F4E79"/>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(Table S3).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pPr/>
      <w:r>
        <w:rPr>
          <w:b/>
          <w:color w:val="1F4E79"/>
        </w:rPr>
        <w:t xml:space="preserve">Controls. </w:t>
      </w:r>
      <w:r>
        <w:rPr>
          <w:color w:val="1F4E79"/>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pPr/>
      <w:r>
        <w:rPr>
          <w:b/>
          <w:color w:val="1F4E79"/>
        </w:rPr>
        <w:t xml:space="preserve">Pipeline. </w:t>
      </w:r>
      <w:r>
        <w:rPr>
          <w:color w:val="1F4E79"/>
        </w:rPr>
        <w:t>Reads were processed with a custom, version-controlled pipeline (git-tracked; each parameter justified in the script headers). The three runs were processed separately through denoising and merged thereafter. Software versions: cutadapt 5.0 [34]; R 4.5.3 with DADA2 1.38.0 [35]; SILVA reference v138.2 [36] (DADA2 formatted, Zenodo 14169026); BLAST+ 2.13.0; FastQC and MultiQC for quality control. The 16S V4 primers, being also the sequencing primers (Schloss dual-index protocol), are not present in the reads; no 5′ primer trimming was therefore applied.</w:t>
      </w:r>
    </w:p>
    <w:p>
      <w:pPr/>
      <w:r>
        <w:rPr>
          <w:b/>
          <w:color w:val="1F4E79"/>
        </w:rPr>
        <w:t xml:space="preserve">Quality control. </w:t>
      </w:r>
      <w:r>
        <w:rPr>
          <w:color w:val="1F4E79"/>
        </w:rPr>
        <w:t>Per-run read quality was assessed with FastQC and aggregated with MultiQC.</w:t>
      </w:r>
    </w:p>
    <w:p>
      <w:pPr/>
      <w:r>
        <w:rPr>
          <w:b/>
          <w:color w:val="1F4E79"/>
        </w:rPr>
        <w:t xml:space="preserve">Removal of co-amplified host 12S rRNA. </w:t>
      </w:r>
      <w:r>
        <w:rPr>
          <w:color w:val="1F4E79"/>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r>
        <w:rPr>
          <w:b/>
          <w:color w:val="1F4E79"/>
        </w:rPr>
        <w:t xml:space="preserve">ASV inference (DADA2, per run). </w:t>
      </w:r>
      <w:r>
        <w:rPr>
          <w:color w:val="1F4E79"/>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r>
        <w:rPr>
          <w:b/>
          <w:color w:val="1F4E79"/>
        </w:rPr>
        <w:t xml:space="preserve">Table merging, chimera removal and taxonomy. </w:t>
      </w:r>
      <w:r>
        <w:rPr>
          <w:color w:val="1F4E79"/>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r>
        <w:rPr>
          <w:b/>
          <w:color w:val="1F4E79"/>
        </w:rPr>
        <w:t xml:space="preserve">Non-target filtering. </w:t>
      </w:r>
      <w:r>
        <w:rPr>
          <w:color w:val="1F4E79"/>
        </w:rPr>
        <w:t>ASVs assigned to Eukaryota or unassigned at the domain level, to Chloroplast (Order) or to Mitochondria (Family) were removed; the mitochondrial ASVs correspond to residual full-length host 12S captured by the taxonomic safety net.</w:t>
      </w:r>
    </w:p>
    <w:p>
      <w:pPr/>
      <w:r>
        <w:rPr>
          <w:b/>
          <w:color w:val="1F4E79"/>
        </w:rPr>
        <w:t xml:space="preserve">Resulting dataset. </w:t>
      </w:r>
      <w:r>
        <w:rPr>
          <w:color w:val="1F4E79"/>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r>
        <w:rPr>
          <w:b/>
          <w:color w:val="1F4E79"/>
        </w:rPr>
        <w:t xml:space="preserve">Mock community. </w:t>
      </w:r>
      <w:r>
        <w:rPr>
          <w:color w:val="1F4E79"/>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w:t>
      </w:r>
      <w:r>
        <w:rPr>
          <w:i/>
          <w:color w:val="1F4E79"/>
        </w:rPr>
        <w:t>Escherichia coli</w:t>
      </w:r>
      <w:r>
        <w:rPr>
          <w:color w:val="1F4E79"/>
        </w:rPr>
        <w:t xml:space="preserve"> and </w:t>
      </w:r>
      <w:r>
        <w:rPr>
          <w:i/>
          <w:color w:val="1F4E79"/>
        </w:rPr>
        <w:t>Salmonella enterica</w:t>
      </w:r>
      <w:r>
        <w:rPr>
          <w:color w:val="1F4E79"/>
        </w:rPr>
        <w:t xml:space="preserve"> each contributed a second divergent ASV at ~99.6%, consistent with their multiple non-identical 16S operons.)</w:t>
      </w:r>
    </w:p>
    <w:p>
      <w:pPr/>
      <w:r>
        <w:rPr>
          <w:color w:val="1F4E79"/>
        </w:rPr>
        <w:t xml:space="preserve">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w:t>
      </w:r>
      <w:r>
        <w:rPr>
          <w:i/>
          <w:color w:val="1F4E79"/>
        </w:rPr>
        <w:t>Enterococcus faecalis</w:t>
      </w:r>
      <w:r>
        <w:rPr>
          <w:color w:val="1F4E79"/>
        </w:rPr>
        <w:t xml:space="preserve"> and </w:t>
      </w:r>
      <w:r>
        <w:rPr>
          <w:i/>
          <w:color w:val="1F4E79"/>
        </w:rPr>
        <w:t>Staphylococcus aureus</w:t>
      </w:r>
      <w:r>
        <w:rPr>
          <w:color w:val="1F4E79"/>
        </w:rPr>
        <w:t>, whose full-length 16S differ between lots — so the mock ASVs match either reference equally and the recovery of 8/8 expected species is independent of the lot assignment.</w:t>
      </w:r>
    </w:p>
    <w:p>
      <w:pPr/>
      <w:r>
        <w:rPr>
          <w:b/>
          <w:color w:val="1F4E79"/>
        </w:rPr>
        <w:t xml:space="preserve">Decontamination. </w:t>
      </w:r>
      <w:r>
        <w:rPr>
          <w:color w:val="1F4E79"/>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r>
        <w:rPr>
          <w:b/>
          <w:color w:val="1F4E79"/>
        </w:rPr>
        <w:t xml:space="preserve">Index hopping. </w:t>
      </w:r>
      <w:r>
        <w:rPr>
          <w:color w:val="1F4E79"/>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r>
        <w:rPr>
          <w:b/>
          <w:color w:val="1F4E79"/>
        </w:rPr>
        <w:t xml:space="preserve">Mock-derived sample-level artefacts. </w:t>
      </w:r>
      <w:r>
        <w:rPr>
          <w:color w:val="1F4E79"/>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r>
        <w:rPr>
          <w:b/>
          <w:color w:val="1F4E79"/>
        </w:rPr>
        <w:t xml:space="preserve">Phylogenetic tree. </w:t>
      </w:r>
      <w:r>
        <w:rPr>
          <w:color w:val="1F4E79"/>
        </w:rPr>
        <w:t>A de novo phylogeny was built from the ASV sequences with QIIME 2 [38] (align-to-tree-mafft-fasttree): multiple alignment with MAFFT [39], masking of highly variable positions, tree inference with FastTree 2 [40], and midpoint rooting. Fragment insertion into a reference backbone (SEPP) was not used because the ASVs are near-complete V4 amplicons (~251 bp) for which de novo alignment is appropriate. The resulting rooted tree covers all ASVs of the analysis table and supports UniFrac distances [41] and Faith's phylogenetic diversity [42].</w:t>
      </w:r>
    </w:p>
    <w:p>
      <w:pPr/>
      <w:r>
        <w:rPr>
          <w:b/>
          <w:color w:val="1F4E79"/>
        </w:rPr>
        <w:t xml:space="preserve">Choice of rarefaction depth. </w:t>
      </w:r>
      <w:r>
        <w:rPr>
          <w:color w:val="1F4E79"/>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color w:val="1F4E79"/>
        </w:rPr>
        <w:t xml:space="preserve">Repeated rarefaction. </w:t>
      </w:r>
      <w:r>
        <w:rPr>
          <w:color w:val="1F4E79"/>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b/>
          <w:color w:val="1F4E79"/>
        </w:rPr>
        <w:t xml:space="preserve">Monte-Carlo error. </w:t>
      </w:r>
      <w:r>
        <w:rPr>
          <w:color w:val="1F4E79"/>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the main-text Results,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(main text, Results). Convergence values are given in Table S5.</w:t>
      </w:r>
    </w:p>
    <w:p>
      <w:pPr/>
      <w:r>
        <w:rPr>
          <w:color w:val="1F4E79"/>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b/>
          <w:color w:val="1F4E79"/>
        </w:rPr>
        <w:t xml:space="preserve">Phylogenetic metrics. </w:t>
      </w:r>
      <w:r>
        <w:rPr>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b/>
          <w:color w:val="1F4E79"/>
        </w:rPr>
        <w:t xml:space="preserve">Depth and sample selection. </w:t>
      </w:r>
      <w:r>
        <w:rPr>
          <w:color w:val="1F4E79"/>
        </w:rPr>
        <w:t xml:space="preserve">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50 % of intermediate hybrids passed the threshold against 86 % of </w:t>
      </w:r>
      <w:r>
        <w:rPr>
          <w:i/>
          <w:color w:val="1F4E79"/>
        </w:rPr>
        <w:t>P. toxostoma</w:t>
      </w:r>
      <w:r>
        <w:rPr>
          <w:color w:val="1F4E79"/>
        </w:rPr>
        <w:t xml:space="preserve">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Table S6 and Figure S2.</w:t>
      </w:r>
    </w:p>
    <w:p>
      <w:pPr/>
      <w:r>
        <w:rPr>
          <w:b/>
          <w:color w:val="1F4E79"/>
        </w:rPr>
        <w:t xml:space="preserve">ENA submission. </w:t>
      </w:r>
      <w:r>
        <w:rPr>
          <w:color w:val="1F4E79"/>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Materials and Methods §8.8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(Materials and Methods §8.2) are likewise deposited. Per-run accessions, file names and MD5 checksums for all 4,608 files are given in Table S7.</w:t>
      </w:r>
    </w:p>
    <w:p>
      <w:pPr/>
      <w:r>
        <w:rPr>
          <w:b/>
          <w:color w:val="1F4E79"/>
        </w:rPr>
        <w:t xml:space="preserve">ENA metadata corrections. </w:t>
      </w:r>
      <w:r>
        <w:rPr>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color w:val="1F4E79"/>
        </w:rPr>
        <w:t>Metadata completeness. Sampling-site coordinates and environmental context terms were obtained from the field records and are reported per site in Table S1. Collection dates are given at day resolution for every station except Pertuis, where the two 2014 fishing campaigns are deposited as the interval 2014-07-07/2014-08-20.</w:t>
      </w:r>
    </w:p>
    <w:p/>
    <w:p>
      <w:pPr>
        <w:pStyle w:val="Heading1"/>
      </w:pPr>
      <w:r>
        <w:t>Table S</w:t>
      </w:r>
      <w:r>
        <w:rPr>
          <w:color w:val="1F4E79"/>
        </w:rPr>
        <w:t>4</w:t>
      </w:r>
      <w:r>
        <w:t>.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rPr>
          <w:b/>
        </w:rPr>
        <w:t>Table S</w:t>
      </w:r>
      <w:r>
        <w:rPr>
          <w:b/>
          <w:color w:val="1F4E79"/>
        </w:rPr>
        <w:t>5</w:t>
      </w:r>
      <w:r>
        <w:rPr>
          <w:b/>
        </w:rPr>
        <w:t>.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the main-text Results;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r>
        <w:rPr>
          <w:b/>
        </w:rPr>
        <w:t>Table S</w:t>
      </w:r>
      <w:r>
        <w:rPr>
          <w:b/>
          <w:color w:val="1F4E79"/>
        </w:rPr>
        <w:t>6</w:t>
      </w:r>
      <w:r>
        <w:rPr>
          <w:b/>
        </w:rPr>
        <w:t>.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3.8 / 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7.6 / 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27.6 / 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31.4 / 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32.7 / 18.6</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at 3,000 reads it is 36.4 / 19.8 points. The correlation columns do not depend on category. Bray–Curtis was measured with vegan::vegdist and validated against the archived 400-draw matrix (r = 0.99983).</w:t>
      </w:r>
    </w:p>
    <w:p/>
    <w:p>
      <w:pPr>
        <w:pStyle w:val="Heading1"/>
      </w:pPr>
      <w:r>
        <w:t>Table S</w:t>
      </w:r>
      <w:r>
        <w:rPr>
          <w:color w:val="1F4E79"/>
        </w:rPr>
        <w:t>7</w:t>
      </w:r>
      <w:r>
        <w:t>.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r>
        <w:rPr>
          <w:b/>
        </w:rPr>
        <w:t>Table S</w:t>
      </w:r>
      <w:r>
        <w:rPr>
          <w:b/>
          <w:color w:val="1F4E79"/>
        </w:rPr>
        <w:t>8</w:t>
      </w:r>
      <w:r>
        <w:rPr>
          <w:b/>
        </w:rPr>
        <w:t>.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r>
        <w:rPr>
          <w:b/>
        </w:rPr>
        <w:t>Table S</w:t>
      </w:r>
      <w:r>
        <w:rPr>
          <w:b/>
        </w:rPr>
        <w:t>9</w:t>
      </w:r>
      <w:r>
        <w:rPr>
          <w:b/>
        </w:rPr>
        <w:t>.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(§8.7, §8.9).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852160" cy="2316411"/>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852160" cy="2316411"/>
                    </a:xfrm>
                    <a:prstGeom prst="rect"/>
                  </pic:spPr>
                </pic:pic>
              </a:graphicData>
            </a:graphic>
          </wp:inline>
        </w:drawing>
      </w:r>
    </w:p>
    <w:p>
      <w:r>
        <w:rPr>
          <w:i/>
          <w:sz w:val="16"/>
        </w:rPr>
        <w:t>Figure S1.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w:t>
      </w:r>
      <w:r>
        <w:rPr>
          <w:i/>
          <w:color w:val="1F4E79"/>
          <w:sz w:val="16"/>
        </w:rPr>
        <w:t>8</w:t>
      </w:r>
      <w:r>
        <w:rPr>
          <w:i/>
          <w:sz w:val="16"/>
        </w:rPr>
        <w:t>.</w:t>
      </w:r>
    </w:p>
    <w:p/>
    <w:p>
      <w:r>
        <w:drawing>
          <wp:inline xmlns:a="http://schemas.openxmlformats.org/drawingml/2006/main" xmlns:pic="http://schemas.openxmlformats.org/drawingml/2006/picture">
            <wp:extent cx="5852160" cy="241882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852160" cy="2418824"/>
                    </a:xfrm>
                    <a:prstGeom prst="rect"/>
                  </pic:spPr>
                </pic:pic>
              </a:graphicData>
            </a:graphic>
          </wp:inline>
        </w:drawing>
      </w:r>
    </w:p>
    <w:p>
      <w:r>
        <w:rPr>
          <w:i/>
          <w:sz w:val="16"/>
        </w:rPr>
        <w:t>Figure S2. Trade-off between rarefaction depth, metric fidelity and selection bias. (a) Agreement with the 3,000-read reference on a fixed sample set. (b) Retention gap between P. toxostoma and hybrids, and loss of observed richness, as a function of depth.</w:t>
      </w:r>
    </w:p>
    <w:p/>
    <w:p>
      <w:r>
        <w:rPr>
          <w:b/>
        </w:rPr>
        <w:t>Table S</w:t>
      </w:r>
      <w:r>
        <w:rPr>
          <w:b/>
        </w:rPr>
        <w:t>10</w:t>
      </w:r>
      <w:r>
        <w:rPr>
          <w:b/>
        </w:rPr>
        <w:t>.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Pr>
                <w:color w:val="1F4E79"/>
              </w:rPr>
              <w:t>Bray–Curtis</w:t>
            </w:r>
          </w:p>
        </w:tc>
        <w:tc>
          <w:tcPr>
            <w:tcW w:type="dxa" w:w="960"/>
          </w:tcPr>
          <w:p>
            <w:r>
              <w:rPr>
                <w:color w:val="1F4E79"/>
              </w:rPr>
              <w:t>caudal fin</w:t>
            </w:r>
          </w:p>
        </w:tc>
        <w:tc>
          <w:tcPr>
            <w:tcW w:type="dxa" w:w="960"/>
          </w:tcPr>
          <w:p>
            <w:r>
              <w:rPr>
                <w:color w:val="1F4E79"/>
              </w:rPr>
              <w:t>0/3</w:t>
            </w:r>
          </w:p>
        </w:tc>
        <w:tc>
          <w:tcPr>
            <w:tcW w:type="dxa" w:w="960"/>
          </w:tcPr>
          <w:p>
            <w:r/>
            <w:r>
              <w:rPr>
                <w:sz w:val="16"/>
              </w:rPr>
              <w:t>0/3</w:t>
            </w:r>
          </w:p>
        </w:tc>
        <w:tc>
          <w:tcPr>
            <w:tcW w:type="dxa" w:w="960"/>
          </w:tcPr>
          <w:p>
            <w:r>
              <w:rPr>
                <w:color w:val="1F4E79"/>
              </w:rPr>
              <w:t>0.65</w:t>
            </w:r>
          </w:p>
        </w:tc>
        <w:tc>
          <w:tcPr>
            <w:tcW w:type="dxa" w:w="960"/>
          </w:tcPr>
          <w:p>
            <w:r>
              <w:rPr>
                <w:color w:val="1F4E79"/>
              </w:rPr>
              <w:t>0.63</w:t>
            </w:r>
          </w:p>
        </w:tc>
        <w:tc>
          <w:tcPr>
            <w:tcW w:type="dxa" w:w="960"/>
          </w:tcPr>
          <w:p>
            <w:r>
              <w:rPr>
                <w:color w:val="1F4E79"/>
              </w:rPr>
              <w:t>0.652</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0.632</w:t>
            </w:r>
          </w:p>
        </w:tc>
        <w:tc>
          <w:tcPr>
            <w:tcW w:type="dxa" w:w="960"/>
          </w:tcPr>
          <w:p>
            <w:r>
              <w:rPr>
                <w:color w:val="1F4E79"/>
              </w:rPr>
              <w:t>0.649</w:t>
            </w:r>
          </w:p>
        </w:tc>
        <w:tc>
          <w:tcPr>
            <w:tcW w:type="dxa" w:w="960"/>
          </w:tcPr>
          <w:p>
            <w:r>
              <w:rPr>
                <w:color w:val="1F4E79"/>
              </w:rPr>
              <w:t>0.633</w:t>
            </w:r>
          </w:p>
        </w:tc>
        <w:tc>
          <w:tcPr>
            <w:tcW w:type="dxa" w:w="960"/>
          </w:tcPr>
          <w:p>
            <w:r/>
            <w:r>
              <w:rPr>
                <w:sz w:val="16"/>
              </w:rPr>
              <w:t>3/3</w:t>
            </w:r>
          </w:p>
        </w:tc>
      </w:tr>
      <w:tr>
        <w:tc>
          <w:tcPr>
            <w:tcW w:type="dxa" w:w="960"/>
          </w:tcPr>
          <w:p>
            <w:r/>
            <w:r>
              <w:rPr>
                <w:sz w:val="16"/>
              </w:rPr>
              <w:t>1</w:t>
            </w:r>
          </w:p>
        </w:tc>
        <w:tc>
          <w:tcPr>
            <w:tcW w:type="dxa" w:w="960"/>
          </w:tcPr>
          <w:p>
            <w:r>
              <w:rPr>
                <w:color w:val="1F4E79"/>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0.592</w:t>
            </w:r>
          </w:p>
        </w:tc>
        <w:tc>
          <w:tcPr>
            <w:tcW w:type="dxa" w:w="960"/>
          </w:tcPr>
          <w:p>
            <w:r>
              <w:rPr>
                <w:color w:val="1F4E79"/>
              </w:rPr>
              <w:t>0.597</w:t>
            </w:r>
          </w:p>
        </w:tc>
        <w:tc>
          <w:tcPr>
            <w:tcW w:type="dxa" w:w="960"/>
          </w:tcPr>
          <w:p>
            <w:r>
              <w:rPr>
                <w:color w:val="1F4E79"/>
              </w:rPr>
              <w:t>0.603</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
              <w:rPr>
                <w:sz w:val="16"/>
              </w:rPr>
              <w:t>hindgut</w:t>
            </w:r>
          </w:p>
        </w:tc>
        <w:tc>
          <w:tcPr>
            <w:tcW w:type="dxa" w:w="960"/>
          </w:tcPr>
          <w:p>
            <w:r>
              <w:rPr>
                <w:color w:val="1F4E79"/>
              </w:rPr>
              <w:t>0/3</w:t>
            </w:r>
          </w:p>
        </w:tc>
        <w:tc>
          <w:tcPr>
            <w:tcW w:type="dxa" w:w="960"/>
          </w:tcPr>
          <w:p>
            <w:r/>
            <w:r>
              <w:rPr>
                <w:sz w:val="16"/>
              </w:rPr>
              <w:t>0/6</w:t>
            </w:r>
          </w:p>
        </w:tc>
        <w:tc>
          <w:tcPr>
            <w:tcW w:type="dxa" w:w="960"/>
          </w:tcPr>
          <w:p>
            <w:r>
              <w:rPr>
                <w:color w:val="1F4E79"/>
              </w:rPr>
              <w:t>0.589</w:t>
            </w:r>
          </w:p>
        </w:tc>
        <w:tc>
          <w:tcPr>
            <w:tcW w:type="dxa" w:w="960"/>
          </w:tcPr>
          <w:p>
            <w:r>
              <w:rPr>
                <w:color w:val="1F4E79"/>
              </w:rPr>
              <w:t>0.59</w:t>
            </w:r>
          </w:p>
        </w:tc>
        <w:tc>
          <w:tcPr>
            <w:tcW w:type="dxa" w:w="960"/>
          </w:tcPr>
          <w:p>
            <w:r>
              <w:rPr>
                <w:color w:val="1F4E79"/>
              </w:rPr>
              <w:t>0.62</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0/3</w:t>
            </w:r>
          </w:p>
        </w:tc>
        <w:tc>
          <w:tcPr>
            <w:tcW w:type="dxa" w:w="960"/>
          </w:tcPr>
          <w:p>
            <w:r>
              <w:rPr>
                <w:color w:val="1F4E79"/>
              </w:rPr>
              <w:t>0.674</w:t>
            </w:r>
          </w:p>
        </w:tc>
        <w:tc>
          <w:tcPr>
            <w:tcW w:type="dxa" w:w="960"/>
          </w:tcPr>
          <w:p>
            <w:r>
              <w:rPr>
                <w:color w:val="1F4E79"/>
              </w:rPr>
              <w:t>0.668</w:t>
            </w:r>
          </w:p>
        </w:tc>
        <w:tc>
          <w:tcPr>
            <w:tcW w:type="dxa" w:w="960"/>
          </w:tcPr>
          <w:p>
            <w:r>
              <w:rPr>
                <w:color w:val="1F4E79"/>
              </w:rPr>
              <w:t>0.674</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0.665</w:t>
            </w:r>
          </w:p>
        </w:tc>
        <w:tc>
          <w:tcPr>
            <w:tcW w:type="dxa" w:w="960"/>
          </w:tcPr>
          <w:p>
            <w:r>
              <w:rPr>
                <w:color w:val="1F4E79"/>
              </w:rPr>
              <w:t>0.676</w:t>
            </w:r>
          </w:p>
        </w:tc>
        <w:tc>
          <w:tcPr>
            <w:tcW w:type="dxa" w:w="960"/>
          </w:tcPr>
          <w:p>
            <w:r>
              <w:rPr>
                <w:color w:val="1F4E79"/>
              </w:rPr>
              <w:t>0.654</w:t>
            </w:r>
          </w:p>
        </w:tc>
        <w:tc>
          <w:tcPr>
            <w:tcW w:type="dxa" w:w="960"/>
          </w:tcPr>
          <w:p>
            <w:r>
              <w:rPr>
                <w:color w:val="1F4E79"/>
              </w:rPr>
              <w:t>3/3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Pr>
                <w:color w:val="1F4E79"/>
              </w:rPr>
              <w:t>0/3</w:t>
            </w:r>
          </w:p>
        </w:tc>
        <w:tc>
          <w:tcPr>
            <w:tcW w:type="dxa" w:w="960"/>
          </w:tcPr>
          <w:p>
            <w:r>
              <w:rPr>
                <w:color w:val="1F4E79"/>
              </w:rPr>
              <w:t>0/2</w:t>
            </w:r>
          </w:p>
        </w:tc>
        <w:tc>
          <w:tcPr>
            <w:tcW w:type="dxa" w:w="960"/>
          </w:tcPr>
          <w:p>
            <w:r>
              <w:rPr>
                <w:color w:val="1F4E79"/>
              </w:rPr>
              <w:t>0.654</w:t>
            </w:r>
          </w:p>
        </w:tc>
        <w:tc>
          <w:tcPr>
            <w:tcW w:type="dxa" w:w="960"/>
          </w:tcPr>
          <w:p>
            <w:r>
              <w:rPr>
                <w:color w:val="1F4E79"/>
              </w:rPr>
              <w:t>0.653</w:t>
            </w:r>
          </w:p>
        </w:tc>
        <w:tc>
          <w:tcPr>
            <w:tcW w:type="dxa" w:w="960"/>
          </w:tcPr>
          <w:p>
            <w:r>
              <w:rPr>
                <w:color w:val="1F4E79"/>
              </w:rPr>
              <w:t>0.648</w:t>
            </w:r>
          </w:p>
        </w:tc>
        <w:tc>
          <w:tcPr>
            <w:tcW w:type="dxa" w:w="960"/>
          </w:tcPr>
          <w:p>
            <w:r>
              <w:rPr>
                <w:color w:val="1F4E79"/>
              </w:rPr>
              <w:t>1/3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0.662</w:t>
            </w:r>
          </w:p>
        </w:tc>
        <w:tc>
          <w:tcPr>
            <w:tcW w:type="dxa" w:w="960"/>
          </w:tcPr>
          <w:p>
            <w:r>
              <w:rPr>
                <w:color w:val="1F4E79"/>
              </w:rPr>
              <w:t>0.665</w:t>
            </w:r>
          </w:p>
        </w:tc>
        <w:tc>
          <w:tcPr>
            <w:tcW w:type="dxa" w:w="960"/>
          </w:tcPr>
          <w:p>
            <w:r>
              <w:rPr>
                <w:color w:val="1F4E79"/>
              </w:rPr>
              <w:t>0.662</w:t>
            </w:r>
          </w:p>
        </w:tc>
        <w:tc>
          <w:tcPr>
            <w:tcW w:type="dxa" w:w="960"/>
          </w:tcPr>
          <w:p>
            <w:r>
              <w:rPr>
                <w:color w:val="1F4E79"/>
              </w:rPr>
              <w:t>3/3</w:t>
            </w:r>
          </w:p>
        </w:tc>
      </w:tr>
      <w:tr>
        <w:tc>
          <w:tcPr>
            <w:tcW w:type="dxa" w:w="960"/>
          </w:tcPr>
          <w:p>
            <w:r/>
            <w:r>
              <w:rPr>
                <w:sz w:val="16"/>
              </w:rPr>
              <w:t>1</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2/3</w:t>
            </w:r>
          </w:p>
        </w:tc>
        <w:tc>
          <w:tcPr>
            <w:tcW w:type="dxa" w:w="960"/>
          </w:tcPr>
          <w:p>
            <w:r>
              <w:rPr>
                <w:color w:val="1F4E79"/>
              </w:rPr>
              <w:t>0.501</w:t>
            </w:r>
          </w:p>
        </w:tc>
        <w:tc>
          <w:tcPr>
            <w:tcW w:type="dxa" w:w="960"/>
          </w:tcPr>
          <w:p>
            <w:r>
              <w:rPr>
                <w:color w:val="1F4E79"/>
              </w:rPr>
              <w:t>0.492</w:t>
            </w:r>
          </w:p>
        </w:tc>
        <w:tc>
          <w:tcPr>
            <w:tcW w:type="dxa" w:w="960"/>
          </w:tcPr>
          <w:p>
            <w:r>
              <w:rPr>
                <w:color w:val="1F4E79"/>
              </w:rPr>
              <w:t>0.508</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Pr>
                <w:color w:val="1F4E79"/>
              </w:rPr>
              <w:t>1/6</w:t>
            </w:r>
          </w:p>
        </w:tc>
        <w:tc>
          <w:tcPr>
            <w:tcW w:type="dxa" w:w="960"/>
          </w:tcPr>
          <w:p>
            <w:r>
              <w:rPr>
                <w:color w:val="1F4E79"/>
              </w:rPr>
              <w:t>0.511</w:t>
            </w:r>
          </w:p>
        </w:tc>
        <w:tc>
          <w:tcPr>
            <w:tcW w:type="dxa" w:w="960"/>
          </w:tcPr>
          <w:p>
            <w:r>
              <w:rPr>
                <w:color w:val="1F4E79"/>
              </w:rPr>
              <w:t>0.514</w:t>
            </w:r>
          </w:p>
        </w:tc>
        <w:tc>
          <w:tcPr>
            <w:tcW w:type="dxa" w:w="960"/>
          </w:tcPr>
          <w:p>
            <w:r>
              <w:rPr>
                <w:color w:val="1F4E79"/>
              </w:rPr>
              <w:t>0.481</w:t>
            </w:r>
          </w:p>
        </w:tc>
        <w:tc>
          <w:tcPr>
            <w:tcW w:type="dxa" w:w="960"/>
          </w:tcPr>
          <w:p>
            <w:r>
              <w:rPr>
                <w:color w:val="1F4E79"/>
              </w:rPr>
              <w:t>2/3</w:t>
            </w:r>
          </w:p>
        </w:tc>
      </w:tr>
      <w:tr>
        <w:tc>
          <w:tcPr>
            <w:tcW w:type="dxa" w:w="960"/>
          </w:tcPr>
          <w:p>
            <w:r/>
            <w:r>
              <w:rPr>
                <w:sz w:val="16"/>
              </w:rPr>
              <w:t>1</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Pr>
                <w:color w:val="1F4E79"/>
              </w:rPr>
              <w:t>0.487</w:t>
            </w:r>
          </w:p>
        </w:tc>
        <w:tc>
          <w:tcPr>
            <w:tcW w:type="dxa" w:w="960"/>
          </w:tcPr>
          <w:p>
            <w:r>
              <w:rPr>
                <w:color w:val="1F4E79"/>
              </w:rPr>
              <w:t>0.449</w:t>
            </w:r>
          </w:p>
        </w:tc>
        <w:tc>
          <w:tcPr>
            <w:tcW w:type="dxa" w:w="960"/>
          </w:tcPr>
          <w:p>
            <w:r>
              <w:rPr>
                <w:color w:val="1F4E79"/>
              </w:rPr>
              <w:t>0.483</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0.484</w:t>
            </w:r>
          </w:p>
        </w:tc>
        <w:tc>
          <w:tcPr>
            <w:tcW w:type="dxa" w:w="960"/>
          </w:tcPr>
          <w:p>
            <w:r>
              <w:rPr>
                <w:color w:val="1F4E79"/>
              </w:rPr>
              <w:t>0.48</w:t>
            </w:r>
          </w:p>
        </w:tc>
        <w:tc>
          <w:tcPr>
            <w:tcW w:type="dxa" w:w="960"/>
          </w:tcPr>
          <w:p>
            <w:r>
              <w:rPr>
                <w:color w:val="1F4E79"/>
              </w:rPr>
              <w:t>0.492</w:t>
            </w:r>
          </w:p>
        </w:tc>
        <w:tc>
          <w:tcPr>
            <w:tcW w:type="dxa" w:w="960"/>
          </w:tcPr>
          <w:p>
            <w:r/>
            <w:r>
              <w:rPr>
                <w:sz w:val="16"/>
              </w:rPr>
              <w:t>0/3</w:t>
            </w:r>
          </w:p>
        </w:tc>
      </w:tr>
      <w:tr>
        <w:tc>
          <w:tcPr>
            <w:tcW w:type="dxa" w:w="960"/>
          </w:tcPr>
          <w:p>
            <w:r/>
            <w:r>
              <w:rPr>
                <w:sz w:val="16"/>
              </w:rPr>
              <w:t>1</w:t>
            </w:r>
          </w:p>
        </w:tc>
        <w:tc>
          <w:tcPr>
            <w:tcW w:type="dxa" w:w="960"/>
          </w:tcPr>
          <w:p>
            <w:r>
              <w:rPr>
                <w:color w:val="1F4E79"/>
              </w:rPr>
              <w:t>weighted UniFrac</w:t>
            </w:r>
          </w:p>
        </w:tc>
        <w:tc>
          <w:tcPr>
            <w:tcW w:type="dxa" w:w="960"/>
          </w:tcPr>
          <w:p>
            <w:r>
              <w:rPr>
                <w:color w:val="1F4E79"/>
              </w:rPr>
              <w:t>caudal fin</w:t>
            </w:r>
          </w:p>
        </w:tc>
        <w:tc>
          <w:tcPr>
            <w:tcW w:type="dxa" w:w="960"/>
          </w:tcPr>
          <w:p>
            <w:r>
              <w:rPr>
                <w:color w:val="1F4E79"/>
              </w:rPr>
              <w:t>1/3</w:t>
            </w:r>
          </w:p>
        </w:tc>
        <w:tc>
          <w:tcPr>
            <w:tcW w:type="dxa" w:w="960"/>
          </w:tcPr>
          <w:p>
            <w:r/>
            <w:r>
              <w:rPr>
                <w:sz w:val="16"/>
              </w:rPr>
              <w:t>0/3</w:t>
            </w:r>
          </w:p>
        </w:tc>
        <w:tc>
          <w:tcPr>
            <w:tcW w:type="dxa" w:w="960"/>
          </w:tcPr>
          <w:p>
            <w:r/>
            <w:r>
              <w:rPr>
                <w:sz w:val="16"/>
              </w:rPr>
              <w:t>0.058</w:t>
            </w:r>
          </w:p>
        </w:tc>
        <w:tc>
          <w:tcPr>
            <w:tcW w:type="dxa" w:w="960"/>
          </w:tcPr>
          <w:p>
            <w:r>
              <w:rPr>
                <w:color w:val="1F4E79"/>
              </w:rPr>
              <w:t>0.059</w:t>
            </w:r>
          </w:p>
        </w:tc>
        <w:tc>
          <w:tcPr>
            <w:tcW w:type="dxa" w:w="960"/>
          </w:tcPr>
          <w:p>
            <w:r/>
            <w:r>
              <w:rPr>
                <w:sz w:val="16"/>
              </w:rPr>
              <w:t>0.054</w:t>
            </w:r>
          </w:p>
        </w:tc>
        <w:tc>
          <w:tcPr>
            <w:tcW w:type="dxa" w:w="960"/>
          </w:tcPr>
          <w:p>
            <w:r>
              <w:rPr>
                <w:color w:val="1F4E79"/>
              </w:rPr>
              <w:t>3/3</w:t>
            </w:r>
          </w:p>
        </w:tc>
      </w:tr>
      <w:tr>
        <w:tc>
          <w:tcPr>
            <w:tcW w:type="dxa" w:w="960"/>
          </w:tcPr>
          <w:p>
            <w:r/>
            <w:r>
              <w:rPr>
                <w:sz w:val="16"/>
              </w:rPr>
              <w:t>1</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Pr>
                <w:color w:val="1F4E79"/>
              </w:rPr>
              <w:t>weighted UniFrac</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0.058</w:t>
            </w:r>
          </w:p>
        </w:tc>
        <w:tc>
          <w:tcPr>
            <w:tcW w:type="dxa" w:w="960"/>
          </w:tcPr>
          <w:p>
            <w:r>
              <w:rPr>
                <w:color w:val="1F4E79"/>
              </w:rPr>
              <w:t>0.06</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Pr>
                <w:color w:val="1F4E79"/>
              </w:rPr>
              <w:t>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0.062</w:t>
            </w:r>
          </w:p>
        </w:tc>
        <w:tc>
          <w:tcPr>
            <w:tcW w:type="dxa" w:w="960"/>
          </w:tcPr>
          <w:p>
            <w:r>
              <w:rPr>
                <w:color w:val="1F4E79"/>
              </w:rPr>
              <w:t>0.059</w:t>
            </w:r>
          </w:p>
        </w:tc>
        <w:tc>
          <w:tcPr>
            <w:tcW w:type="dxa" w:w="960"/>
          </w:tcPr>
          <w:p>
            <w:r>
              <w:rPr>
                <w:color w:val="1F4E79"/>
              </w:rPr>
              <w:t>0.06</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Pr>
                <w:color w:val="1F4E79"/>
              </w:rPr>
              <w:t>0.65</w:t>
            </w:r>
          </w:p>
        </w:tc>
        <w:tc>
          <w:tcPr>
            <w:tcW w:type="dxa" w:w="960"/>
          </w:tcPr>
          <w:p>
            <w:r>
              <w:rPr>
                <w:color w:val="1F4E79"/>
              </w:rPr>
              <w:t>0.616</w:t>
            </w:r>
          </w:p>
        </w:tc>
        <w:tc>
          <w:tcPr>
            <w:tcW w:type="dxa" w:w="960"/>
          </w:tcPr>
          <w:p>
            <w:r>
              <w:rPr>
                <w:color w:val="1F4E79"/>
              </w:rPr>
              <w:t>0.652</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2/9</w:t>
            </w:r>
          </w:p>
        </w:tc>
        <w:tc>
          <w:tcPr>
            <w:tcW w:type="dxa" w:w="960"/>
          </w:tcPr>
          <w:p>
            <w:r>
              <w:rPr>
                <w:color w:val="1F4E79"/>
              </w:rPr>
              <w:t>0.631</w:t>
            </w:r>
          </w:p>
        </w:tc>
        <w:tc>
          <w:tcPr>
            <w:tcW w:type="dxa" w:w="960"/>
          </w:tcPr>
          <w:p>
            <w:r>
              <w:rPr>
                <w:color w:val="1F4E79"/>
              </w:rPr>
              <w:t>0.645</w:t>
            </w:r>
          </w:p>
        </w:tc>
        <w:tc>
          <w:tcPr>
            <w:tcW w:type="dxa" w:w="960"/>
          </w:tcPr>
          <w:p>
            <w:r>
              <w:rPr>
                <w:color w:val="1F4E79"/>
              </w:rPr>
              <w:t>0.633</w:t>
            </w:r>
          </w:p>
        </w:tc>
        <w:tc>
          <w:tcPr>
            <w:tcW w:type="dxa" w:w="960"/>
          </w:tcPr>
          <w:p>
            <w:r/>
            <w:r>
              <w:rPr>
                <w:sz w:val="16"/>
              </w:rPr>
              <w:t>3/3</w:t>
            </w:r>
          </w:p>
        </w:tc>
      </w:tr>
      <w:tr>
        <w:tc>
          <w:tcPr>
            <w:tcW w:type="dxa" w:w="960"/>
          </w:tcPr>
          <w:p>
            <w:r/>
            <w:r>
              <w:rPr>
                <w:sz w:val="16"/>
              </w:rPr>
              <w:t>2</w:t>
            </w:r>
          </w:p>
        </w:tc>
        <w:tc>
          <w:tcPr>
            <w:tcW w:type="dxa" w:w="960"/>
          </w:tcPr>
          <w:p>
            <w:r>
              <w:rPr>
                <w:color w:val="1F4E79"/>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Pr>
                <w:color w:val="1F4E79"/>
              </w:rPr>
              <w:t>0.592</w:t>
            </w:r>
          </w:p>
        </w:tc>
        <w:tc>
          <w:tcPr>
            <w:tcW w:type="dxa" w:w="960"/>
          </w:tcPr>
          <w:p>
            <w:r>
              <w:rPr>
                <w:color w:val="1F4E79"/>
              </w:rPr>
              <w:t>0.484</w:t>
            </w:r>
          </w:p>
        </w:tc>
        <w:tc>
          <w:tcPr>
            <w:tcW w:type="dxa" w:w="960"/>
          </w:tcPr>
          <w:p>
            <w:r>
              <w:rPr>
                <w:color w:val="1F4E79"/>
              </w:rPr>
              <w:t>0.603</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Pr>
                <w:color w:val="1F4E79"/>
              </w:rPr>
              <w:t>0.589</w:t>
            </w:r>
          </w:p>
        </w:tc>
        <w:tc>
          <w:tcPr>
            <w:tcW w:type="dxa" w:w="960"/>
          </w:tcPr>
          <w:p>
            <w:r>
              <w:rPr>
                <w:color w:val="1F4E79"/>
              </w:rPr>
              <w:t>0.502</w:t>
            </w:r>
          </w:p>
        </w:tc>
        <w:tc>
          <w:tcPr>
            <w:tcW w:type="dxa" w:w="960"/>
          </w:tcPr>
          <w:p>
            <w:r>
              <w:rPr>
                <w:color w:val="1F4E79"/>
              </w:rPr>
              <w:t>0.62</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0/6</w:t>
            </w:r>
          </w:p>
        </w:tc>
        <w:tc>
          <w:tcPr>
            <w:tcW w:type="dxa" w:w="960"/>
          </w:tcPr>
          <w:p>
            <w:r>
              <w:rPr>
                <w:color w:val="1F4E79"/>
              </w:rPr>
              <w:t>0.674</w:t>
            </w:r>
          </w:p>
        </w:tc>
        <w:tc>
          <w:tcPr>
            <w:tcW w:type="dxa" w:w="960"/>
          </w:tcPr>
          <w:p>
            <w:r>
              <w:rPr>
                <w:color w:val="1F4E79"/>
              </w:rPr>
              <w:t>0.666</w:t>
            </w:r>
          </w:p>
        </w:tc>
        <w:tc>
          <w:tcPr>
            <w:tcW w:type="dxa" w:w="960"/>
          </w:tcPr>
          <w:p>
            <w:r>
              <w:rPr>
                <w:color w:val="1F4E79"/>
              </w:rPr>
              <w:t>0.674</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Pr>
                <w:color w:val="1F4E79"/>
              </w:rPr>
              <w:t>0/9</w:t>
            </w:r>
          </w:p>
        </w:tc>
        <w:tc>
          <w:tcPr>
            <w:tcW w:type="dxa" w:w="960"/>
          </w:tcPr>
          <w:p>
            <w:r>
              <w:rPr>
                <w:color w:val="1F4E79"/>
              </w:rPr>
              <w:t>0.665</w:t>
            </w:r>
          </w:p>
        </w:tc>
        <w:tc>
          <w:tcPr>
            <w:tcW w:type="dxa" w:w="960"/>
          </w:tcPr>
          <w:p>
            <w:r>
              <w:rPr>
                <w:color w:val="1F4E79"/>
              </w:rPr>
              <w:t>0.665</w:t>
            </w:r>
          </w:p>
        </w:tc>
        <w:tc>
          <w:tcPr>
            <w:tcW w:type="dxa" w:w="960"/>
          </w:tcPr>
          <w:p>
            <w:r>
              <w:rPr>
                <w:color w:val="1F4E79"/>
              </w:rPr>
              <w:t>0.654</w:t>
            </w:r>
          </w:p>
        </w:tc>
        <w:tc>
          <w:tcPr>
            <w:tcW w:type="dxa" w:w="960"/>
          </w:tcPr>
          <w:p>
            <w:r>
              <w:rPr>
                <w:color w:val="1F4E79"/>
              </w:rPr>
              <w:t>2/3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Pr>
                <w:color w:val="1F4E79"/>
              </w:rPr>
              <w:t>1/3</w:t>
            </w:r>
          </w:p>
        </w:tc>
        <w:tc>
          <w:tcPr>
            <w:tcW w:type="dxa" w:w="960"/>
          </w:tcPr>
          <w:p>
            <w:r>
              <w:rPr>
                <w:color w:val="1F4E79"/>
              </w:rPr>
              <w:t>0/6</w:t>
            </w:r>
          </w:p>
        </w:tc>
        <w:tc>
          <w:tcPr>
            <w:tcW w:type="dxa" w:w="960"/>
          </w:tcPr>
          <w:p>
            <w:r>
              <w:rPr>
                <w:color w:val="1F4E79"/>
              </w:rPr>
              <w:t>0.654</w:t>
            </w:r>
          </w:p>
        </w:tc>
        <w:tc>
          <w:tcPr>
            <w:tcW w:type="dxa" w:w="960"/>
          </w:tcPr>
          <w:p>
            <w:r>
              <w:rPr>
                <w:color w:val="1F4E79"/>
              </w:rPr>
              <w:t>0.644</w:t>
            </w:r>
          </w:p>
        </w:tc>
        <w:tc>
          <w:tcPr>
            <w:tcW w:type="dxa" w:w="960"/>
          </w:tcPr>
          <w:p>
            <w:r>
              <w:rPr>
                <w:color w:val="1F4E79"/>
              </w:rPr>
              <w:t>0.648</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0.662</w:t>
            </w:r>
          </w:p>
        </w:tc>
        <w:tc>
          <w:tcPr>
            <w:tcW w:type="dxa" w:w="960"/>
          </w:tcPr>
          <w:p>
            <w:r>
              <w:rPr>
                <w:color w:val="1F4E79"/>
              </w:rPr>
              <w:t>0.66</w:t>
            </w:r>
          </w:p>
        </w:tc>
        <w:tc>
          <w:tcPr>
            <w:tcW w:type="dxa" w:w="960"/>
          </w:tcPr>
          <w:p>
            <w:r>
              <w:rPr>
                <w:color w:val="1F4E79"/>
              </w:rPr>
              <w:t>0.662</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2/6</w:t>
            </w:r>
          </w:p>
        </w:tc>
        <w:tc>
          <w:tcPr>
            <w:tcW w:type="dxa" w:w="960"/>
          </w:tcPr>
          <w:p>
            <w:r>
              <w:rPr>
                <w:color w:val="1F4E79"/>
              </w:rPr>
              <w:t>0.501</w:t>
            </w:r>
          </w:p>
        </w:tc>
        <w:tc>
          <w:tcPr>
            <w:tcW w:type="dxa" w:w="960"/>
          </w:tcPr>
          <w:p>
            <w:r>
              <w:rPr>
                <w:color w:val="1F4E79"/>
              </w:rPr>
              <w:t>0.494</w:t>
            </w:r>
          </w:p>
        </w:tc>
        <w:tc>
          <w:tcPr>
            <w:tcW w:type="dxa" w:w="960"/>
          </w:tcPr>
          <w:p>
            <w:r>
              <w:rPr>
                <w:color w:val="1F4E79"/>
              </w:rPr>
              <w:t>0.508</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
              <w:rPr>
                <w:sz w:val="16"/>
              </w:rPr>
              <w:t>0/9</w:t>
            </w:r>
          </w:p>
        </w:tc>
        <w:tc>
          <w:tcPr>
            <w:tcW w:type="dxa" w:w="960"/>
          </w:tcPr>
          <w:p>
            <w:r>
              <w:rPr>
                <w:color w:val="1F4E79"/>
              </w:rPr>
              <w:t>0.511</w:t>
            </w:r>
          </w:p>
        </w:tc>
        <w:tc>
          <w:tcPr>
            <w:tcW w:type="dxa" w:w="960"/>
          </w:tcPr>
          <w:p>
            <w:r>
              <w:rPr>
                <w:color w:val="1F4E79"/>
              </w:rPr>
              <w:t>0.496</w:t>
            </w:r>
          </w:p>
        </w:tc>
        <w:tc>
          <w:tcPr>
            <w:tcW w:type="dxa" w:w="960"/>
          </w:tcPr>
          <w:p>
            <w:r>
              <w:rPr>
                <w:color w:val="1F4E79"/>
              </w:rPr>
              <w:t>0.481</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Pr>
                <w:color w:val="1F4E79"/>
              </w:rPr>
              <w:t>0/6</w:t>
            </w:r>
          </w:p>
        </w:tc>
        <w:tc>
          <w:tcPr>
            <w:tcW w:type="dxa" w:w="960"/>
          </w:tcPr>
          <w:p>
            <w:r>
              <w:rPr>
                <w:color w:val="1F4E79"/>
              </w:rPr>
              <w:t>0.487</w:t>
            </w:r>
          </w:p>
        </w:tc>
        <w:tc>
          <w:tcPr>
            <w:tcW w:type="dxa" w:w="960"/>
          </w:tcPr>
          <w:p>
            <w:r>
              <w:rPr>
                <w:color w:val="1F4E79"/>
              </w:rPr>
              <w:t>0.436</w:t>
            </w:r>
          </w:p>
        </w:tc>
        <w:tc>
          <w:tcPr>
            <w:tcW w:type="dxa" w:w="960"/>
          </w:tcPr>
          <w:p>
            <w:r>
              <w:rPr>
                <w:color w:val="1F4E79"/>
              </w:rPr>
              <w:t>0.483</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0.484</w:t>
            </w:r>
          </w:p>
        </w:tc>
        <w:tc>
          <w:tcPr>
            <w:tcW w:type="dxa" w:w="960"/>
          </w:tcPr>
          <w:p>
            <w:r>
              <w:rPr>
                <w:color w:val="1F4E79"/>
              </w:rPr>
              <w:t>0.473</w:t>
            </w:r>
          </w:p>
        </w:tc>
        <w:tc>
          <w:tcPr>
            <w:tcW w:type="dxa" w:w="960"/>
          </w:tcPr>
          <w:p>
            <w:r>
              <w:rPr>
                <w:color w:val="1F4E79"/>
              </w:rPr>
              <w:t>0.492</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Pr>
                <w:color w:val="1F4E79"/>
              </w:rPr>
              <w:t>0.06</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3/9</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Pr>
                <w:color w:val="1F4E79"/>
              </w:rPr>
              <w:t>weighted UniFrac</w:t>
            </w:r>
          </w:p>
        </w:tc>
        <w:tc>
          <w:tcPr>
            <w:tcW w:type="dxa" w:w="960"/>
          </w:tcPr>
          <w:p>
            <w:r/>
            <w:r>
              <w:rPr>
                <w:sz w:val="16"/>
              </w:rPr>
              <w:t>midgut</w:t>
            </w:r>
          </w:p>
        </w:tc>
        <w:tc>
          <w:tcPr>
            <w:tcW w:type="dxa" w:w="960"/>
          </w:tcPr>
          <w:p>
            <w:r>
              <w:rPr>
                <w:color w:val="1F4E79"/>
              </w:rPr>
              <w:t>1/3</w:t>
            </w:r>
          </w:p>
        </w:tc>
        <w:tc>
          <w:tcPr>
            <w:tcW w:type="dxa" w:w="960"/>
          </w:tcPr>
          <w:p>
            <w:r/>
            <w:r>
              <w:rPr>
                <w:sz w:val="16"/>
              </w:rPr>
              <w:t>0/6</w:t>
            </w:r>
          </w:p>
        </w:tc>
        <w:tc>
          <w:tcPr>
            <w:tcW w:type="dxa" w:w="960"/>
          </w:tcPr>
          <w:p>
            <w:r>
              <w:rPr>
                <w:color w:val="1F4E79"/>
              </w:rPr>
              <w:t>0.058</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Pr>
                <w:color w:val="1F4E79"/>
              </w:rPr>
              <w:t>0.062</w:t>
            </w:r>
          </w:p>
        </w:tc>
        <w:tc>
          <w:tcPr>
            <w:tcW w:type="dxa" w:w="960"/>
          </w:tcPr>
          <w:p>
            <w:r>
              <w:rPr>
                <w:color w:val="1F4E79"/>
              </w:rPr>
              <w:t>0.05</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(median over the three runs). Negative eigenvalues of the averaged matrices accounted for a median of 0.00 % and at most 10.4 % of the absolute eigenvalue sum.</w:t>
      </w:r>
      <w:r>
        <w:rPr>
          <w:color w:val="1F4E79"/>
        </w:rPr>
        <w:t xml:space="preserve"> Distances are corrected for small-sample bias (betadisper, bias.adjust = TRUE; Stier et al. 2013, main text reference 48), because hybrids are the smallest category in every stratum and the uncorrected statistic underestimates the dispersion of small groups; this version replaces an earlier, uncorrected table.</w:t>
      </w:r>
    </w:p>
    <w:p/>
    <w:p>
      <w:r>
        <w:drawing>
          <wp:inline xmlns:a="http://schemas.openxmlformats.org/drawingml/2006/main" xmlns:pic="http://schemas.openxmlformats.org/drawingml/2006/picture">
            <wp:extent cx="5852160" cy="3457080"/>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852160" cy="3457080"/>
                    </a:xfrm>
                    <a:prstGeom prst="rect"/>
                  </pic:spPr>
                </pic:pic>
              </a:graphicData>
            </a:graphic>
          </wp:inline>
        </w:drawing>
      </w:r>
    </w:p>
    <w:p>
      <w:r>
        <w:rPr>
          <w:i/>
          <w:color w:val="1F4E79"/>
          <w:sz w:val="16"/>
        </w:rPr>
        <w:t>Figure S3. Dispersion by genotypic category (PERMDISP), corrected for small-sample bias. (a, b) Distance of each category's samples to their group median, corrected for group size (bias.adjust = TRUE) and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dashed line, the one third expected if no category is systematically the most or least dispersed;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w:t>
      </w:r>
      <w:r>
        <w:rPr>
          <w:i/>
          <w:color w:val="1F4E79"/>
          <w:sz w:val="16"/>
        </w:rPr>
        <w:t>10</w:t>
      </w:r>
      <w:r>
        <w:rPr>
          <w:i/>
          <w:color w:val="1F4E79"/>
          <w:sz w:val="16"/>
        </w:rPr>
        <w:t>.</w:t>
      </w:r>
    </w:p>
    <w:p>
      <w:pPr>
        <w:pStyle w:val="Heading1"/>
      </w:pPr>
      <w:r>
        <w:rPr>
          <w:i/>
          <w:sz w:val="16"/>
        </w:rPr>
      </w:r>
      <w:r>
        <w:rPr>
          <w:b w:val="0"/>
          <w:i w:val="0"/>
        </w:rPr>
      </w:r>
      <w:r>
        <w:t>Note S3.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w:t>
      </w:r>
      <w:r>
        <w:rPr>
          <w:b w:val="0"/>
          <w:i w:val="0"/>
          <w:color w:val="1F4E79"/>
        </w:rPr>
        <w:t>3</w:t>
      </w:r>
      <w:r>
        <w:rPr>
          <w:b w:val="0"/>
          <w:i w:val="0"/>
          <w:color w:val="1F4E79"/>
        </w:rPr>
        <w:t>).</w:t>
      </w:r>
    </w:p>
    <w:p>
      <w:pPr/>
      <w:r>
        <w:rPr>
          <w:i/>
          <w:sz w:val="16"/>
        </w:rPr>
      </w:r>
      <w:r>
        <w:rPr>
          <w:b w:val="0"/>
          <w:i w:val="0"/>
        </w:rPr>
      </w:r>
      <w:r/>
      <w:r>
        <w:rPr>
          <w:b w:val="0"/>
          <w:i w:val="0"/>
          <w:color w:val="1F4E79"/>
        </w:rPr>
      </w:r>
      <w:r>
        <w:rPr>
          <w:b w:val="0"/>
          <w:i w:val="0"/>
          <w:color w:val="1F4E79"/>
        </w:rPr>
      </w:r>
      <w:r>
        <w:rPr>
          <w:b w:val="0"/>
          <w:i w:val="0"/>
          <w:color w:val="1F4E79"/>
        </w:rPr>
        <w:t>[A TRANCHER : rendre 'host subject id' intrinsequement unique dans le depot, en le prefixant par la campagne (14Bue1004 / 15Bue1004), supprimerait ce piege pour tout reutilisateur. C'est une seconde correction MODIFY sur un champ, techniquement identique a celle du 2026-08-31.]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