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Resserrement du texte principal — comparaison paragraphe par paragraphe (2026-10-05)</w:t>
      </w:r>
    </w:p>
    <w:p>
      <w:r>
        <w:t>Référence : docs/manuscrit/Article.docx (md5 68caaeb7…, commit 23e3aad). Version resserrée : Article_resserre.docx. Texte principal (Background→Conclusions, hors notes grises) : 10677 → 7904 mots. Les paragraphes retirés des Methods sont déplacés sans modification (sauf renvois) dans la nouvelle Note S2 de Supplementary_Data_resserre.docx ; l'ancienne Note S2 devient Note S3. Les 64 chaînes contrôlées par le script 40 restent dans le texte principal. Plus de la moitié du texte de référence était déjà en bleu (passes antérieures) : la couleur ne distingue pas cette passe, d'où cette table.</w:t>
      </w:r>
    </w:p>
    <w:tbl>
      <w:tblPr>
        <w:tblStyle w:val="LightGrid-Accent1"/>
        <w:tblW w:type="auto" w:w="0"/>
        <w:tblLook w:firstColumn="1" w:firstRow="1" w:lastColumn="0" w:lastRow="0" w:noHBand="0" w:noVBand="1" w:val="04A0"/>
      </w:tblPr>
      <w:tblGrid>
        <w:gridCol w:w="4713"/>
        <w:gridCol w:w="4713"/>
        <w:gridCol w:w="4713"/>
      </w:tblGrid>
      <w:tr>
        <w:tc>
          <w:tcPr>
            <w:tcW w:type="dxa" w:w="4713"/>
          </w:tcPr>
          <w:p>
            <w:r>
              <w:t>Section</w:t>
            </w:r>
          </w:p>
        </w:tc>
        <w:tc>
          <w:tcPr>
            <w:tcW w:type="dxa" w:w="4713"/>
          </w:tcPr>
          <w:p>
            <w:r>
              <w:t>Mots avant</w:t>
            </w:r>
          </w:p>
        </w:tc>
        <w:tc>
          <w:tcPr>
            <w:tcW w:type="dxa" w:w="4713"/>
          </w:tcPr>
          <w:p>
            <w:r>
              <w:t>Mots après</w:t>
            </w:r>
          </w:p>
        </w:tc>
      </w:tr>
      <w:tr>
        <w:tc>
          <w:tcPr>
            <w:tcW w:type="dxa" w:w="4713"/>
          </w:tcPr>
          <w:p>
            <w:r>
              <w:t>Background</w:t>
            </w:r>
          </w:p>
        </w:tc>
        <w:tc>
          <w:tcPr>
            <w:tcW w:type="dxa" w:w="4713"/>
          </w:tcPr>
          <w:p>
            <w:r>
              <w:t>1449</w:t>
            </w:r>
          </w:p>
        </w:tc>
        <w:tc>
          <w:tcPr>
            <w:tcW w:type="dxa" w:w="4713"/>
          </w:tcPr>
          <w:p>
            <w:r>
              <w:t>1053</w:t>
            </w:r>
          </w:p>
        </w:tc>
      </w:tr>
      <w:tr>
        <w:tc>
          <w:tcPr>
            <w:tcW w:type="dxa" w:w="4713"/>
          </w:tcPr>
          <w:p>
            <w:r>
              <w:t>Methods</w:t>
            </w:r>
          </w:p>
        </w:tc>
        <w:tc>
          <w:tcPr>
            <w:tcW w:type="dxa" w:w="4713"/>
          </w:tcPr>
          <w:p>
            <w:r>
              <w:t>5261</w:t>
            </w:r>
          </w:p>
        </w:tc>
        <w:tc>
          <w:tcPr>
            <w:tcW w:type="dxa" w:w="4713"/>
          </w:tcPr>
          <w:p>
            <w:r>
              <w:t>3298</w:t>
            </w:r>
          </w:p>
        </w:tc>
      </w:tr>
      <w:tr>
        <w:tc>
          <w:tcPr>
            <w:tcW w:type="dxa" w:w="4713"/>
          </w:tcPr>
          <w:p>
            <w:r>
              <w:t>Results</w:t>
            </w:r>
          </w:p>
        </w:tc>
        <w:tc>
          <w:tcPr>
            <w:tcW w:type="dxa" w:w="4713"/>
          </w:tcPr>
          <w:p>
            <w:r>
              <w:t>2808</w:t>
            </w:r>
          </w:p>
        </w:tc>
        <w:tc>
          <w:tcPr>
            <w:tcW w:type="dxa" w:w="4713"/>
          </w:tcPr>
          <w:p>
            <w:r>
              <w:t>2493</w:t>
            </w:r>
          </w:p>
        </w:tc>
      </w:tr>
      <w:tr>
        <w:tc>
          <w:tcPr>
            <w:tcW w:type="dxa" w:w="4713"/>
          </w:tcPr>
          <w:p>
            <w:r>
              <w:t>Discussion</w:t>
            </w:r>
          </w:p>
        </w:tc>
        <w:tc>
          <w:tcPr>
            <w:tcW w:type="dxa" w:w="4713"/>
          </w:tcPr>
          <w:p>
            <w:r>
              <w:t>1047</w:t>
            </w:r>
          </w:p>
        </w:tc>
        <w:tc>
          <w:tcPr>
            <w:tcW w:type="dxa" w:w="4713"/>
          </w:tcPr>
          <w:p>
            <w:r>
              <w:t>948</w:t>
            </w:r>
          </w:p>
        </w:tc>
      </w:tr>
      <w:tr>
        <w:tc>
          <w:tcPr>
            <w:tcW w:type="dxa" w:w="4713"/>
          </w:tcPr>
          <w:p>
            <w:r>
              <w:t>Conclusions</w:t>
            </w:r>
          </w:p>
        </w:tc>
        <w:tc>
          <w:tcPr>
            <w:tcW w:type="dxa" w:w="4713"/>
          </w:tcPr>
          <w:p>
            <w:r>
              <w:t>112</w:t>
            </w:r>
          </w:p>
        </w:tc>
        <w:tc>
          <w:tcPr>
            <w:tcW w:type="dxa" w:w="4713"/>
          </w:tcPr>
          <w:p>
            <w:r>
              <w:t>112</w:t>
            </w:r>
          </w:p>
        </w:tc>
      </w:tr>
      <w:tr>
        <w:tc>
          <w:tcPr>
            <w:tcW w:type="dxa" w:w="4713"/>
          </w:tcPr>
          <w:p>
            <w:r>
              <w:t>Total</w:t>
            </w:r>
          </w:p>
        </w:tc>
        <w:tc>
          <w:tcPr>
            <w:tcW w:type="dxa" w:w="4713"/>
          </w:tcPr>
          <w:p>
            <w:r>
              <w:t>10677</w:t>
            </w:r>
          </w:p>
        </w:tc>
        <w:tc>
          <w:tcPr>
            <w:tcW w:type="dxa" w:w="4713"/>
          </w:tcPr>
          <w:p>
            <w:r>
              <w:t>7904</w:t>
            </w:r>
          </w:p>
        </w:tc>
      </w:tr>
    </w:tbl>
    <w:p/>
    <w:tbl>
      <w:tblPr>
        <w:tblStyle w:val="TableGrid"/>
        <w:tblW w:type="auto" w:w="0"/>
        <w:tblLook w:firstColumn="1" w:firstRow="1" w:lastColumn="0" w:lastRow="0" w:noHBand="0" w:noVBand="1" w:val="04A0"/>
      </w:tblPr>
      <w:tblGrid>
        <w:gridCol w:w="3535"/>
        <w:gridCol w:w="3535"/>
        <w:gridCol w:w="3535"/>
        <w:gridCol w:w="3535"/>
      </w:tblGrid>
      <w:tr>
        <w:tc>
          <w:tcPr>
            <w:tcW w:type="dxa" w:w="1814"/>
          </w:tcPr>
          <w:p>
            <w:r>
              <w:rPr>
                <w:b/>
              </w:rPr>
              <w:t>§ (paragraphe d'origine)</w:t>
            </w:r>
          </w:p>
        </w:tc>
        <w:tc>
          <w:tcPr>
            <w:tcW w:type="dxa" w:w="5839"/>
          </w:tcPr>
          <w:p>
            <w:r>
              <w:rPr>
                <w:b/>
              </w:rPr>
              <w:t>Avant</w:t>
            </w:r>
          </w:p>
        </w:tc>
        <w:tc>
          <w:tcPr>
            <w:tcW w:type="dxa" w:w="5839"/>
          </w:tcPr>
          <w:p>
            <w:r>
              <w:rPr>
                <w:b/>
              </w:rPr>
              <w:t>Après</w:t>
            </w:r>
          </w:p>
        </w:tc>
        <w:tc>
          <w:tcPr>
            <w:tcW w:type="dxa" w:w="1814"/>
          </w:tcPr>
          <w:p>
            <w:r>
              <w:rPr>
                <w:b/>
              </w:rPr>
              <w:t>Retiré / destination</w:t>
            </w:r>
          </w:p>
        </w:tc>
      </w:tr>
      <w:tr>
        <w:tc>
          <w:tcPr>
            <w:tcW w:type="dxa" w:w="1814"/>
          </w:tcPr>
          <w:p>
            <w:r>
              <w:t>Background [7]</w:t>
              <w:br/>
              <w:t>232 → 208 mots</w:t>
            </w:r>
          </w:p>
        </w:tc>
        <w:tc>
          <w:tcPr>
            <w:tcW w:type="dxa" w:w="5839"/>
          </w:tcPr>
          <w:p>
            <w:r>
              <w:t>Animals and the microbial communities they harbour form composite biological units in which microbial composition contributes to host performance and to tolerance of environmental constraints [1]. These associations are established largely by the sorting of microbial pools from the surrounding environment, a sorting that reflects host ecology and physiology — feeding behaviour, which selects among available resources, and the immune pathways underlying tolerance of or resistance to microbes [2–4]. Environmental acquisition is particularly important in fish, which live in a medium favourable to bacterial growth, are continuously exposed to microbes at their epithelial barriers, and are mostly oviparous with limited maternal effects compared with mammals [5]; accordingly, surveys of wild populations report a predominant environmental component of variation in bacterial composition [6–8]. Host genotype is nonetheless not without effect. A fourteen-year follow-up of wild baboons found microbiome phenotypes to be almost universally heritable, but with a typically low heritability that depends on context, and its authors concluded that large sample sizes are required to quantify it [9]; in stickleback, a host genetic influence on the gut microbiome became measurable once biological and technical components of variance had been decomposed beforehand [10]. If host ancestry shapes the fish microbiota, the expected effect is therefore small relative to the environmental one, and detecting it requires both substantial sample sizes and explicit control of the spatial and technical axes along which it could be mimicked.</w:t>
            </w:r>
          </w:p>
        </w:tc>
        <w:tc>
          <w:tcPr>
            <w:tcW w:type="dxa" w:w="5839"/>
          </w:tcPr>
          <w:p>
            <w:r>
              <w:t>Animals and their microbial communities form composite biological units in which microbial composition contributes to host performance and to tolerance of environmental constraints [1]. These associations are established largely by the sorting of environmental microbial pools according to host ecology and physiology — feeding behaviour and the immune pathways underlying tolerance of or resistance to microbes [2–4]. Environmental acquisition is particularly important in fish, which live in a medium favourable to bacterial growth, are continuously exposed to microbes at their epithelial barriers and are mostly oviparous, with limited maternal effects compared with mammals [5]; surveys of wild populations accordingly report a predominant environmental component of variation in bacterial composition [6–8]. Host genotype is nonetheless not without effect. In wild baboons followed over fourteen years, microbiome phenotypes were almost universally heritable, but with a typically low, context-dependent heritability that only large samples can quantify [9]; in stickleback, a host genetic influence on the gut microbiome became measurable once biological and technical components of variance had been decomposed [10]. Any effect of host ancestry on the fish microbiota is therefore expected to be small relative to the environmental one, and detecting it requires large samples and explicit control of the spatial and technical axes along which it could be mimicked.</w:t>
            </w:r>
          </w:p>
        </w:tc>
        <w:tc>
          <w:tcPr>
            <w:tcW w:type="dxa" w:w="1814"/>
          </w:tcPr>
          <w:p>
            <w:r>
              <w:t>« which selects among available resources » (détail).</w:t>
            </w:r>
          </w:p>
        </w:tc>
      </w:tr>
      <w:tr>
        <w:tc>
          <w:tcPr>
            <w:tcW w:type="dxa" w:w="1814"/>
          </w:tcPr>
          <w:p>
            <w:r>
              <w:t>Background [8]</w:t>
              <w:br/>
              <w:t>267 → 192 mots</w:t>
            </w:r>
          </w:p>
        </w:tc>
        <w:tc>
          <w:tcPr>
            <w:tcW w:type="dxa" w:w="5839"/>
          </w:tcPr>
          <w:p>
            <w:r>
              <w:t>Secondary contact zones make host ancestry a naturally occurring and naturally replicated variable, and they are where the question of a genomic contribution to microbiota assembly is posed most directly. Introgressive hybridisation may disrupt co-adapted gene complexes and thereby alter close host–microbe interactions [11]; conversely, hybridisation is a source of genomic diversity and adaptive novelty involved in speciation and in range expansion into enlarged ecological niches [12, 13], and this diversity may extend to the microbiota through the acquisition of new microbial taxa. Three outcomes are usually contrasted: an intermediate or additive microbiota, varying monotonically with ancestry; dominance, in which hybrids resemble one parental species; and a transgressive microbiota, lying outside the range of both parents. Camper et al. [14] gave this comparison an explicit framework for host-associated microbiomes, in which four idealised models of taxon membership — Union, Intersection, Gain and Loss — are never realised in pure form, so that the index measures the relative weight of each and the four weights sum to one. The Gain–Loss axis of that framework provides an operational definition of a transgressive microbiota, one that does not presuppose a cost to the host. The distinction matters, because the equation between transgression and dysbiosis has been challenged: on an ecologically successful hybrid lizard, Camper et al. [15] report widespread transgressive segregation correlated with a restructuring of niche, and argue that the negative conclusions of the literature rest disproportionately on hybrids of low adaptive value. We follow the framework's own statement of scope, that the index describes a pattern and not a process, in the same sense as a beta-diversity measure.</w:t>
            </w:r>
          </w:p>
        </w:tc>
        <w:tc>
          <w:tcPr>
            <w:tcW w:type="dxa" w:w="5839"/>
          </w:tcPr>
          <w:p>
            <w:r>
              <w:t>Secondary contact zones make host ancestry a naturally occurring and naturally replicated variable. Introgressive hybridisation may disrupt co-adapted gene complexes and thereby alter close host–microbe interactions [11]; conversely, hybridisation is a source of genomic diversity and adaptive novelty [12, 13], which may extend to the microbiota through the acquisition of new microbial taxa. Three outcomes are usually contrasted: an intermediate microbiota, varying monotonically with ancestry; dominance, in which hybrids resemble one parental species; and a transgressive microbiota, lying outside the range of both parents. Camper et al. [14] formalised this comparison for host-associated microbiomes with four idealised models of taxon membership — Union, Intersection, Gain and Loss — whose relative weights sum to one; the Gain–Loss axis gives an operational definition of a transgressive microbiota that does not presuppose a cost to the host. The distinction matters: on an ecologically successful hybrid lizard, widespread transgressive segregation was correlated with a restructuring of niche, and the authors argue that the equation of transgression with dysbiosis rests disproportionately on hybrids of low adaptive value [15]. Following the framework's own statement of scope, we read the index as describing a pattern and not a process.</w:t>
            </w:r>
          </w:p>
        </w:tc>
        <w:tc>
          <w:tcPr>
            <w:tcW w:type="dxa" w:w="1814"/>
          </w:tcPr>
          <w:p>
            <w:r>
              <w:t>« range expansion into enlarged ecological niches » ; « never realised in pure form » ; « in the same sense as a beta-diversity measure ».</w:t>
            </w:r>
          </w:p>
        </w:tc>
      </w:tr>
      <w:tr>
        <w:tc>
          <w:tcPr>
            <w:tcW w:type="dxa" w:w="1814"/>
          </w:tcPr>
          <w:p>
            <w:r>
              <w:t>Background [9]</w:t>
              <w:br/>
              <w:t>277 → 219 mots</w:t>
            </w:r>
          </w:p>
        </w:tc>
        <w:tc>
          <w:tcPr>
            <w:tcW w:type="dxa" w:w="5839"/>
          </w:tcPr>
          <w:p>
            <w:r>
              <w:t>What is known of hybrid microbiota in fish comes almost entirely from controlled crosses. Reciprocal hybrids of bream and culter, whose parents have contrasting feeding habits, show a strong correspondence between genotype and intestinal characteristics [16]; in intrageneric Takifugu hybrids, host hybridisation outweighs cohabitation in shaping the gut microbiota [17]; reciprocal hybrids of koi and goldfish resemble one parent rather than the midpoint of the two [18]; and whitefish species pairs with their reciprocal hybrids have been compared in natural and controlled environments [19]. This body of work has been reviewed recently [20]. Studies of natural hybrid zones in other vertebrates, for their part, do not converge. Host ancestry predominates in Neotoma woodrats, where habitat determines diet but genotype determines the gut microbiota [21], and in hybridising brown lemurs along a 180 km transect [22]. The opposite conclusion is reached in baboons spanning a hybrid zone, where site soil properties rather than genetic ancestry, relatedness or between-population genetic distance explain the gut microbiota [23], and in wild house mice, where an apparent effect of admixture becomes weak once spatial autocorrelation is taken into account, on two replicates of the same hybrid zone [24]. In hybridising chickadees moved to a common environment, the change of environment affected microbiota richness but not community composition, while a corresponding effect of ancestry on composition was not statistically supported [25] — a result that argues for reporting alpha and beta diversity separately rather than for a directed expectation on either. Across this literature, no study combines a natural hybrid zone in fish, host ancestry quantified by genotyping rather than assigned by cross class, and several tissue compartments characterised in the same individual.</w:t>
            </w:r>
          </w:p>
        </w:tc>
        <w:tc>
          <w:tcPr>
            <w:tcW w:type="dxa" w:w="5839"/>
          </w:tcPr>
          <w:p>
            <w:r>
              <w:t>What is known of hybrid microbiota in fish comes almost entirely from controlled crosses: genotype corresponds closely to intestinal characteristics in reciprocal hybrids of bream and culter, whose parents have contrasting feeding habits [16]; host hybridisation outweighs cohabitation in intrageneric Takifugu hybrids [17]; reciprocal hybrids of koi and goldfish resemble one parent rather than the midpoint of the two [18]; and whitefish species pairs and their hybrids have been compared in natural and controlled environments [19] (reviewed in [20]). Studies of natural hybrid zones in other vertebrates do not converge. Host ancestry predominates in Neotoma woodrats, where habitat determines diet but genotype determines the gut microbiota [21], and in hybridising brown lemurs [22]; site soil properties rather than genetic ancestry explain the gut microbiota of baboons spanning a hybrid zone [23], and an apparent effect of admixture in wild house mice becomes weak once spatial autocorrelation is taken into account [24]. In hybridising chickadees moved to a common environment, the change of environment affected richness but not composition, while an effect of ancestry on composition was not supported [25] — an argument for reporting alpha and beta diversity separately. No study yet combines a natural hybrid zone in fish, host ancestry quantified by genotyping rather than assigned by cross class, and several tissue compartments characterised in the same individual.</w:t>
            </w:r>
          </w:p>
        </w:tc>
        <w:tc>
          <w:tcPr>
            <w:tcW w:type="dxa" w:w="1814"/>
          </w:tcPr>
          <w:p>
            <w:r>
              <w:t>« along a 180 km transect » (lémuriens) ; « relatedness or between-population genetic distance » (babouins) ; « on two replicates of the same hybrid zone » (souris).</w:t>
            </w:r>
          </w:p>
        </w:tc>
      </w:tr>
      <w:tr>
        <w:tc>
          <w:tcPr>
            <w:tcW w:type="dxa" w:w="1814"/>
          </w:tcPr>
          <w:p>
            <w:r>
              <w:t>Background [10]</w:t>
              <w:br/>
              <w:t>266 → 226 mots</w:t>
            </w:r>
          </w:p>
        </w:tc>
        <w:tc>
          <w:tcPr>
            <w:tcW w:type="dxa" w:w="5839"/>
          </w:tcPr>
          <w:p>
            <w:r>
              <w:t>The nase Chondrostoma nasus and the South-west European nase, or toxostome, Parachondrostoma toxostoma offer that combination. The toxostome is endemic to southern France, where it is declining and is a species of conservation concern; the nase originates from central Europe and entered the Rhône basin following the construction of navigable connections across Europe during the last century [26], so that the two distributions have partially overlapped for about a hundred years. Hybridisation has been detected in the patchily distributed sympatric areas of the basin, with an incidence unrelated to habitat characteristics [27–29] — the configuration of a mosaic hybrid zone [30]. Guivier et al. [31] characterised the microbiota of four tissue compartments of the two species in strict parapatry on a single river, and found the tissue compartment to be the first factor of variation, with a marked contrast between externally and internally exposed tissues and with proportions of species-specific taxa that were asymmetric between compartments: the nase carried many specific taxa on its external tissues, the toxostome in its intestine. On that basis the authors proposed that introgressive hybridisation might affect the microbiota differently depending on the tissue considered, and closed by announcing the exploration of hybrid microbiota rearrangement, which their sample of sixteen fish at two stations could not support. The present study is that exploration, on 180 fish sampled at nine stations over six watercourses of the Rhône drainage in two years, with host ancestry resolved by genotyping across 25 chromosomes rather than by morphology, and with the same four compartments — caudal fin, gill, midgut and hindgut — characterised in each individual.</w:t>
            </w:r>
          </w:p>
        </w:tc>
        <w:tc>
          <w:tcPr>
            <w:tcW w:type="dxa" w:w="5839"/>
          </w:tcPr>
          <w:p>
            <w:r>
              <w:t>The nase Chondrostoma nasus and the South-west European nase, or toxostome, Parachondrostoma toxostoma offer that combination. The toxostome is endemic to southern France, where it is declining and is a species of conservation concern; the nase, native to central Europe, entered the Rhône basin through navigable connections built across Europe during the last century [26], so that the two distributions have partially overlapped for about a hundred years. Hybridisation occurs in the patchily distributed sympatric areas of the basin, with an incidence unrelated to habitat characteristics [27–29] — the configuration of a mosaic hybrid zone [30]. Guivier et al. [31] characterised four tissue compartments of the two species in strict parapatry on a single river: the tissue compartment was the first factor of variation, externally and internally exposed tissues contrasted markedly, and species-specific taxa were asymmetric between compartments, numerous on the external tissues of the nase and in the intestine of the toxostome. They proposed that introgressive hybridisation might affect the microbiota differently depending on the tissue, a question their sixteen fish at two stations could not address. The present study addresses it on 180 fish sampled at nine stations over six watercourses of the Rhône drainage in two years, with host ancestry resolved by genotyping across 25 chromosomes and the same four compartments — caudal fin, gill, midgut and hindgut — characterised in each individual.</w:t>
            </w:r>
          </w:p>
        </w:tc>
        <w:tc>
          <w:tcPr>
            <w:tcW w:type="dxa" w:w="1814"/>
          </w:tcPr>
          <w:p>
            <w:r>
              <w:t>« closed by announcing the exploration of hybrid microbiota rearrangement ».</w:t>
            </w:r>
          </w:p>
        </w:tc>
      </w:tr>
      <w:tr>
        <w:tc>
          <w:tcPr>
            <w:tcW w:type="dxa" w:w="1814"/>
          </w:tcPr>
          <w:p>
            <w:r>
              <w:t>Background [11]</w:t>
              <w:br/>
              <w:t>407 → 208 mots</w:t>
            </w:r>
          </w:p>
        </w:tc>
        <w:tc>
          <w:tcPr>
            <w:tcW w:type="dxa" w:w="5839"/>
          </w:tcPr>
          <w:p>
            <w:r>
              <w:t>We ask whether the microbiota of individuals of mixed ancestry is intermediate between the two parental species, dominated by one of them, or displaced outside their range, and whether the answer is the same in all four compartments. Three points of design are stated at the outset rather than introduced with the results. First, because genotyping across 25 chromosomes separates an intermediate genome from a near-parental genome introgressed on one or a few chromosomes — a single one in 17 of the 22 such individuals —, what counts as a hybrid is a decision and not a given: the contrast is therefore run twice, on intermediate genomes alone and on the wider set including introgressed near-parental individuals, with both passes declared in advance, and the displacement of the result between them measures the contribution of the introgressed individuals, a random-removal control separating that contribution from the accompanying change in sample size. Second, the comparison is reported both as a category contrast in a model spanning all stations — the only admissible form given the low heritability expected from Grieneisen et al. [9] — and, as a complementary characterisation, as the four-dimensional index of Camper et al. [14], whose core threshold and taxonomic rank are fixed a priori and whose sensitivity is reported, since on a natural hybrid system these choices move the index more than sample size or sequencing depth do. Third, genotypic category is entangled with the spatial axis in this design, station being by far the strongest correlate of composition, and field processing order propagated to plate position, whose effect on composition is real; results on category are consequently reported bracketed between the two sequential orderings rather than as a single decomposition, without plate position in the principal models and with it as a covariate in a sensitivity analysis, and read as patterns co-varying with station and with category rather than as effects of ancestry alone. Two stations of the same river, 25 km apart and separated by a weir passable only downstream, were sampled in two successive years and provide an internal reference in which the two parental species occupy separate stations of one river: C. nasus with two intermediate hybrids at one (14 individuals), P. toxostoma alone at the other (19). Following Guivier et al. [31], we expect any hybrid signal to be most pronounced in the digestive compartments, where the two parental species diverge most, rather than uniformly across the four tissues.</w:t>
            </w:r>
          </w:p>
        </w:tc>
        <w:tc>
          <w:tcPr>
            <w:tcW w:type="dxa" w:w="5839"/>
          </w:tcPr>
          <w:p>
            <w:r>
              <w:t>We ask whether the microbiota of individuals of mixed ancestry is intermediate between the two parental species, dominated by one of them or displaced outside their range, and whether the answer is the same in all four compartments. Three features of the design shape how the answer is reported. First, genotyping separates intermediate genomes from near-parental genomes introgressed on one or a few chromosomes, so that what counts as a hybrid is a decision: every contrast is run on intermediate hybrids alone and on all hybrids, both passes being declared in advance. Second, the comparison is reported both as a category contrast across stations and as the four-dimensional (4H) index of Camper et al. [14], whose settings are fixed a priori and whose sensitivity is reported. Third, genotypic category is entangled with station, the strongest correlate of composition, and with plate position, which followed field processing order; category effects are therefore bracketed between the two sequential orderings, with plate position as a covariate in a sensitivity analysis, and read as patterns co-varying with station and category rather than as effects of ancestry alone. Following Guivier et al. [31], we expect any hybrid signal to be most pronounced in the digestive compartments, where the two parental species diverge most.</w:t>
            </w:r>
          </w:p>
        </w:tc>
        <w:tc>
          <w:tcPr>
            <w:tcW w:type="dxa" w:w="1814"/>
          </w:tcPr>
          <w:p>
            <w:r>
              <w:t>Justifications des trois points de conception (déjà dans les Methods §1, §8.7, §8.11, §8.12) ; phrase sur la référence interne des deux stations du Suran (14 et 19 individus), qui n'est exploitée nulle part dans les Results.</w:t>
            </w:r>
          </w:p>
        </w:tc>
      </w:tr>
      <w:tr>
        <w:tc>
          <w:tcPr>
            <w:tcW w:type="dxa" w:w="1814"/>
          </w:tcPr>
          <w:p>
            <w:r>
              <w:t>Methods — 1. Study system and sampling [16]</w:t>
              <w:br/>
              <w:t>111 → 103 mots</w:t>
            </w:r>
          </w:p>
        </w:tc>
        <w:tc>
          <w:tcPr>
            <w:tcW w:type="dxa" w:w="5839"/>
          </w:tcPr>
          <w:p>
            <w:r>
              <w:t>We studied the host-associated bacterial microbiota of two interbreeding cyprinid fishes, the nase Chondrostoma nasus (code Cn) and the toxostome Parachondrostoma toxostoma (code Pt), together with their hybrids (code Hy), in their contact zone. Fish were sampled at nine stations of the Rhône drainage (rivers Durance, Suran, Buech, Beaume and Ardèche, and one canal fed by the Largue; south-eastern France) over two years (2014 and 2015), spanning a gradient of hybrid-zone context (allopatry, sympatry with hybridisation, and asymmetric introgression). Two of the nine stations lie on the Suran, 25.4 km apart and separated by a barrier passable only downstream; they are treated as distinct stations throughout because they carry different taxa.</w:t>
            </w:r>
          </w:p>
        </w:tc>
        <w:tc>
          <w:tcPr>
            <w:tcW w:type="dxa" w:w="5839"/>
          </w:tcPr>
          <w:p>
            <w:r>
              <w:t>We studied the host-associated bacterial microbiota of two interbreeding cyprinid fishes, the nase Chondrostoma nasus (code Cn) and the toxostome Parachondrostoma toxostoma (code Pt), and of their hybrids (code Hy), in their contact zone. Fish were sampled at nine stations of the Rhône drainage (rivers Durance, Suran, Buech, Beaume and Ardèche, and one canal fed by the Largue; south-eastern France) in 2014 and 2015, spanning a gradient of hybrid-zone context (allopatry, sympatry with hybridisation, asymmetric introgression). Two stations lie on the Suran, 25.4 km apart and separated by a barrier passable only downstream; they are treated as distinct because they carry different taxa.</w:t>
            </w:r>
          </w:p>
        </w:tc>
        <w:tc>
          <w:tcPr>
            <w:tcW w:type="dxa" w:w="1814"/>
          </w:tcPr>
          <w:p>
            <w:r/>
          </w:p>
        </w:tc>
      </w:tr>
      <w:tr>
        <w:tc>
          <w:tcPr>
            <w:tcW w:type="dxa" w:w="1814"/>
          </w:tcPr>
          <w:p>
            <w:r>
              <w:t>Methods — 1. Study system and sampling [19]</w:t>
              <w:br/>
              <w:t>60 → 63 mots</w:t>
            </w:r>
          </w:p>
        </w:tc>
        <w:tc>
          <w:tcPr>
            <w:tcW w:type="dxa" w:w="5839"/>
          </w:tcPr>
          <w:p>
            <w:r>
              <w:t>Stations, rivers, WGS84 coordinates, collection dates, years of sampling, genotypic composition and the number of individuals and libraries per station are given in Supplementary Table S1. Coordinates and collection dates are field records supplied by the collecting team; an earlier version of this dataset carried coordinates extrapolated from commune names, which have been replaced (see the note to Table S1).</w:t>
            </w:r>
          </w:p>
        </w:tc>
        <w:tc>
          <w:tcPr>
            <w:tcW w:type="dxa" w:w="5839"/>
          </w:tcPr>
          <w:p>
            <w:r>
              <w:t>Stations, coordinates, collection dates, genotypic composition and the numbers of individuals and libraries per station are given in Supplementary Table S1; coordinates and dates are field records supplied by the collecting team (see the note to Table S1). Individuals are counted per site code and year of sampling, which gives 180 individuals (156 if years are collapsed, because individual numbering restarts each year).</w:t>
            </w:r>
          </w:p>
        </w:tc>
        <w:tc>
          <w:tcPr>
            <w:tcW w:type="dxa" w:w="1814"/>
          </w:tcPr>
          <w:p>
            <w:r>
              <w:t>L'historique des coordonnées extrapolées : déjà dans la note de la Table S1.</w:t>
            </w:r>
          </w:p>
        </w:tc>
      </w:tr>
      <w:tr>
        <w:tc>
          <w:tcPr>
            <w:tcW w:type="dxa" w:w="1814"/>
          </w:tcPr>
          <w:p>
            <w:r>
              <w:t>Methods — 1. Study system and sampling [20]</w:t>
              <w:br/>
              <w:t>73 → 0 mots</w:t>
            </w:r>
          </w:p>
        </w:tc>
        <w:tc>
          <w:tcPr>
            <w:tcW w:type="dxa" w:w="5839"/>
          </w:tcPr>
          <w:p>
            <w:r>
              <w:t>Individuals are counted per site code and year of sampling, since the same station sampled in two years contributes distinct individuals to the design. Counting this way gives 180 individuals; collapsing years gives 156, because individual numbering restarts each year and identical numbers at one site are then merged. The two figures describe the same fish: 180 is the count used in the analyses, 156 the count obtained if the year is ignored.</w:t>
            </w:r>
          </w:p>
        </w:tc>
        <w:tc>
          <w:tcPr>
            <w:tcW w:type="dxa" w:w="5839"/>
          </w:tcPr>
          <w:p>
            <w:r>
              <w:t>(supprimé)</w:t>
            </w:r>
          </w:p>
        </w:tc>
        <w:tc>
          <w:tcPr>
            <w:tcW w:type="dxa" w:w="1814"/>
          </w:tcPr>
          <w:p>
            <w:r>
              <w:t>supprimé (contenu conservé ailleurs); Explication 180/156 condensée en une incise ; version longue déjà dans la note de la Table S1 (« Individual counts »).</w:t>
            </w:r>
          </w:p>
        </w:tc>
      </w:tr>
      <w:tr>
        <w:tc>
          <w:tcPr>
            <w:tcW w:type="dxa" w:w="1814"/>
          </w:tcPr>
          <w:p>
            <w:r>
              <w:t>Methods — 1. Study system and sampling [21]</w:t>
              <w:br/>
              <w:t>285 → 226 mots</w:t>
            </w:r>
          </w:p>
        </w:tc>
        <w:tc>
          <w:tcPr>
            <w:tcW w:type="dxa" w:w="5839"/>
          </w:tcPr>
          <w:p>
            <w:r>
              <w:t>Species identity was resolved by genotyping rather than by morphology. Each individual was assigned, from a chromosome-level assignment across 25 chromosomes, to one of three categories — Cn (59 individuals), Hy (42) and Pt (79) — and not by thresholding a median hybrid index, because a substantial minority of hybrids carry an extreme median index and their inter-chromosome discordance is what identifies them. Of the 180 individuals, 175 were genotyped from Q-scores on liver tissue. Individual genotypes, with the tissue on which each was obtained, are given in Supplementary Table S2. The remaining five, all assigned to a parental category, were resolved by other routes: three from Q-score fits on midgut and caudal fin, which agreed in assigning them to P. toxostoma, and two from an earlier and closely related method that left no Q-score record, so that no median index and no inter-chromosome discordance are reported for the latter two. The Hy category comprises two genome types: 20 intermediate genomes, and 22 near-parental genomes, introgressed on a single chromosome in 17 cases, on two in four and on six in one. What counts as a hybrid is therefore a decision, and every analysis of category is run twice, both passes being declared in advance: pass 1 retains the 20 intermediate hybrids and excludes the 22 near-parental individuals, which are not reassigned to a parental category (158 individuals); pass 2 retains all 42 (180 individuals). Nine of the 49 individuals previously identified on morphology were reclassified. Three stations carry all three categories — 74 individuals in pass 2 and 65 in pass 1, where Saint-Just-d'Ardèche retains a single hybrid — which is the subset in which the hybrid contrast can be tested within a station.</w:t>
            </w:r>
          </w:p>
        </w:tc>
        <w:tc>
          <w:tcPr>
            <w:tcW w:type="dxa" w:w="5839"/>
          </w:tcPr>
          <w:p>
            <w:r>
              <w:t>Species identity was resolved by genotyping rather than by morphology. Each individual was assigned, from a chromosome-level assignment across 25 chromosomes, to one of three categories — Cn (59 individuals), Hy (42) and Pt (79) — and not by thresholding a median hybrid index, because a substantial minority of hybrids carry an extreme median index and are identified by their inter-chromosome discordance. Genotypes were obtained from Q-scores on liver tissue for 175 individuals; of the remaining five, all parental, three were resolved from Q-score fits on midgut and caudal fin and two by an earlier, closely related method that left no Q-score record (Supplementary Table S2). Nine of the 49 individuals previously identified on morphology were reclassified. The Hy category comprises 20 intermediate genomes and 22 near-parental genomes, introgressed on a single chromosome in 17 cases, on two in four and on six in one. Every analysis of category is therefore run twice, both passes being declared in advance: pass 1 retains the 20 intermediate hybrids and excludes the 22 near-parental individuals, which are not reassigned to a parental category (158 individuals); pass 2 retains all 42 (180 individuals). Three stations carry all three categories — 74 individuals in pass 2 and 65 in pass 1, where Saint-Just-d'Ardèche retains a single hybrid — the subset in which the hybrid contrast can be tested within a station.</w:t>
            </w:r>
          </w:p>
        </w:tc>
        <w:tc>
          <w:tcPr>
            <w:tcW w:type="dxa" w:w="1814"/>
          </w:tcPr>
          <w:p>
            <w:r/>
          </w:p>
        </w:tc>
      </w:tr>
      <w:tr>
        <w:tc>
          <w:tcPr>
            <w:tcW w:type="dxa" w:w="1814"/>
          </w:tcPr>
          <w:p>
            <w:r>
              <w:t>Methods — 3. DNA extraction, 16S library preparation and sequencing [26]</w:t>
              <w:br/>
              <w:t>130 → 125 mots</w:t>
            </w:r>
          </w:p>
        </w:tc>
        <w:tc>
          <w:tcPr>
            <w:tcW w:type="dxa" w:w="5839"/>
          </w:tcPr>
          <w:p>
            <w:r>
              <w:t>Bacterial DNA was extracted from each tissue with the Qiagen Food Mericon kit (Qiagen, Venlo, Netherlands), following a slightly modified protocol detailed in Guivier et al. [31]. A 251 bp fragment of the V4 region of the bacterial 16S rRNA gene was amplified using the dual-index method of Kozich et al. [32], with forward and reverse primers carrying an 8 bp index and Illumina adapters (Caporaso primers 515F GTGCCAGCMGCCGCGGTAA / 806R GGACTACHVGGGTWTCTAAT). DNA amplification, purification and pooling of PCR products followed Galan et al. [33]. The final library was quantified with the Kapa quantification kit (Kapa Biosystems) and loaded on an Illumina MiSeq flow cell with reagent kit v3 (600 cycles), run as 2 × 251 bp paired-end reads with two 8 bp index reads (518 of the 600 cycles).</w:t>
            </w:r>
          </w:p>
        </w:tc>
        <w:tc>
          <w:tcPr>
            <w:tcW w:type="dxa" w:w="5839"/>
          </w:tcPr>
          <w:p>
            <w:r>
              <w:t>Bacterial DNA was extracted from each tissue with the Qiagen Food Mericon kit (Qiagen, Venlo, Netherlands), following a slightly modified protocol detailed in Guivier et al. [31]. A 251 bp fragment of the V4 region of the bacterial 16S rRNA gene was amplified with the dual-index method of Kozich et al. [32], with primers 515F GTGCCAGCMGCCGCGGTAA and 806R GGACTACHVGGGTWTCTAAT carrying an 8 bp index and Illumina adapters; amplification, purification and pooling followed Galan et al. [33]. Libraries were quantified with the Kapa quantification kit (Kapa Biosystems) and sequenced on an Illumina MiSeq with reagent kit v3 (2 × 251 bp paired-end reads, two 8 bp index reads) and a 10 % PhiX spike-in, on 10 July (durance1), 5 October (durance2) and 3 November 2017 (durance3).</w:t>
            </w:r>
          </w:p>
        </w:tc>
        <w:tc>
          <w:tcPr>
            <w:tcW w:type="dxa" w:w="1814"/>
          </w:tcPr>
          <w:p>
            <w:r>
              <w:t>déplacé verbatim dans la Note S2</w:t>
            </w:r>
          </w:p>
        </w:tc>
      </w:tr>
      <w:tr>
        <w:tc>
          <w:tcPr>
            <w:tcW w:type="dxa" w:w="1814"/>
          </w:tcPr>
          <w:p>
            <w:r>
              <w:t>Methods — 3. DNA extraction, 16S library preparation and sequencing [27]</w:t>
              <w:br/>
              <w:t>200 → 127 mots</w:t>
            </w:r>
          </w:p>
        </w:tc>
        <w:tc>
          <w:tcPr>
            <w:tcW w:type="dxa" w:w="5839"/>
          </w:tcPr>
          <w:p>
            <w:r>
              <w:t>For the present study the 768 samples were processed through two independent library preparations, each using the one-step dual-index PCR of Kozich et al. [32], in which the indices are incorporated during amplification. The first amplicon library was sequenced once (run durance1); the second, prepared from an independent PCR of the same samples, was sequenced twice on separate flow cells (runs durance2 and durance3). The same plate layout and the same set of 768 index combinations were used for both preparations, but the assignment of index pairs to wells differs between them: relative to durance1, the i7 index differs for 384 of the 768 libraries and the i5 index for 576, whereas durance2 and durance3 carry identical index pairs throughout (Supplementary Data, Index assignment). A distinct index assignment is a direct consequence of the one-step protocol, in which re-indexing an existing amplicon pool is not possible. Each biological sample is therefore represented three times, but with a nested rather than a flat replication structure: two levels of library preparation, and two sequencing runs within the second library. This design separates the variability contributed by library preparation from that contributed by sequencing alone, and neither is confounded with any biological factor.</w:t>
            </w:r>
          </w:p>
        </w:tc>
        <w:tc>
          <w:tcPr>
            <w:tcW w:type="dxa" w:w="5839"/>
          </w:tcPr>
          <w:p>
            <w:r>
              <w:t>The 768 samples were processed through two independent library preparations, each by the one-step dual-index PCR of Kozich et al. [32]. The first library was sequenced once (run durance1); the second, prepared from an independent PCR of the same samples, was sequenced twice on separate flow cells (durance2 and durance3). Because indices are incorporated during amplification, the two preparations carry different index assignments on the same plate layout (Supplementary Table S3). Each biological sample is thus represented three times in a nested structure — two library preparations, and two sequencing runs within the second — which separates the variability contributed by library preparation from that contributed by sequencing alone, neither being confounded with any biological factor; the structure was verified on the deposited data (Supplementary Note S1).</w:t>
            </w:r>
          </w:p>
        </w:tc>
        <w:tc>
          <w:tcPr>
            <w:tcW w:type="dxa" w:w="1814"/>
          </w:tcPr>
          <w:p>
            <w:r>
              <w:t>déplacé verbatim dans la Note S2</w:t>
            </w:r>
          </w:p>
        </w:tc>
      </w:tr>
      <w:tr>
        <w:tc>
          <w:tcPr>
            <w:tcW w:type="dxa" w:w="1814"/>
          </w:tcPr>
          <w:p>
            <w:r>
              <w:t>Methods — 3. DNA extraction, 16S library preparation and sequencing [28]</w:t>
              <w:br/>
              <w:t>56 → 0 mots</w:t>
            </w:r>
          </w:p>
        </w:tc>
        <w:tc>
          <w:tcPr>
            <w:tcW w:type="dxa" w:w="5839"/>
          </w:tcPr>
          <w:p>
            <w:r>
              <w:t>Libraries were sequenced on an Illumina MiSeq on 10 July 2017 (durance1), 5 October 2017 (durance2) and 3 November 2017 (durance3), with a 10 % PhiX spike-in. PCR conditions, purification and pooling followed Galan et al. [33]. Run labels, flow cells, dates and the mapping of runs to library preparations are given in Supplementary Table S3.</w:t>
            </w:r>
          </w:p>
        </w:tc>
        <w:tc>
          <w:tcPr>
            <w:tcW w:type="dxa" w:w="5839"/>
          </w:tcPr>
          <w:p>
            <w:r>
              <w:t>(supprimé)</w:t>
            </w:r>
          </w:p>
        </w:tc>
        <w:tc>
          <w:tcPr>
            <w:tcW w:type="dxa" w:w="1814"/>
          </w:tcPr>
          <w:p>
            <w:r>
              <w:t>supprimé (contenu conservé ailleurs)</w:t>
            </w:r>
          </w:p>
        </w:tc>
      </w:tr>
      <w:tr>
        <w:tc>
          <w:tcPr>
            <w:tcW w:type="dxa" w:w="1814"/>
          </w:tcPr>
          <w:p>
            <w:r>
              <w:t>Methods — 4. Controls [30]</w:t>
              <w:br/>
              <w:t>140 → 85 mots</w:t>
            </w:r>
          </w:p>
        </w:tc>
        <w:tc>
          <w:tcPr>
            <w:tcW w:type="dxa" w:w="5839"/>
          </w:tcPr>
          <w:p>
            <w:r>
              <w:t>Negative controls comprised extraction blanks and no-template PCR controls; the original sequencing project of this laboratory reports the same two categories (four extraction negative controls and eight amplification negative controls). In the Durance dataset we verified four extraction blanks — one per tissue (Blanc-Caudal, Blanc-Branchie, Blanc-Midgut, Blanc-Hindgut) — and eight no-template PCR controls (T-1 to T-8), each sequenced in all three runs, i.e. 12 and 24 control samples respectively (36 negative controls in total). Two aliquots of a commercial mock community — the ZymoBIOMICS Microbial Community Standard (Zymo Research, Irvine, CA, USA), a defined mixture of eight known bacterial taxa — were processed alongside the samples as positive controls (6 mock samples across runs). In addition, 25 empty wells received no library and were sequenced in all three runs — 75 empty-well samples — to monitor index hopping between libraries.</w:t>
            </w:r>
          </w:p>
        </w:tc>
        <w:tc>
          <w:tcPr>
            <w:tcW w:type="dxa" w:w="5839"/>
          </w:tcPr>
          <w:p>
            <w:r>
              <w:t>Negative controls comprised four extraction blanks, one per tissue, and eight no-template PCR controls, each sequenced in all three runs (36 negative-control samples). Two aliquots of the ZymoBIOMICS Microbial Community Standard (Zymo Research, cat. D6300), a defined mixture of eight bacterial taxa, served as positive controls (six mock samples across runs), and 25 empty wells that received no library were sequenced in all three runs (75 samples) to monitor index hopping. The biological samples, controls and empty wells deposited are listed in Supplementary Table S4.</w:t>
            </w:r>
          </w:p>
        </w:tc>
        <w:tc>
          <w:tcPr>
            <w:tcW w:type="dxa" w:w="1814"/>
          </w:tcPr>
          <w:p>
            <w:r>
              <w:t>déplacé verbatim dans la Note S2</w:t>
            </w:r>
          </w:p>
        </w:tc>
      </w:tr>
      <w:tr>
        <w:tc>
          <w:tcPr>
            <w:tcW w:type="dxa" w:w="1814"/>
          </w:tcPr>
          <w:p>
            <w:r>
              <w:t>Methods — 4. Controls [31]</w:t>
              <w:br/>
              <w:t>30 → 0 mots</w:t>
            </w:r>
          </w:p>
        </w:tc>
        <w:tc>
          <w:tcPr>
            <w:tcW w:type="dxa" w:w="5839"/>
          </w:tcPr>
          <w:p>
            <w:r>
              <w:t>The mock community was the ZymoBIOMICS Microbial Community Standard (Zymo Research, cat. D6300). The number of biological samples, controls and empty wells actually deposited is given in Supplementary Table S4.</w:t>
            </w:r>
          </w:p>
        </w:tc>
        <w:tc>
          <w:tcPr>
            <w:tcW w:type="dxa" w:w="5839"/>
          </w:tcPr>
          <w:p>
            <w:r>
              <w:t>(supprimé)</w:t>
            </w:r>
          </w:p>
        </w:tc>
        <w:tc>
          <w:tcPr>
            <w:tcW w:type="dxa" w:w="1814"/>
          </w:tcPr>
          <w:p>
            <w:r>
              <w:t>supprimé (contenu conservé ailleurs)</w:t>
            </w:r>
          </w:p>
        </w:tc>
      </w:tr>
      <w:tr>
        <w:tc>
          <w:tcPr>
            <w:tcW w:type="dxa" w:w="1814"/>
          </w:tcPr>
          <w:p>
            <w:r>
              <w:t>Methods — 5. Sequence processing overview [33]</w:t>
              <w:br/>
              <w:t>79 → 144 mots</w:t>
            </w:r>
          </w:p>
        </w:tc>
        <w:tc>
          <w:tcPr>
            <w:tcW w:type="dxa" w:w="5839"/>
          </w:tcPr>
          <w:p>
            <w:r>
              <w:t>Reads were processed with a custom, version-controlled pipeline (git-tracked; each parameter justified in the script headers). The three runs were processed separately through denoising and merged thereafter. Software versions: cutadapt 5.0 [34]; R 4.5.3 with DADA2 1.38.0 [35]; SILVA reference v138.2 [36] (DADA2 formatted, Zenodo 14169026); BLAST+ 2.13.0; FastQC and MultiQC for quality control. The 16S V4 primers, being also the sequencing primers (Schloss dual-index protocol), are not present in the reads; no 5′ primer trimming was therefore applied.</w:t>
            </w:r>
          </w:p>
        </w:tc>
        <w:tc>
          <w:tcPr>
            <w:tcW w:type="dxa" w:w="5839"/>
          </w:tcPr>
          <w:p>
            <w:r>
              <w:t>Reads were processed with a version-controlled pipeline (cutadapt 5.0 [34]; R 4.5.3 with DADA2 1.38.0 [35]; SILVA v138.2 [36]; BLAST+ 2.13.0; FastQC and MultiQC), each run being processed separately through denoising. The 16S V4 primers co-amplify the host mitochondrial 12S rRNA gene (15–67% of reads per sample); because the host amplicon (~190 bp) is shorter than the bacterial one (~253 bp), host reads were removed by length with cutadapt. Amplicon sequence variants (ASVs) were inferred per run with DADA2 after quality filtering and truncation, with error models learned per run; the three sequence tables were merged keeping runs distinct, chimeras were removed (consensus method) and taxonomy was assigned against SILVA with the naïve Bayesian classifier and exact species matching. ASVs assigned to Eukaryota, Chloroplast or Mitochondria, or unassigned at the domain level, were removed. Parameters and their justification are given in Supplementary Note S2.</w:t>
            </w:r>
          </w:p>
        </w:tc>
        <w:tc>
          <w:tcPr>
            <w:tcW w:type="dxa" w:w="1814"/>
          </w:tcPr>
          <w:p>
            <w:r>
              <w:t>déplacé verbatim dans la Note S2</w:t>
            </w:r>
          </w:p>
        </w:tc>
      </w:tr>
      <w:tr>
        <w:tc>
          <w:tcPr>
            <w:tcW w:type="dxa" w:w="1814"/>
          </w:tcPr>
          <w:p>
            <w:r>
              <w:t>Methods — 5.1 Quality control [34]</w:t>
              <w:br/>
              <w:t>3 → 0 mots</w:t>
            </w:r>
          </w:p>
        </w:tc>
        <w:tc>
          <w:tcPr>
            <w:tcW w:type="dxa" w:w="5839"/>
          </w:tcPr>
          <w:p>
            <w:r>
              <w:t>5.1 Quality control</w:t>
            </w:r>
          </w:p>
        </w:tc>
        <w:tc>
          <w:tcPr>
            <w:tcW w:type="dxa" w:w="5839"/>
          </w:tcPr>
          <w:p>
            <w:r>
              <w:t>(supprimé)</w:t>
            </w:r>
          </w:p>
        </w:tc>
        <w:tc>
          <w:tcPr>
            <w:tcW w:type="dxa" w:w="1814"/>
          </w:tcPr>
          <w:p>
            <w:r>
              <w:t>supprimé (contenu conservé ailleurs)</w:t>
            </w:r>
          </w:p>
        </w:tc>
      </w:tr>
      <w:tr>
        <w:tc>
          <w:tcPr>
            <w:tcW w:type="dxa" w:w="1814"/>
          </w:tcPr>
          <w:p>
            <w:r>
              <w:t>Methods — 5.1 Quality control [35]</w:t>
              <w:br/>
              <w:t>11 → 0 mots</w:t>
            </w:r>
          </w:p>
        </w:tc>
        <w:tc>
          <w:tcPr>
            <w:tcW w:type="dxa" w:w="5839"/>
          </w:tcPr>
          <w:p>
            <w:r>
              <w:t>Per-run read quality was assessed with FastQC and aggregated with MultiQC.</w:t>
            </w:r>
          </w:p>
        </w:tc>
        <w:tc>
          <w:tcPr>
            <w:tcW w:type="dxa" w:w="5839"/>
          </w:tcPr>
          <w:p>
            <w:r>
              <w:t>(supprimé)</w:t>
            </w:r>
          </w:p>
        </w:tc>
        <w:tc>
          <w:tcPr>
            <w:tcW w:type="dxa" w:w="1814"/>
          </w:tcPr>
          <w:p>
            <w:r>
              <w:t>déplacé verbatim dans la Note S2</w:t>
            </w:r>
          </w:p>
        </w:tc>
      </w:tr>
      <w:tr>
        <w:tc>
          <w:tcPr>
            <w:tcW w:type="dxa" w:w="1814"/>
          </w:tcPr>
          <w:p>
            <w:r>
              <w:t>Methods — 5.2 Removal of co-amplified host 12S rRNA [36]</w:t>
              <w:br/>
              <w:t>7 → 0 mots</w:t>
            </w:r>
          </w:p>
        </w:tc>
        <w:tc>
          <w:tcPr>
            <w:tcW w:type="dxa" w:w="5839"/>
          </w:tcPr>
          <w:p>
            <w:r>
              <w:t>5.2 Removal of co-amplified host 12S rRNA</w:t>
            </w:r>
          </w:p>
        </w:tc>
        <w:tc>
          <w:tcPr>
            <w:tcW w:type="dxa" w:w="5839"/>
          </w:tcPr>
          <w:p>
            <w:r>
              <w:t>(supprimé)</w:t>
            </w:r>
          </w:p>
        </w:tc>
        <w:tc>
          <w:tcPr>
            <w:tcW w:type="dxa" w:w="1814"/>
          </w:tcPr>
          <w:p>
            <w:r>
              <w:t>supprimé (contenu conservé ailleurs)</w:t>
            </w:r>
          </w:p>
        </w:tc>
      </w:tr>
      <w:tr>
        <w:tc>
          <w:tcPr>
            <w:tcW w:type="dxa" w:w="1814"/>
          </w:tcPr>
          <w:p>
            <w:r>
              <w:t>Methods — 5.2 Removal of co-amplified host 12S rRNA [37]</w:t>
              <w:br/>
              <w:t>132 → 0 mots</w:t>
            </w:r>
          </w:p>
        </w:tc>
        <w:tc>
          <w:tcPr>
            <w:tcW w:type="dxa" w:w="5839"/>
          </w:tcPr>
          <w:p>
            <w:r>
              <w:t>The 16S V4 primers co-amplify the host mitochondrial 12S rRNA gene (15–67% of reads per sample). Because the host 12S amplicon (~190 bp) is shorter than the bacterial V4 amplicon (~253 bp), host reads were removed upstream by length with cutadapt 5.0: the reverse complements of 806R and 515F were sought at the 3′ end of R1 and R2 respectively (options -a/-A, error rate -e 0.1, minimum overlap -O 10), and read pairs shorter than 240 bp after trimming (--minimum-length 240) were discarded. In a genuine ~253 bp V4 amplicon the opposite primer is never reached within a 251 bp read, so the read stays near full length and is retained; shorter host 12S reads are trimmed below threshold and removed. Discarded reads were kept separately (--too-short-output) as an exploitable host signal.</w:t>
            </w:r>
          </w:p>
        </w:tc>
        <w:tc>
          <w:tcPr>
            <w:tcW w:type="dxa" w:w="5839"/>
          </w:tcPr>
          <w:p>
            <w:r>
              <w:t>(supprimé)</w:t>
            </w:r>
          </w:p>
        </w:tc>
        <w:tc>
          <w:tcPr>
            <w:tcW w:type="dxa" w:w="1814"/>
          </w:tcPr>
          <w:p>
            <w:r>
              <w:t>déplacé verbatim dans la Note S2</w:t>
            </w:r>
          </w:p>
        </w:tc>
      </w:tr>
      <w:tr>
        <w:tc>
          <w:tcPr>
            <w:tcW w:type="dxa" w:w="1814"/>
          </w:tcPr>
          <w:p>
            <w:r>
              <w:t>Methods — 5.3 ASV inference (DADA2, per run) [38]</w:t>
              <w:br/>
              <w:t>6 → 0 mots</w:t>
            </w:r>
          </w:p>
        </w:tc>
        <w:tc>
          <w:tcPr>
            <w:tcW w:type="dxa" w:w="5839"/>
          </w:tcPr>
          <w:p>
            <w:r>
              <w:t>5.3 ASV inference (DADA2, per run)</w:t>
            </w:r>
          </w:p>
        </w:tc>
        <w:tc>
          <w:tcPr>
            <w:tcW w:type="dxa" w:w="5839"/>
          </w:tcPr>
          <w:p>
            <w:r>
              <w:t>(supprimé)</w:t>
            </w:r>
          </w:p>
        </w:tc>
        <w:tc>
          <w:tcPr>
            <w:tcW w:type="dxa" w:w="1814"/>
          </w:tcPr>
          <w:p>
            <w:r>
              <w:t>supprimé (contenu conservé ailleurs)</w:t>
            </w:r>
          </w:p>
        </w:tc>
      </w:tr>
      <w:tr>
        <w:tc>
          <w:tcPr>
            <w:tcW w:type="dxa" w:w="1814"/>
          </w:tcPr>
          <w:p>
            <w:r>
              <w:t>Methods — 5.3 ASV inference (DADA2, per run) [39]</w:t>
              <w:br/>
              <w:t>84 → 0 mots</w:t>
            </w:r>
          </w:p>
        </w:tc>
        <w:tc>
          <w:tcPr>
            <w:tcW w:type="dxa" w:w="5839"/>
          </w:tcPr>
          <w:p>
            <w:r>
              <w:t>Amplicon sequence variants (ASVs) were inferred with DADA2 1.38.0, independently for each run. Reads were quality-filtered and truncated with filterAndTrim (truncLen = 230 for R1 and 190 for R2; maxN = 0; maxEE = c(2, 2); truncQ = 2; rm.phix = TRUE), preserving a large (~167 bp) overlap for the ~253 bp V4 insert with 2×251 bp reads. Error models were learned separately per run (learnErrors), reflecting three distinct MiSeq runs, and reads were denoised (dada) and merged (mergePairs) into per-run sequence tables (makeSequenceTable).</w:t>
            </w:r>
          </w:p>
        </w:tc>
        <w:tc>
          <w:tcPr>
            <w:tcW w:type="dxa" w:w="5839"/>
          </w:tcPr>
          <w:p>
            <w:r>
              <w:t>(supprimé)</w:t>
            </w:r>
          </w:p>
        </w:tc>
        <w:tc>
          <w:tcPr>
            <w:tcW w:type="dxa" w:w="1814"/>
          </w:tcPr>
          <w:p>
            <w:r>
              <w:t>déplacé verbatim dans la Note S2</w:t>
            </w:r>
          </w:p>
        </w:tc>
      </w:tr>
      <w:tr>
        <w:tc>
          <w:tcPr>
            <w:tcW w:type="dxa" w:w="1814"/>
          </w:tcPr>
          <w:p>
            <w:r>
              <w:t>Methods — 5.4 Table merging, chimera removal and taxonomy [40]</w:t>
              <w:br/>
              <w:t>7 → 0 mots</w:t>
            </w:r>
          </w:p>
        </w:tc>
        <w:tc>
          <w:tcPr>
            <w:tcW w:type="dxa" w:w="5839"/>
          </w:tcPr>
          <w:p>
            <w:r>
              <w:t>5.4 Table merging, chimera removal and taxonomy</w:t>
            </w:r>
          </w:p>
        </w:tc>
        <w:tc>
          <w:tcPr>
            <w:tcW w:type="dxa" w:w="5839"/>
          </w:tcPr>
          <w:p>
            <w:r>
              <w:t>(supprimé)</w:t>
            </w:r>
          </w:p>
        </w:tc>
        <w:tc>
          <w:tcPr>
            <w:tcW w:type="dxa" w:w="1814"/>
          </w:tcPr>
          <w:p>
            <w:r>
              <w:t>supprimé (contenu conservé ailleurs)</w:t>
            </w:r>
          </w:p>
        </w:tc>
      </w:tr>
      <w:tr>
        <w:tc>
          <w:tcPr>
            <w:tcW w:type="dxa" w:w="1814"/>
          </w:tcPr>
          <w:p>
            <w:r>
              <w:t>Methods — 5.4 Table merging, chimera removal and taxonomy [41]</w:t>
              <w:br/>
              <w:t>72 → 0 mots</w:t>
            </w:r>
          </w:p>
        </w:tc>
        <w:tc>
          <w:tcPr>
            <w:tcW w:type="dxa" w:w="5839"/>
          </w:tcPr>
          <w:p>
            <w:r>
              <w:t>The three per-run sequence tables were combined with mergeSequenceTables, keeping the runs of each library distinct (samples suffixed by run, e.g. __durance1) so that the run effect remains estimable. Chimeras were removed from the merged table with removeBimeraDenovo (method = "consensus"). Taxonomy was assigned against SILVA v138.2 with the naïve Bayesian classifier (assignTaxonomy, tryRC = TRUE) and species-level exact matching (addSpecies). assignTaxonomy replicates the reference per thread and required 256 GB RAM.</w:t>
            </w:r>
          </w:p>
        </w:tc>
        <w:tc>
          <w:tcPr>
            <w:tcW w:type="dxa" w:w="5839"/>
          </w:tcPr>
          <w:p>
            <w:r>
              <w:t>(supprimé)</w:t>
            </w:r>
          </w:p>
        </w:tc>
        <w:tc>
          <w:tcPr>
            <w:tcW w:type="dxa" w:w="1814"/>
          </w:tcPr>
          <w:p>
            <w:r>
              <w:t>déplacé verbatim dans la Note S2</w:t>
            </w:r>
          </w:p>
        </w:tc>
      </w:tr>
      <w:tr>
        <w:tc>
          <w:tcPr>
            <w:tcW w:type="dxa" w:w="1814"/>
          </w:tcPr>
          <w:p>
            <w:r>
              <w:t>Methods — 5.5 Non-target filtering [42]</w:t>
              <w:br/>
              <w:t>3 → 0 mots</w:t>
            </w:r>
          </w:p>
        </w:tc>
        <w:tc>
          <w:tcPr>
            <w:tcW w:type="dxa" w:w="5839"/>
          </w:tcPr>
          <w:p>
            <w:r>
              <w:t>5.5 Non-target filtering</w:t>
            </w:r>
          </w:p>
        </w:tc>
        <w:tc>
          <w:tcPr>
            <w:tcW w:type="dxa" w:w="5839"/>
          </w:tcPr>
          <w:p>
            <w:r>
              <w:t>(supprimé)</w:t>
            </w:r>
          </w:p>
        </w:tc>
        <w:tc>
          <w:tcPr>
            <w:tcW w:type="dxa" w:w="1814"/>
          </w:tcPr>
          <w:p>
            <w:r>
              <w:t>supprimé (contenu conservé ailleurs)</w:t>
            </w:r>
          </w:p>
        </w:tc>
      </w:tr>
      <w:tr>
        <w:tc>
          <w:tcPr>
            <w:tcW w:type="dxa" w:w="1814"/>
          </w:tcPr>
          <w:p>
            <w:r>
              <w:t>Methods — 5.5 Non-target filtering [43]</w:t>
              <w:br/>
              <w:t>34 → 0 mots</w:t>
            </w:r>
          </w:p>
        </w:tc>
        <w:tc>
          <w:tcPr>
            <w:tcW w:type="dxa" w:w="5839"/>
          </w:tcPr>
          <w:p>
            <w:r>
              <w:t>ASVs assigned to Eukaryota or unassigned at the domain level, to Chloroplast (Order) or to Mitochondria (Family) were removed; the mitochondrial ASVs correspond to residual full-length host 12S captured by the taxonomic safety net.</w:t>
            </w:r>
          </w:p>
        </w:tc>
        <w:tc>
          <w:tcPr>
            <w:tcW w:type="dxa" w:w="5839"/>
          </w:tcPr>
          <w:p>
            <w:r>
              <w:t>(supprimé)</w:t>
            </w:r>
          </w:p>
        </w:tc>
        <w:tc>
          <w:tcPr>
            <w:tcW w:type="dxa" w:w="1814"/>
          </w:tcPr>
          <w:p>
            <w:r>
              <w:t>déplacé verbatim dans la Note S2</w:t>
            </w:r>
          </w:p>
        </w:tc>
      </w:tr>
      <w:tr>
        <w:tc>
          <w:tcPr>
            <w:tcW w:type="dxa" w:w="1814"/>
          </w:tcPr>
          <w:p>
            <w:r>
              <w:t>Methods — 6. Resulting dataset [45]</w:t>
              <w:br/>
              <w:t>80 → 39 mots</w:t>
            </w:r>
          </w:p>
        </w:tc>
        <w:tc>
          <w:tcPr>
            <w:tcW w:type="dxa" w:w="5839"/>
          </w:tcPr>
          <w:p>
            <w:r>
              <w:t>Processing yielded a filtered ASV table of 44,349 ASVs across 2,295 samples (of 2,304 expected; nine empty after filtering: eight controls and one biological sample present in the two other runs). Median read-pair merging was 93–94% and ~98% of reads were retained after chimera removal; ASV length peaked sharply at 251 bp with no residual 12S. The ASV table is joined to the sample metadata (taxon, tissue, site, year, length, weight, sex) by a composite key of the form {sample}__{run}.</w:t>
            </w:r>
          </w:p>
        </w:tc>
        <w:tc>
          <w:tcPr>
            <w:tcW w:type="dxa" w:w="5839"/>
          </w:tcPr>
          <w:p>
            <w:r>
              <w:t>Processing yielded 44,349 ASVs across 2,295 of the 2,304 expected samples (nine were empty after filtering: eight controls and one biological sample present in the two other runs). ASV length peaked sharply at 251 bp, with no residual 12S.</w:t>
            </w:r>
          </w:p>
        </w:tc>
        <w:tc>
          <w:tcPr>
            <w:tcW w:type="dxa" w:w="1814"/>
          </w:tcPr>
          <w:p>
            <w:r>
              <w:t>déplacé verbatim dans la Note S2</w:t>
            </w:r>
          </w:p>
        </w:tc>
      </w:tr>
      <w:tr>
        <w:tc>
          <w:tcPr>
            <w:tcW w:type="dxa" w:w="1814"/>
          </w:tcPr>
          <w:p>
            <w:r>
              <w:t>Methods — 7. Positive-control validation with the mock community [47]</w:t>
              <w:br/>
              <w:t>168 → 68 mots</w:t>
            </w:r>
          </w:p>
        </w:tc>
        <w:tc>
          <w:tcPr>
            <w:tcW w:type="dxa" w:w="5839"/>
          </w:tcPr>
          <w:p>
            <w:r>
              <w:t>The six mock samples (two aliquots × three runs) were used to validate ASV inference. Mock ASVs were compared by BLASTn (BLAST+ 2.13.0) against a reference of the eight bacterial 16S sequences of the ZymoBIOMICS standard. Because Zymo changed five strains from lot ZRC190633 onward, the earlier strain-set reference (archive ZR160406, corresponding to lots predating the 2019 strain change) was used. A confident match required ≥99% identity over ≥240 aligned bp. For each mock we computed the proportion of confidently Zymo-matching reads, the number of the eight expected species recovered, and the number of spurious ASVs (≥1% of sample reads without a confident hit). All six mocks recovered the eight expected species, with the eight dominant ASVs matching the reference at 100% identity over 251 bp; confidently matching reads represented ~100% of reads in every mock and no spurious ASV exceeded 1%, confirming accurate and clean ASV inference. (Escherichia coli and Salmonella enterica each contributed a second divergent ASV at ~99.6%, consistent with their multiple non-identical 16S operons.)</w:t>
            </w:r>
          </w:p>
        </w:tc>
        <w:tc>
          <w:tcPr>
            <w:tcW w:type="dxa" w:w="5839"/>
          </w:tcPr>
          <w:p>
            <w:r>
              <w:t>The six mock samples (two aliquots × three runs) validated ASV inference: all recovered the eight expected species, the eight dominant ASVs matched the ZymoBIOMICS reference at 100 % identity over 251 bp, confidently matching reads (BLASTn, ≥99 % identity over ≥240 aligned bp) represented ~100 % of reads in every mock, and no spurious ASV exceeded 1 % (reference strain set and lot in Supplementary Note S2).</w:t>
            </w:r>
          </w:p>
        </w:tc>
        <w:tc>
          <w:tcPr>
            <w:tcW w:type="dxa" w:w="1814"/>
          </w:tcPr>
          <w:p>
            <w:r>
              <w:t>déplacé verbatim dans la Note S2</w:t>
            </w:r>
          </w:p>
        </w:tc>
      </w:tr>
      <w:tr>
        <w:tc>
          <w:tcPr>
            <w:tcW w:type="dxa" w:w="1814"/>
          </w:tcPr>
          <w:p>
            <w:r>
              <w:t>Methods — 7. Positive-control validation with the mock community [48]</w:t>
              <w:br/>
              <w:t>99 → 0 mots</w:t>
            </w:r>
          </w:p>
        </w:tc>
        <w:tc>
          <w:tcPr>
            <w:tcW w:type="dxa" w:w="5839"/>
          </w:tcPr>
          <w:p>
            <w:r>
              <w:t>Lot numbers were not recorded for the standard used here; however, sequencing was performed in 2017 (July–November), which predates the ZRC190633 lot from which the five strains were changed, so the earlier strain set applies. This choice does not affect the validation: we verified that over the amplified V4 region the 16S sequences of the two reference sets are identical for all eight species — including Enterococcus faecalis and Staphylococcus aureus, whose full-length 16S differ between lots — so the mock ASVs match either reference equally and the recovery of 8/8 expected species is independent of the lot assignment.</w:t>
            </w:r>
          </w:p>
        </w:tc>
        <w:tc>
          <w:tcPr>
            <w:tcW w:type="dxa" w:w="5839"/>
          </w:tcPr>
          <w:p>
            <w:r>
              <w:t>(supprimé)</w:t>
            </w:r>
          </w:p>
        </w:tc>
        <w:tc>
          <w:tcPr>
            <w:tcW w:type="dxa" w:w="1814"/>
          </w:tcPr>
          <w:p>
            <w:r>
              <w:t>déplacé verbatim dans la Note S2</w:t>
            </w:r>
          </w:p>
        </w:tc>
      </w:tr>
      <w:tr>
        <w:tc>
          <w:tcPr>
            <w:tcW w:type="dxa" w:w="1814"/>
          </w:tcPr>
          <w:p>
            <w:r>
              <w:t>Methods — 8.1 Decontamination [51]</w:t>
              <w:br/>
              <w:t>178 → 77 mots</w:t>
            </w:r>
          </w:p>
        </w:tc>
        <w:tc>
          <w:tcPr>
            <w:tcW w:type="dxa" w:w="5839"/>
          </w:tcPr>
          <w:p>
            <w:r>
              <w:t>Reagent and laboratory contaminants were identified with decontam v1.30.0 [37] using the prevalence method, which contrasts the prevalence of each ASV in true samples against negative controls. DNA concentrations were not available for the Durance libraries, precluding the frequency method. The negative set comprised extraction blanks and PCR (no-template) negative controls, each present in all three sequencing runs (36 control samples in total); mock communities and empty wells were excluded from this step. Batches were defined by sequencing run. Two classification thresholds were compared (0.1, the package default, and 0.5). The default threshold of 0.1 was retained: it flagged 66 ASVs (0.15 % of ASVs) while retaining 99.76 % of reads, and the flagged taxa were taxonomically consistent with common reagent contaminants (Pseudomonadaceae, Moraxellaceae, Micrococcaceae, Propionibacteriaceae, Streptococcaceae). The more aggressive 0.5 threshold removed 2.13 % of reads in total, 1.89 points more than the retained threshold, including ASVs carrying genuine biological signal — most notably a Candidatus Branchiomonas ASV that was prevalent in gill and external tissues and essentially absent from negative controls — and was therefore rejected.</w:t>
            </w:r>
          </w:p>
        </w:tc>
        <w:tc>
          <w:tcPr>
            <w:tcW w:type="dxa" w:w="5839"/>
          </w:tcPr>
          <w:p>
            <w:r>
              <w:t>Contaminants were identified with decontam v1.30.0 [37] by the prevalence method against the 36 negative controls, batches being defined by sequencing run; DNA concentrations, required by the frequency method, were not available. The default threshold of 0.1 flagged 66 ASVs (0.15 % of ASVs) while retaining 99.76 % of reads, the flagged taxa being typical reagent contaminants; a threshold of 0.5 removed 1.89 points more reads, including ASVs carrying biological signal, and was rejected (Supplementary Note S2).</w:t>
            </w:r>
          </w:p>
        </w:tc>
        <w:tc>
          <w:tcPr>
            <w:tcW w:type="dxa" w:w="1814"/>
          </w:tcPr>
          <w:p>
            <w:r>
              <w:t>déplacé verbatim dans la Note S2</w:t>
            </w:r>
          </w:p>
        </w:tc>
      </w:tr>
      <w:tr>
        <w:tc>
          <w:tcPr>
            <w:tcW w:type="dxa" w:w="1814"/>
          </w:tcPr>
          <w:p>
            <w:r>
              <w:t>Methods — 8.2 Index-hopping assessment [53]</w:t>
              <w:br/>
              <w:t>79 → 38 mots</w:t>
            </w:r>
          </w:p>
        </w:tc>
        <w:tc>
          <w:tcPr>
            <w:tcW w:type="dxa" w:w="5839"/>
          </w:tcPr>
          <w:p>
            <w:r>
              <w:t>Cross-talk between libraries (index hopping) was quantified using the 25 empty wells, which received no library and in which any read therefore represents leakage; across the three runs they give 75 empty-well samples, of which 67 retained at least one read after filtering and 8 none. Across all empty wells these accumulated 41 reads out of 26.8 million (0.0002 %; median 0 reads per well, maximum 13), indicating negligible index hopping. No background-noise subtraction was applied on this basis.</w:t>
            </w:r>
          </w:p>
        </w:tc>
        <w:tc>
          <w:tcPr>
            <w:tcW w:type="dxa" w:w="5839"/>
          </w:tcPr>
          <w:p>
            <w:r>
              <w:t>Index hopping was quantified on the 75 empty-well samples, in which any read represents leakage: they accumulated 41 reads out of 26.8 million (0.0002 %; median 0 reads per well, maximum 13), and no background subtraction was applied.</w:t>
            </w:r>
          </w:p>
        </w:tc>
        <w:tc>
          <w:tcPr>
            <w:tcW w:type="dxa" w:w="1814"/>
          </w:tcPr>
          <w:p>
            <w:r>
              <w:t>déplacé verbatim dans la Note S2</w:t>
            </w:r>
          </w:p>
        </w:tc>
      </w:tr>
      <w:tr>
        <w:tc>
          <w:tcPr>
            <w:tcW w:type="dxa" w:w="1814"/>
          </w:tcPr>
          <w:p>
            <w:r>
              <w:t>Methods — 8.3 Mock-derived sample-level artefacts [55]</w:t>
              <w:br/>
              <w:t>143 → 92 mots</w:t>
            </w:r>
          </w:p>
        </w:tc>
        <w:tc>
          <w:tcPr>
            <w:tcW w:type="dxa" w:w="5839"/>
          </w:tcPr>
          <w:p>
            <w:r>
              <w:t>The ten ASVs matching the ZymoBIOMICS reference strains were used as exogenous tracers to screen biological samples. Two nominal individuals consisted of a single caudal-fin sample dominated by mock ASVs (70 % and 99 % of reads) and were positioned in the wells and index series of the mock controls; they were confirmed as mislabelled mock wells and excluded from the biological dataset. A further nine complete individuals showed mock ASVs at 20–65 % in a single well-tissue combination, with their remaining tissues unaffected, consistent with well-level contamination rather than sample-wide carry-over. The affected wells were mostly external tissues (13 caudal fin, 3 gill) but also included four digestive-tissue wells (3 hindgut, 1 midgut). For these samples the mock ASVs were removed and the remaining, legitimate ASVs retained. Mock ASVs were removed from all samples, and ASVs left with zero counts were discarded.</w:t>
            </w:r>
          </w:p>
        </w:tc>
        <w:tc>
          <w:tcPr>
            <w:tcW w:type="dxa" w:w="5839"/>
          </w:tcPr>
          <w:p>
            <w:r>
              <w:t>The ten ASVs matching the mock reference strains were used as exogenous tracers. Two nominal individuals, each a single caudal-fin sample dominated by mock ASVs (70 % and 99 % of reads) and placed in the wells and index series of the mock controls, were mislabelled mock wells and were excluded. Nine further individuals carried mock ASVs at 20–65 % in a single well-tissue combination, their other tissues being unaffected, consistent with well-level contamination (Supplementary Note S2). Mock ASVs were removed from all samples, and ASVs left with zero counts were discarded.</w:t>
            </w:r>
          </w:p>
        </w:tc>
        <w:tc>
          <w:tcPr>
            <w:tcW w:type="dxa" w:w="1814"/>
          </w:tcPr>
          <w:p>
            <w:r>
              <w:t>déplacé verbatim dans la Note S2</w:t>
            </w:r>
          </w:p>
        </w:tc>
      </w:tr>
      <w:tr>
        <w:tc>
          <w:tcPr>
            <w:tcW w:type="dxa" w:w="1814"/>
          </w:tcPr>
          <w:p>
            <w:r>
              <w:t>Methods — 8.5 Phylogenetic tree [59]</w:t>
              <w:br/>
              <w:t>81 → 45 mots</w:t>
            </w:r>
          </w:p>
        </w:tc>
        <w:tc>
          <w:tcPr>
            <w:tcW w:type="dxa" w:w="5839"/>
          </w:tcPr>
          <w:p>
            <w:r>
              <w:t>A de novo phylogeny was built from the ASV sequences with QIIME 2 [38] (align-to-tree-mafft-fasttree): multiple alignment with MAFFT [39], masking of highly variable positions, tree inference with FastTree 2 [40], and midpoint rooting. Fragment insertion into a reference backbone (SEPP) was not used because the ASVs are near-complete V4 amplicons (~251 bp) for which de novo alignment is appropriate. The resulting rooted tree covers all ASVs of the analysis table and supports UniFrac distances [41] and Faith's phylogenetic diversity [42].</w:t>
            </w:r>
          </w:p>
        </w:tc>
        <w:tc>
          <w:tcPr>
            <w:tcW w:type="dxa" w:w="5839"/>
          </w:tcPr>
          <w:p>
            <w:r>
              <w:t>A de novo phylogeny of the ASVs was built with QIIME 2 [38] (MAFFT alignment [39], masking of highly variable positions, FastTree 2 [40], midpoint rooting), de novo alignment being appropriate for near-complete V4 amplicons; it supports UniFrac distances [41] and Faith's phylogenetic diversity [42].</w:t>
            </w:r>
          </w:p>
        </w:tc>
        <w:tc>
          <w:tcPr>
            <w:tcW w:type="dxa" w:w="1814"/>
          </w:tcPr>
          <w:p>
            <w:r>
              <w:t>déplacé verbatim dans la Note S2</w:t>
            </w:r>
          </w:p>
        </w:tc>
      </w:tr>
      <w:tr>
        <w:tc>
          <w:tcPr>
            <w:tcW w:type="dxa" w:w="1814"/>
          </w:tcPr>
          <w:p>
            <w:r>
              <w:t>Methods — 8.6 Normalization of sequencing effort [61]</w:t>
              <w:br/>
              <w:t>117 → 56 mots</w:t>
            </w:r>
          </w:p>
        </w:tc>
        <w:tc>
          <w:tcPr>
            <w:tcW w:type="dxa" w:w="5839"/>
          </w:tcPr>
          <w:p>
            <w:r>
              <w:t>Uneven sequencing effort was controlled by rarefaction, currently the most robust approach for alpha- and beta-diversity metrics [43]. No universal threshold exists; the depth was therefore chosen on the data using three criteria. First, richness plateaued below 3,000 reads in rarefaction curves, so this depth captures the recoverable diversity. Second, a threshold of 3,000 reads retained 81.8 % of samples (1,784/2,180), against 72.6 % at 5,000 reads. Third — and decisively — sample retention at 3,000 reads was balanced across sequencing runs (80.2–83.5 % per run), the main technical batch factor, so rarefaction does not confound depth with batch. A higher threshold was rejected because it increased uneven sample loss across sites and taxa without improving coverage.</w:t>
            </w:r>
          </w:p>
        </w:tc>
        <w:tc>
          <w:tcPr>
            <w:tcW w:type="dxa" w:w="5839"/>
          </w:tcPr>
          <w:p>
            <w:r>
              <w:t>Sequencing effort was equalised by rarefaction [43]. A depth of 3,000 reads was chosen on three criteria: richness plateaued below it in rarefaction curves; it retained 81.8 % of samples (1,784/2,180), against 72.6 % at 5,000 reads; and retention was balanced across sequencing runs (80.2–83.5 % per run), so that depth is not confounded with batch.</w:t>
            </w:r>
          </w:p>
        </w:tc>
        <w:tc>
          <w:tcPr>
            <w:tcW w:type="dxa" w:w="1814"/>
          </w:tcPr>
          <w:p>
            <w:r>
              <w:t>déplacé verbatim dans la Note S2</w:t>
            </w:r>
          </w:p>
        </w:tc>
      </w:tr>
      <w:tr>
        <w:tc>
          <w:tcPr>
            <w:tcW w:type="dxa" w:w="1814"/>
          </w:tcPr>
          <w:p>
            <w:r>
              <w:t>Methods — 8.6 Normalization of sequencing effort [62]</w:t>
              <w:br/>
              <w:t>70 → 81 mots</w:t>
            </w:r>
          </w:p>
        </w:tc>
        <w:tc>
          <w:tcPr>
            <w:tcW w:type="dxa" w:w="5839"/>
          </w:tcPr>
          <w:p>
            <w:r>
              <w:t>Rarefaction was applied repeatedly rather than as a single draw [44]. Alpha-diversity indices (observed richness, Shannon, inverse Simpson) were averaged over 1,000 independent rarefactions, and Bray–Curtis and Jaccard dissimilarity matrices over 400. Metrics were averaged rather than count tables: averaging tables would populate each cell with the union of detections across draws and inflate observed richness above what 3,000 reads can support, reintroducing the very depth dependence that rarefaction removes.</w:t>
            </w:r>
          </w:p>
        </w:tc>
        <w:tc>
          <w:tcPr>
            <w:tcW w:type="dxa" w:w="5839"/>
          </w:tcPr>
          <w:p>
            <w:r>
              <w:t>Rarefaction was repeated rather than drawn once [44], and metrics rather than count tables were averaged, since averaging tables would inflate observed richness above what 3,000 reads can support: alpha indices over 1,000 rarefactions, Bray–Curtis and Jaccard matrices over 400, and unweighted UniFrac, weighted normalized UniFrac and Faith's phylogenetic diversity over 400 draws run as two independent chains. Monte-Carlo error, measured between independent chains, was negligible relative to the technical and biological dissimilarities (Supplementary Table S5; details in Supplementary Note S2).</w:t>
            </w:r>
          </w:p>
        </w:tc>
        <w:tc>
          <w:tcPr>
            <w:tcW w:type="dxa" w:w="1814"/>
          </w:tcPr>
          <w:p>
            <w:r>
              <w:t>déplacé verbatim dans la Note S2</w:t>
            </w:r>
          </w:p>
        </w:tc>
      </w:tr>
      <w:tr>
        <w:tc>
          <w:tcPr>
            <w:tcW w:type="dxa" w:w="1814"/>
          </w:tcPr>
          <w:p>
            <w:r>
              <w:t>Methods — 8.6 Normalization of sequencing effort [63]</w:t>
              <w:br/>
              <w:t>176 → 0 mots</w:t>
            </w:r>
          </w:p>
        </w:tc>
        <w:tc>
          <w:tcPr>
            <w:tcW w:type="dxa" w:w="5839"/>
          </w:tcPr>
          <w:p>
            <w:r>
              <w:t>Monte-Carlo error was quantified rather than assumed. Because a cumulative mean at N draws and one at 2N share their first N draws and are therefore autocorrelated, convergence was assessed by running two independent chains with disjoint seeds and comparing their means at matched iteration counts, the standard error of a single chain being sd(chain₁ − chain₂)/√2. This error decreased as N^−0.49 (Bray–Curtis) and N^−0.51 (Jaccard), matching the N^−0.5 expected for an average of independent draws. At 100 iterations it stood at 0.04 % of the mean dissimilarity (0.0004 in absolute terms), three orders of magnitude below both the technical (0.118–0.248) and the biological (0.880) dissimilarity scales reported in Results, so 100 iterations would have sufficed for the beta-diversity matrices. Median Monte-Carlo standard deviations for the alpha indices were 0.023 for Shannon (0.8 % of the median value), 2.37 for observed richness (1.9 %) and 0.21 for inverse Simpson (2.5 %); the abundance-weighted indices were thus the more stable, consistent with the limited reproducibility of rare ASVs (Results). Convergence values are given in Supplementary Table S5.</w:t>
            </w:r>
          </w:p>
        </w:tc>
        <w:tc>
          <w:tcPr>
            <w:tcW w:type="dxa" w:w="5839"/>
          </w:tcPr>
          <w:p>
            <w:r>
              <w:t>(supprimé)</w:t>
            </w:r>
          </w:p>
        </w:tc>
        <w:tc>
          <w:tcPr>
            <w:tcW w:type="dxa" w:w="1814"/>
          </w:tcPr>
          <w:p>
            <w:r>
              <w:t>déplacé verbatim dans la Note S2</w:t>
            </w:r>
          </w:p>
        </w:tc>
      </w:tr>
      <w:tr>
        <w:tc>
          <w:tcPr>
            <w:tcW w:type="dxa" w:w="1814"/>
          </w:tcPr>
          <w:p>
            <w:r>
              <w:t>Methods — 8.6 Normalization of sequencing effort [64]</w:t>
              <w:br/>
              <w:t>42 → 0 mots</w:t>
            </w:r>
          </w:p>
        </w:tc>
        <w:tc>
          <w:tcPr>
            <w:tcW w:type="dxa" w:w="5839"/>
          </w:tcPr>
          <w:p>
            <w:r>
              <w:t>Note that an averaged dissimilarity matrix is not guaranteed to satisfy the triangle inequality. This does not affect PERMANOVA or principal coordinates analysis, both of which accept semi-metrics, but the averaged matrices were not used in any method requiring a true metric.</w:t>
            </w:r>
          </w:p>
        </w:tc>
        <w:tc>
          <w:tcPr>
            <w:tcW w:type="dxa" w:w="5839"/>
          </w:tcPr>
          <w:p>
            <w:r>
              <w:t>(supprimé)</w:t>
            </w:r>
          </w:p>
        </w:tc>
        <w:tc>
          <w:tcPr>
            <w:tcW w:type="dxa" w:w="1814"/>
          </w:tcPr>
          <w:p>
            <w:r>
              <w:t>déplacé verbatim dans la Note S2</w:t>
            </w:r>
          </w:p>
        </w:tc>
      </w:tr>
      <w:tr>
        <w:tc>
          <w:tcPr>
            <w:tcW w:type="dxa" w:w="1814"/>
          </w:tcPr>
          <w:p>
            <w:r>
              <w:t>Methods — 8.6 Normalization of sequencing effort [65]</w:t>
              <w:br/>
              <w:t>120 → 0 mots</w:t>
            </w:r>
          </w:p>
        </w:tc>
        <w:tc>
          <w:tcPr>
            <w:tcW w:type="dxa" w:w="5839"/>
          </w:tcPr>
          <w:p>
            <w:r>
              <w:t>Phylogenetic metrics were computed on the same draws as the taxonomic ones. Unweighted UniFrac, weighted normalized UniFrac and Faith's phylogenetic diversity were averaged over 400 rarefactions at 3,000 reads, run as two independent chains of 200 with disjoint seeds so that Monte-Carlo error could be measured rather than assumed: relative standard error ranged from 0.04 % (Shannon) to 0.18 % (inverse Simpson), with between-chain correlations of at least 0.99987 on every metric. Convergence established on Bray-Curtis was not assumed to transfer to UniFrac. As a control that could have failed, the three taxonomic alpha indices were recomputed on these draws and compared with the earlier, independently drawn series: agreement was r &gt; 0.999997 with mean relative deviations of 0.04-0.15 %.</w:t>
            </w:r>
          </w:p>
        </w:tc>
        <w:tc>
          <w:tcPr>
            <w:tcW w:type="dxa" w:w="5839"/>
          </w:tcPr>
          <w:p>
            <w:r>
              <w:t>(supprimé)</w:t>
            </w:r>
          </w:p>
        </w:tc>
        <w:tc>
          <w:tcPr>
            <w:tcW w:type="dxa" w:w="1814"/>
          </w:tcPr>
          <w:p>
            <w:r>
              <w:t>déplacé verbatim dans la Note S2</w:t>
            </w:r>
          </w:p>
        </w:tc>
      </w:tr>
      <w:tr>
        <w:tc>
          <w:tcPr>
            <w:tcW w:type="dxa" w:w="1814"/>
          </w:tcPr>
          <w:p>
            <w:r>
              <w:t>Methods — 8.6 Normalization of sequencing effort [66]</w:t>
              <w:br/>
              <w:t>268 → 183 mots</w:t>
            </w:r>
          </w:p>
        </w:tc>
        <w:tc>
          <w:tcPr>
            <w:tcW w:type="dxa" w:w="5839"/>
          </w:tcPr>
          <w:p>
            <w:r>
              <w:t>Because the rarefaction threshold both equalises depth and decides which samples enter, the second of these effects was quantified separately. On a fixed set of samples - those retained at 3,000 reads, so that only depth varies - dissimilarity matrices recomputed at 500 to 2,000 reads were compared with the 3,000-read reference. The two abundance-weighted metrics proved essentially invariant down to 500 reads (weighted UniFrac r = 0.9994, Bray-Curtis r = 0.9985), whereas the two presence-based metrics degraded (Jaccard r = 0.9617, unweighted UniFrac r = 0.9373) and observed richness fell by 42 %, confirming that the loss is driven by rare taxa rather than by a general low-depth artefact. Sample retention at 3,000 reads is not random with respect to the variable of interest: in the caudal fin 50 % of intermediate hybrids passed the threshold against 86 % of P. toxostoma (pass 1), and 67 % of all 42 hybrids (pass 2), a gap of 36 and 20 points respectively, reaching 48 and 36 points at one of the three stations carrying the full genotypic gradient. No threshold removes this selection without the corresponding loss of richness. Claims resting on abundance-weighted metrics are therefore accompanied by a sensitivity analysis at 500 reads, where the caudal-fin gap falls to 3.8 points (pass 1) and 5.7 points (pass 2) and 2,067 samples are retained (1,825 in pass 1); claims resting on presence-based metrics are reported at 3,000 reads with the selection declared, since they cannot be tested at 500 and the midgut gap (14.0 and 8.9 points) persists there in any case. Supplementary Table S6 and Figure S2.</w:t>
            </w:r>
          </w:p>
        </w:tc>
        <w:tc>
          <w:tcPr>
            <w:tcW w:type="dxa" w:w="5839"/>
          </w:tcPr>
          <w:p>
            <w:r>
              <w:t>Because the threshold also decides which samples enter, the two effects were separated. On the samples retained at 3,000 reads, matrices recomputed at 500 reads were nearly invariant for the abundance-weighted metrics (weighted UniFrac r = 0.9994, Bray-Curtis r = 0.9985) but not for the presence-based ones (Jaccard r = 0.9617, unweighted UniFrac r = 0.9373), observed richness falling by 42 %. Retention at 3,000 reads is not random with respect to category: in the caudal fin 50 % of intermediate hybrids passed the threshold against 86 % of P. toxostoma (pass 1), and 67 % of all 42 hybrids (pass 2), a gap of 36 and 20 points respectively. Claims resting on abundance-weighted metrics are therefore accompanied by a sensitivity analysis at 500 reads, where the caudal-fin gap falls to 3.8 points (pass 1) and 5.7 points (pass 2) and 2,067 samples are retained (1,825 in pass 1); claims resting on presence-based metrics are reported at 3,000 reads with the selection declared, the midgut gap (14.0 and 8.9 points) persisting at 500 reads in any case (Supplementary Table S6 and Figure S2).</w:t>
            </w:r>
          </w:p>
        </w:tc>
        <w:tc>
          <w:tcPr>
            <w:tcW w:type="dxa" w:w="1814"/>
          </w:tcPr>
          <w:p>
            <w:r>
              <w:t>déplacé verbatim dans la Note S2</w:t>
            </w:r>
          </w:p>
        </w:tc>
      </w:tr>
      <w:tr>
        <w:tc>
          <w:tcPr>
            <w:tcW w:type="dxa" w:w="1814"/>
          </w:tcPr>
          <w:p>
            <w:r>
              <w:t>Methods — 8.7 Statistical framework [68]</w:t>
              <w:br/>
              <w:t>440 → 336 mots</w:t>
            </w:r>
          </w:p>
        </w:tc>
        <w:tc>
          <w:tcPr>
            <w:tcW w:type="dxa" w:w="5839"/>
          </w:tcPr>
          <w:p>
            <w:r>
              <w:t>Community composition is analysed by PERMANOVA [45] on the averaged dissimilarity matrices, stratified by tissue. Stratification is imposed by the design rather than chosen: 168 of the 180 fish occupy the same plate column across all four tissues, so plate position is not estimable in a pooled model carrying fish identity. Station, not site code, is the spatial unit, since two site codes each span two Suran stations that share no genotypic category. Sequencing run is nested within library preparation (§8.8). Every analysis of genotypic category is run in the two passes defined in §1. Plate column is not entered in the principal models, which report patterns co-varying with station and category without separating them; because its effect on composition is real (§8.9; Results), every model testing category is also fitted with plate column as a covariate and reported as a sensitivity analysis. Because genotypic category, station and plate position are mutually entangled (Results), no single sequential decomposition is reported: each model is fitted in both orderings and the interval between them is given, the ordering that serves category first bounding it from above and the ordering that serves it last from below. Permutations are constrained within station blocks where the question concerns a within-station contrast. Dispersion is tested separately with PERMDISP [46], since the transgressive hypothesis concerns the variability of hybrid microbiota and not only the position of its centroid, and since PERMANOVA is itself sensitive to heterogeneous dispersion. Every claim is reported per metric and per tissue. Four dissimilarities are carried throughout — Bray–Curtis, Jaccard, unweighted and weighted UniFrac — together with four alpha indices: observed richness, Shannon, inverse Simpson and Faith's phylogenetic diversity. Because resequencing one library recovers only 48 % of the ASVs present at 1–3 reads (Results), presence-based metrics are not treated as sufficient on their own: a result is stated as established only where at least one abundance-weighted and one presence-based metric support it, and is otherwise reported as metric-dependent with the supporting metrics named. Figures quoted in running text use Shannon for alpha diversity and Bray–Curtis for composition, both abundance-weighted, with the remaining metrics reported alongside rather than relegated. Weighting is not the operative axis for composition: Bray–Curtis, though abundance-weighted, patterns with the two presence-based dissimilarities on both category and dispersion, whereas weighted UniFrac stands apart, so the rule is applied metric by metric rather than by weighting class. The choice of a differential-abundance method remains to be fixed. PERMANOVA (adonis2) and PERMDISP (betadisper) were run with vegan 2.7-5 [47]. Distances to group medians in PERMDISP were corrected for small-sample bias (bias.adjust = TRUE [48]), hybrids being the smallest category in every stratum.</w:t>
            </w:r>
          </w:p>
        </w:tc>
        <w:tc>
          <w:tcPr>
            <w:tcW w:type="dxa" w:w="5839"/>
          </w:tcPr>
          <w:p>
            <w:r>
              <w:t>Community composition was analysed by PERMANOVA [45] on the averaged dissimilarity matrices, stratified by tissue, a stratification imposed by the design: 168 of the 180 fish occupy the same plate column across all four tissues, so that plate position is not estimable in a pooled model carrying fish identity. Station, not site code, is the spatial unit, since two site codes each span two Suran stations that share no genotypic category; sequencing run is nested within library preparation (§8.8), and every analysis of category is run in the two passes of §1. Because genotypic category, station and plate position are mutually entangled (Results), each model is fitted in both sequential orderings and the interval between them is reported, the ordering that serves category first bounding it from above and the ordering that serves it last from below. Plate column is not entered in the principal models, but every model testing category is refitted with it as a covariate and reported as a sensitivity analysis. Permutations are constrained within station blocks where the question concerns a within-station contrast. Dispersion was tested with PERMDISP [46], since the transgressive hypothesis concerns the variability of hybrid microbiota and PERMANOVA is itself sensitive to heterogeneous dispersion; distances to group medians were corrected for small-sample bias (bias.adjust = TRUE [48]), hybrids being the smallest category in every stratum. Both analyses were run with vegan 2.7-5 [47]. Four dissimilarities — Bray–Curtis, Jaccard, unweighted and weighted UniFrac — and four alpha indices — observed richness, Shannon, inverse Simpson and Faith's phylogenetic diversity — are reported per tissue. Because resequencing one library recovers only 48 % of the ASVs present at 1–3 reads (Results), a result is stated as established only where at least one abundance-weighted and one presence-based metric support it, and is otherwise reported as metric-dependent with the supporting metrics named; the rule is applied metric by metric, since Bray–Curtis patterns with the two presence-based dissimilarities whereas weighted UniFrac stands apart. Running text quotes Shannon and Bray–Curtis, the remaining metrics being reported alongside.</w:t>
            </w:r>
          </w:p>
        </w:tc>
        <w:tc>
          <w:tcPr>
            <w:tcW w:type="dxa" w:w="1814"/>
          </w:tcPr>
          <w:p>
            <w:r>
              <w:t>« The choice of a differential-abundance method remains to be fixed. » — signalée en note grise, à trancher.</w:t>
            </w:r>
          </w:p>
        </w:tc>
      </w:tr>
      <w:tr>
        <w:tc>
          <w:tcPr>
            <w:tcW w:type="dxa" w:w="1814"/>
          </w:tcPr>
          <w:p>
            <w:r>
              <w:t>Methods — 8.10 Alpha diversity [74]</w:t>
              <w:br/>
              <w:t>275 → 229 mots</w:t>
            </w:r>
          </w:p>
        </w:tc>
        <w:tc>
          <w:tcPr>
            <w:tcW w:type="dxa" w:w="5839"/>
          </w:tcPr>
          <w:p>
            <w:r>
              <w:t>Alpha diversity was summarised per individual and tissue as the mean over the three runs of the rarefied indices (observed richness, Shannon, inverse Simpson and Faith's phylogenetic diversity), analysed on the log scale, every analysis being run on the four indices. First, the contrasts between external (caudal fin, gill) and internal (midgut, hindgut) compartments, and between midgut and hindgut, were tested within individual by a paired t-test on log values, with the Wilcoxon signed-rank test reported alongside, and expressed as ratios of geometric means with 95 % confidence intervals. Second, the variance of log alpha diversity over the 1,784 rarefied samples was partitioned by a linear model with tissue, site-year, individual, library preparation and sequencing run; sequential and marginal shares of the sum of squares are reported, nested terms having no marginal share of their own. Third, the effect of genotypic category was tested per tissue and pass by ordinary least squares, log(index) ~ station + category, with an F test of the category term and the contrasts hybrid − C. nasus, hybrid − P. toxostoma and hybrid − parental midpoint with 95 % confidence intervals; plate position was added as a covariate in a sensitivity model. Hybrids were classified as intermediate when their estimate lay between the two parental estimates and did not differ from their midpoint; as dominant when their interval included one parent and excluded the other; and as transgressive when their estimate lay beyond the parental range with an interval excluding the nearer parent. When no criterion or more than one was met, the class is reported as undetermined. This rule, and the three tests of §8.12, were declared before computation.</w:t>
            </w:r>
          </w:p>
        </w:tc>
        <w:tc>
          <w:tcPr>
            <w:tcW w:type="dxa" w:w="5839"/>
          </w:tcPr>
          <w:p>
            <w:r>
              <w:t>Alpha diversity was summarised per individual and tissue as the mean over the three runs of the four rarefied indices, analysed on the log scale. First, external (caudal fin, gill) and internal (midgut, hindgut) compartments, and midgut and hindgut, were contrasted within individual by paired t-tests on log values, with Wilcoxon signed-rank tests alongside, and expressed as ratios of geometric means with 95 % confidence intervals. Second, the variance of log alpha diversity over the 1,784 rarefied samples was partitioned by a linear model with tissue, site-year, individual, library preparation and sequencing run, reporting sequential and marginal shares. Third, genotypic category was tested per tissue and pass by ordinary least squares, log(index) ~ station + category, with an F test of the category term and the contrasts hybrid − C. nasus, hybrid − P. toxostoma and hybrid − parental midpoint with 95 % confidence intervals; plate position was added as a covariate in a sensitivity model. Hybrids were classified as intermediate when their estimate lay between the two parental estimates and did not differ from their midpoint; as dominant when their interval included one parent and excluded the other; as transgressive when their estimate lay beyond the parental range with an interval excluding the nearer parent; and as undetermined when no criterion or more than one was met. This rule, and the controls of §8.12, were declared before computation.</w:t>
            </w:r>
          </w:p>
        </w:tc>
        <w:tc>
          <w:tcPr>
            <w:tcW w:type="dxa" w:w="1814"/>
          </w:tcPr>
          <w:p>
            <w:r/>
          </w:p>
        </w:tc>
      </w:tr>
      <w:tr>
        <w:tc>
          <w:tcPr>
            <w:tcW w:type="dxa" w:w="1814"/>
          </w:tcPr>
          <w:p>
            <w:r>
              <w:t>Methods — 8.11 Four-dimensional (4H) index [76]</w:t>
              <w:br/>
              <w:t>435 → 382 mots</w:t>
            </w:r>
          </w:p>
        </w:tc>
        <w:tc>
          <w:tcPr>
            <w:tcW w:type="dxa" w:w="5839"/>
          </w:tcPr>
          <w:p>
            <w:r>
              <w:t>The 4H index [14] was computed with the R package HybridMicrobiomes 0.1.1 [49] and phyloseq [50], on three host classes — C. nasus, hybrids and P. toxostoma — in each pass, tissue and sequencing run separately. Its parameters and reading rules were fixed in a document committed before any index was computed: core fraction ρ = 0.5 at genus rank, with sensitivity at ρ = 0.3 and 0.7 and at family rank, and no abundance threshold (ϑ = ε = 0); ρ ≥ 0.8 was excluded because the Intersection dimension vanishes there on the published natural hybrid system. ASV counts were aggregated to genus; 48.6 % of ASVs, carrying 64.1 % of reads, were assigned to a genus (family: 77.9 % and 90.6 %), and unassigned ASVs were excluded. Because the package rarefies the aggregated table, samples were required to carry at least 1,000 genus-assigned reads (1,749 of the 1,784 rarefied samples) and were rarefied to that depth at each of 500 bootstraps; on the published natural hybrid system the parental axis varies by at most 0.067 between 1,000 and 10,000 reads [14]. Each bootstrap drew without replacement the same number of hosts N from each class, N being one less than the smallest class of pass 1 in the stratum (9 in the caudal fin, 10–19 elsewhere), and the same N was applied to pass 2 so that the two passes are compared on equal footing; pass 2 was also computed at its own N. An abundance-based version of the index (inspired by Bray–Curtis), the pre-analysis of core fractions, the null plane and a null hybrid model averaging one randomly drawn individual of each parental species were computed with the same settings. The index is reported along its parental (Union + Intersection) and transgressive (Gain + Loss) axes. An axis was called dominant when it exceeded 0.5 in all three runs, and robust when the same axis dominated at ρ = 0.3, at ρ = 0.7, at family rank and in the abundance-based version; two compartments were called different when the 95 % bootstrap intervals of the transgressive axis were disjoint in all three runs. The PERMANOVA comparison of bootstrap sets offered by the package was not used, because its p-value decreases with the arbitrarily chosen number of bootstraps. Preferential retention of the taxa shared by both parents was inferred when more than 95 % of bootstraps lay on the Intersection side of the null plane in all three runs. Following the framework's own statement of scope, the index is read as a pattern of taxon membership, not as evidence of an assembly process.</w:t>
            </w:r>
          </w:p>
        </w:tc>
        <w:tc>
          <w:tcPr>
            <w:tcW w:type="dxa" w:w="5839"/>
          </w:tcPr>
          <w:p>
            <w:r>
              <w:t>The 4H index [14] was computed with the R package HybridMicrobiomes 0.1.1 [49] and phyloseq [50] on three host classes — C. nasus, hybrids and P. toxostoma — in each pass, tissue and sequencing run. Its parameters and reading rules were fixed in a document committed before any index was computed: core fraction ρ = 0.5 at genus rank, with sensitivity at ρ = 0.3 and 0.7 and at family rank, and no abundance threshold (ϑ = ε = 0); ρ ≥ 0.8 was excluded because the Intersection dimension vanishes there on the published natural hybrid system. Counts were aggregated to genus — 48.6 % of ASVs, carrying 64.1 % of reads, were assigned to a genus (family: 77.9 % and 90.6 %) — and unassigned ASVs were excluded. Samples carrying at least 1,000 genus-assigned reads (1,749 of the 1,784 rarefied samples) were rarefied to that depth at each of 500 bootstraps; on the published natural hybrid system the parental axis varies by at most 0.067 between 1,000 and 10,000 reads [14]. Each bootstrap drew without replacement the same number of hosts N from each class, N being one less than the smallest class of pass 1 in the stratum (9 in the caudal fin, 10–19 elsewhere), and the same N was applied to pass 2; pass 2 was also computed at its own N. The abundance-based version of the index, the pre-analysis of core fractions, the null plane and a null hybrid averaging one randomly drawn individual of each parental species were computed with the same settings. An axis — parental (Union + Intersection) or transgressive (Gain + Loss) — was called dominant when it exceeded 0.5 in all three runs, and robust when the same axis also dominated at ρ = 0.3, at ρ = 0.7, at family rank and in the abundance-based version; two compartments were called different when the 95 % bootstrap intervals of the transgressive axis were disjoint in all three runs. The PERMANOVA comparison of bootstrap sets offered by the package was not used, because its p-value decreases with the arbitrarily chosen number of bootstraps. Preferential retention of the taxa shared by both parents was inferred when more than 95 % of bootstraps lay on the Intersection side of the null plane in all three runs.</w:t>
            </w:r>
          </w:p>
        </w:tc>
        <w:tc>
          <w:tcPr>
            <w:tcW w:type="dxa" w:w="1814"/>
          </w:tcPr>
          <w:p>
            <w:r>
              <w:t>Dernière phrase (motif et non processus) : déjà dans le Background.</w:t>
            </w:r>
          </w:p>
        </w:tc>
      </w:tr>
      <w:tr>
        <w:tc>
          <w:tcPr>
            <w:tcW w:type="dxa" w:w="1814"/>
          </w:tcPr>
          <w:p>
            <w:r>
              <w:t>Methods — 9. Reproducibility and data availability [81]</w:t>
              <w:br/>
              <w:t>167 → 70 mots</w:t>
            </w:r>
          </w:p>
        </w:tc>
        <w:tc>
          <w:tcPr>
            <w:tcW w:type="dxa" w:w="5839"/>
          </w:tcPr>
          <w:p>
            <w:r>
              <w:t>Raw sequence data have been deposited in the European Nucleotide Archive (ENA) at EMBL-EBI under accession number PRJEB124417. The submission comprises 768 samples and 2,304 sequencing runs (4,608 FASTQ files, 11.7 GB). Each sample was processed through two independent one-step dual-index PCR library preparations: the first library was sequenced once (run label durance1) and the second was sequenced twice on separate flow cells (durance2, durance3). Runs are named accordingly, so that the nested replication structure described in §8.8 — sequencing replication nested within library preparation — can be recovered directly from the run titles. Sample metadata follow the GSC MIxS host-associated checklist (ERC000013) and report collection year, sampling-site coordinates, host species and sampled tissue. Extraction blanks, no-template PCR controls and mock community aliquots are included in the submission and are identified as such in the sample titles; the 25 empty wells used to quantify index hopping (§8.2) are likewise deposited. Per-run accessions, file names and MD5 checksums for all 4,608 files are given in Supplementary Table S7.</w:t>
            </w:r>
          </w:p>
        </w:tc>
        <w:tc>
          <w:tcPr>
            <w:tcW w:type="dxa" w:w="5839"/>
          </w:tcPr>
          <w:p>
            <w:r>
              <w:t>Raw sequence data have been deposited in the European Nucleotide Archive (ENA) under accession PRJEB124417: 768 samples and 2,304 sequencing runs (4,608 FASTQ files, 11.7 GB), with run titles encoding the nested replication structure of §8.8, sample metadata following the GSC MIxS host-associated checklist (ERC000013), and controls, mock aliquots and empty wells included and identified as such. Per-run accessions, file names and MD5 checksums are given in Supplementary Table S7.</w:t>
            </w:r>
          </w:p>
        </w:tc>
        <w:tc>
          <w:tcPr>
            <w:tcW w:type="dxa" w:w="1814"/>
          </w:tcPr>
          <w:p>
            <w:r>
              <w:t>déplacé verbatim dans la Note S2</w:t>
            </w:r>
          </w:p>
        </w:tc>
      </w:tr>
      <w:tr>
        <w:tc>
          <w:tcPr>
            <w:tcW w:type="dxa" w:w="1814"/>
          </w:tcPr>
          <w:p>
            <w:r>
              <w:t>Methods — 9. Reproducibility and data availability [82]</w:t>
              <w:br/>
              <w:t>113 → 63 mots</w:t>
            </w:r>
          </w:p>
        </w:tc>
        <w:tc>
          <w:tcPr>
            <w:tcW w:type="dxa" w:w="5839"/>
          </w:tcPr>
          <w:p>
            <w:r>
              <w:t>ENA metadata were corrected on 2026-08-31 (field-record coordinates, exact collection dates and genotype-resolved host identities); PRJEB124417 is up to date. The correction covered 3,472 fields across the 727 biological samples and was verified field by field; the 41 controls, the sample accessions, the aliases and the sequence files were unchanged. A second correction, on 2026-09-25, aligned host identity on the 25-chromosome genotyping: sample title, host scientific name and host common name were updated for 568 samples (1,199 fields), hybrids being recorded as nasus x toxostoma. It was then verified against the archive itself: 727 samples queried, 1,199 fields conforming, none discrepant. Neither correction altered a sample accession, an alias or a sequence file.</w:t>
            </w:r>
          </w:p>
        </w:tc>
        <w:tc>
          <w:tcPr>
            <w:tcW w:type="dxa" w:w="5839"/>
          </w:tcPr>
          <w:p>
            <w:r>
              <w:t>ENA metadata were corrected after the initial deposit to field-record coordinates, exact collection dates and genotype-resolved host identities, without altering any accession, alias or sequence file (Supplementary Note S2); host subject identifiers are reused between years (Supplementary Note S3). Collection dates are given at day resolution for every station except Pertuis, where the two 2014 fishing campaigns are deposited as the interval 2014-07-07/2014-08-20.</w:t>
            </w:r>
          </w:p>
        </w:tc>
        <w:tc>
          <w:tcPr>
            <w:tcW w:type="dxa" w:w="1814"/>
          </w:tcPr>
          <w:p>
            <w:r>
              <w:t>déplacé verbatim dans la Note S2</w:t>
            </w:r>
          </w:p>
        </w:tc>
      </w:tr>
      <w:tr>
        <w:tc>
          <w:tcPr>
            <w:tcW w:type="dxa" w:w="1814"/>
          </w:tcPr>
          <w:p>
            <w:r>
              <w:t>Methods — 9. Reproducibility and data availability [83]</w:t>
              <w:br/>
              <w:t>47 → 0 mots</w:t>
            </w:r>
          </w:p>
        </w:tc>
        <w:tc>
          <w:tcPr>
            <w:tcW w:type="dxa" w:w="5839"/>
          </w:tcPr>
          <w:p>
            <w:r>
              <w:t>Metadata completeness. Sampling-site coordinates and environmental context terms were obtained from the field records and are reported per site in Supplementary Table S1. Collection dates are given at day resolution for every station except Pertuis, where the two 2014 fishing campaigns are deposited as the interval 2014-07-07/2014-08-20.</w:t>
            </w:r>
          </w:p>
        </w:tc>
        <w:tc>
          <w:tcPr>
            <w:tcW w:type="dxa" w:w="5839"/>
          </w:tcPr>
          <w:p>
            <w:r>
              <w:t>(supprimé)</w:t>
            </w:r>
          </w:p>
        </w:tc>
        <w:tc>
          <w:tcPr>
            <w:tcW w:type="dxa" w:w="1814"/>
          </w:tcPr>
          <w:p>
            <w:r>
              <w:t>déplacé verbatim dans la Note S2</w:t>
            </w:r>
          </w:p>
        </w:tc>
      </w:tr>
      <w:tr>
        <w:tc>
          <w:tcPr>
            <w:tcW w:type="dxa" w:w="1814"/>
          </w:tcPr>
          <w:p>
            <w:r>
              <w:t>Results — Technical variation is small relative to biological variation [91]</w:t>
              <w:br/>
              <w:t>114 → 138 mots</w:t>
            </w:r>
          </w:p>
        </w:tc>
        <w:tc>
          <w:tcPr>
            <w:tcW w:type="dxa" w:w="5839"/>
          </w:tcPr>
          <w:p>
            <w:r>
              <w:t>The nested replication structure was verified directly from the data. Each pair of runs was compared within sample after rarefaction to a common depth, so that detection probability is identical by construction (548 samples reaching 3,000 reads in all three runs). The two runs sharing a library were markedly more similar to each other (mean Bray–Curtis 0.118, Jaccard 0.445) than either was to the run from the independent library (0.248 and 0.720 respectively); the two library-crossing comparisons were statistically indistinguishable from each other (paired Wilcoxon, p = 0.48) and both differed from the within-library comparison (p &lt; 10⁻⁸⁹). Recapture of rare ASVs (1–3 reads) showed the same pattern (0.48 within library vs 0.19 across).</w:t>
            </w:r>
          </w:p>
        </w:tc>
        <w:tc>
          <w:tcPr>
            <w:tcW w:type="dxa" w:w="5839"/>
          </w:tcPr>
          <w:p>
            <w:r>
              <w:t>The two runs sharing a library were markedly more similar to each other (mean Bray–Curtis 0.118, Jaccard 0.445) than either was to the run from the independent library (0.248 and 0.720 respectively; 548 samples reaching 3,000 reads in all three runs, §8.8); the two library-crossing comparisons were statistically indistinguishable from each other (paired Wilcoxon, p = 0.48) and both differed from the within-library comparison (p &lt; 10⁻⁸⁹). Recapture of rare ASVs (1–3 reads) showed the same pattern (0.48 within library vs 0.19 across): library preparation roughly doubles the technical dissimilarity contributed by sequencing alone, with a proportionally larger effect on presence–absence than on relative abundances. Sequencing run was accordingly modelled as nested within library preparation; because each sample is present in every batch, technical and biological factors are crossed rather than confounded, and no batch correction was applied.</w:t>
            </w:r>
          </w:p>
        </w:tc>
        <w:tc>
          <w:tcPr>
            <w:tcW w:type="dxa" w:w="1814"/>
          </w:tcPr>
          <w:p>
            <w:r/>
          </w:p>
        </w:tc>
      </w:tr>
      <w:tr>
        <w:tc>
          <w:tcPr>
            <w:tcW w:type="dxa" w:w="1814"/>
          </w:tcPr>
          <w:p>
            <w:r>
              <w:t>Results — Technical variation is small relative to biological variation [92]</w:t>
              <w:br/>
              <w:t>88 → 0 mots</w:t>
            </w:r>
          </w:p>
        </w:tc>
        <w:tc>
          <w:tcPr>
            <w:tcW w:type="dxa" w:w="5839"/>
          </w:tcPr>
          <w:p>
            <w:r>
              <w:t>Library preparation therefore roughly doubles the technical dissimilarity contributed by sequencing alone, with a proportionally larger effect on presence–absence than on relative abundances. Sequencing run was accordingly modelled as nested within library preparation rather than as a three-level factor with interchangeable levels. Because each sample is present in every batch, technical and biological factors are crossed rather than confounded, so batch-correction methods designed for confounded meta-analyses were not applied. Index assignment across preparations and the verification of sample-to-file matching are detailed in Supplementary Table S3 and Note S1.</w:t>
            </w:r>
          </w:p>
        </w:tc>
        <w:tc>
          <w:tcPr>
            <w:tcW w:type="dxa" w:w="5839"/>
          </w:tcPr>
          <w:p>
            <w:r>
              <w:t>(supprimé)</w:t>
            </w:r>
          </w:p>
        </w:tc>
        <w:tc>
          <w:tcPr>
            <w:tcW w:type="dxa" w:w="1814"/>
          </w:tcPr>
          <w:p>
            <w:r>
              <w:t>supprimé (contenu conservé ailleurs); Renvoi Table S3 / Note S1 déplacé au §3.</w:t>
            </w:r>
          </w:p>
        </w:tc>
      </w:tr>
      <w:tr>
        <w:tc>
          <w:tcPr>
            <w:tcW w:type="dxa" w:w="1814"/>
          </w:tcPr>
          <w:p>
            <w:r>
              <w:t>Results — Technical variation is small relative to biological variation [93]</w:t>
              <w:br/>
              <w:t>133 → 101 mots</w:t>
            </w:r>
          </w:p>
        </w:tc>
        <w:tc>
          <w:tcPr>
            <w:tcW w:type="dxa" w:w="5839"/>
          </w:tcPr>
          <w:p>
            <w:r>
              <w:t>Relative to the biological signal, this technical variation is negligible. In a PERMANOVA on Bray–Curtis distances over the 1,784 samples retained after rarefaction, with the technical terms entered first so that they absorb the maximum variance the sequential decomposition can assign them, library preparation explained 0.03 % of the variance (R² = 0.0003, p = 0.63) and sequencing run within library 0.005 % (p = 1.00), against 9.2 % for tissue and 37.7 % for fish identity (both p = 0.002). Mean Bray–Curtis dissimilarity was 0.13 between two sequencing runs of one library and 0.25 across libraries, against 0.88 between different fish of the same tissue and 0.94 across tissues. Note that library preparation cannot be tested marginally, being perfectly aliased with run label (durance1 is the sole run of the first preparation).</w:t>
            </w:r>
          </w:p>
        </w:tc>
        <w:tc>
          <w:tcPr>
            <w:tcW w:type="dxa" w:w="5839"/>
          </w:tcPr>
          <w:p>
            <w:r>
              <w:t>Relative to the biological signal, this technical variation is negligible. With the technical terms entered first, library preparation explained 0.03 % of the Bray–Curtis variance over the 1,784 rarefied samples (R² = 0.0003, p = 0.63) and sequencing run within library 0.005 % (p = 1.00), against 9.2 % for tissue and 37.7 % for fish identity (both p = 0.002); library preparation cannot be tested marginally, being aliased with run label. Mean Bray–Curtis dissimilarity was 0.13 between two sequencing runs of one library and 0.25 across libraries, against 0.88 between different fish of the same tissue and 0.94 across tissues.</w:t>
            </w:r>
          </w:p>
        </w:tc>
        <w:tc>
          <w:tcPr>
            <w:tcW w:type="dxa" w:w="1814"/>
          </w:tcPr>
          <w:p>
            <w:r/>
          </w:p>
        </w:tc>
      </w:tr>
      <w:tr>
        <w:tc>
          <w:tcPr>
            <w:tcW w:type="dxa" w:w="1814"/>
          </w:tcPr>
          <w:p>
            <w:r>
              <w:t>Results — Plate position [96]</w:t>
              <w:br/>
              <w:t>270 → 181 mots</w:t>
            </w:r>
          </w:p>
        </w:tc>
        <w:tc>
          <w:tcPr>
            <w:tcW w:type="dxa" w:w="5839"/>
          </w:tcPr>
          <w:p>
            <w:r>
              <w:t>Three witnesses separate this effect from the biology it could be mistaken for. Within a single genotypic category, where a column effect cannot be a category effect, it persists but more weakly: among P. toxostoma alone in 17 of 24 strata in both passes (ratio 1.65), among C. nasus alone in 6 (pass 1) and 7 (pass 2) of 24 (ratio 1.63); hybrids alone are too few to be tested (two strata in pass 2, none in pass 1). No site code carries a single genotypic category, and the only single-category station (Chavannes-sur-Suran, 19 P. toxostoma) is too small for a separate witness; the within-category subsets therefore replace the single-category-station witness of an earlier analysis, which rested on fish left unresolved by morphology. In the symmetric ordering with category fitted first, column still contributes (21 and 22 of 24 strata). And the classic plate artefacts are absent: plate row is significant in 7 and 6 of 24 strata and plate edge in none, making the effect specific to column, as expected of an effect tracking processing order rather than evaporation or thermal gradients. The origin of the association between category and column is documented above, but the mechanism of the column effect itself is not identified: extraction order, reagent-batch drift within a plate, cross-contamination between adjacent wells and the delay between capture and dissection are not separated by these data, and no negative control isolates any of them. Plate column is therefore not entered in the principal models (§8.7), but every model testing category is also reported with plate column as a covariate, and the two versions are compared below.</w:t>
            </w:r>
          </w:p>
        </w:tc>
        <w:tc>
          <w:tcPr>
            <w:tcW w:type="dxa" w:w="5839"/>
          </w:tcPr>
          <w:p>
            <w:r>
              <w:t>Three witnesses separate this effect from the biology it could be mistaken for. Within a single genotypic category, where a column effect cannot be a category effect, it persists but more weakly: among P. toxostoma alone in 17 of 24 strata in both passes (ratio 1.65), among C. nasus alone in 6 (pass 1) and 7 (pass 2) of 24 (ratio 1.63); hybrids alone are too few to be tested, and the only single-category station (Chavannes-sur-Suran, 19 P. toxostoma) is too small for a separate witness. In the symmetric ordering with category fitted first, column still contributes (21 and 22 of 24 strata). And plate row is significant in 7 and 6 of 24 strata and plate edge in none, making the effect specific to column, as expected of an effect tracking processing order rather than evaporation or thermal gradients. The mechanism of the column effect is not identified: extraction order, reagent-batch drift within a plate, cross-contamination between adjacent wells and the delay between capture and dissection are not separated by these data, and no negative control isolates any of them.</w:t>
            </w:r>
          </w:p>
        </w:tc>
        <w:tc>
          <w:tcPr>
            <w:tcW w:type="dxa" w:w="1814"/>
          </w:tcPr>
          <w:p>
            <w:r>
              <w:t>Historique du témoin « station mono-catégorie » d'une analyse antérieure ; « No site code carries a single genotypic category » ; phrase de renvoi aux Methods sur l'exclusion de la colonne des modèles principaux.</w:t>
            </w:r>
          </w:p>
        </w:tc>
      </w:tr>
      <w:tr>
        <w:tc>
          <w:tcPr>
            <w:tcW w:type="dxa" w:w="1814"/>
          </w:tcPr>
          <w:p>
            <w:r>
              <w:t>Results — Composition by genotypic category [103]</w:t>
              <w:br/>
              <w:t>522 → 469 mots</w:t>
            </w:r>
          </w:p>
        </w:tc>
        <w:tc>
          <w:tcPr>
            <w:tcW w:type="dxa" w:w="5839"/>
          </w:tcPr>
          <w:p>
            <w:r>
              <w:t>A preliminary variance partition was run to size these terms before the ecological analysis, not as a result of it, in both passes and on the four metrics. Fitted in both orderings without plate position, genotypic category accounts for a median of 1.7 % to 2.8 % of compositional variance across the 48 metric × tissue × run strata in pass 1 and 1.4 % to 3.0 % in pass 2, against a median of 19 % and 18 % for station (range across strata 14–36 % in pass 1 and 14–35 % in pass 2). No tissue is detected by all four metrics in all three runs under both permutation schemes, in either pass, with or without plate position, so a global statement that hybrids differ is not supportable: the analysis must say which metric supports which claim, in which tissue, and under which definition of a hybrid. One result is robust to every choice made here — both passes, with and without plate position, all three runs and both permutation schemes: the midgut on Jaccard (p ≤ 0.044). The caudal fin on weighted UniFrac is detected in all three runs and both schemes in pass 1 (p = 0.007–0.024), with or without plate position, and in no run in pass 2 (p = 0.073–0.235). A witness attributes this displacement to the definition of hybrids rather than to sample size: removing 22 randomly chosen individuals from the 158 that are not introgressed, twenty times, never restored the caudal signal in pass 2. At 500 reads the caudal signal is partial in pass 1 (three runs sequentially, p = 0.022–0.049; one of three with station fixed by blocks) and absent in pass 2, an attenuation that is not an effect of depth: restricted to the samples retained at 3,000 reads, the 500-read matrices give the same result as at 3,000 reads (all three runs, both station-blocked schemes, p = 0.010–0.026), so the signal is diluted by the caudal-fin samples that pass the threshold only at 500 reads. As at 3,000 reads, none of twenty random removals of 22 non-introgressed individuals from pass 2 reproduced the pass-1 pattern at 500 reads. The hindgut is the weakest tissue in pass 1 (only Jaccard is significant, in one run of three with station fixed by blocks) but not in pass 2, where with station fixed by blocks all four metrics detect it in all three runs; the witness does not resolve whether this difference reflects sample size or the definition of hybrids. The principal and sensitivity models differ in 7 of the 16 metric × tissue cells in each pass, of which 5 (pass 1) and 3 (pass 2) move between robust detection (three runs, both schemes), partial detection and none. Of the two witnesses that could have discriminated further, the separable sub-design detects category in 3 of 48 tests in pass 1 and 1 of 48 in pass 2 (with plate position), and Rosières, in pass 2, detects it in the gill on Jaccard and unweighted UniFrac in all three runs (p = 0.010–0.030); in pass 1 Rosières is not interpretable. Supplementary Table S9.</w:t>
            </w:r>
          </w:p>
        </w:tc>
        <w:tc>
          <w:tcPr>
            <w:tcW w:type="dxa" w:w="5839"/>
          </w:tcPr>
          <w:p>
            <w:r>
              <w:t>Fitted in both orderings without plate position, genotypic category accounted for a median of 1.7 % to 2.8 % of compositional variance across the 48 metric × tissue × run strata in pass 1 and 1.4 % to 3.0 % in pass 2, against a median of 19 % and 18 % for station fitted after category (range across strata 14–36 % in pass 1 and 14–35 % in pass 2) and of 20.9 % and 20.1 % for station fitted first (Fig. 3c; Supplementary Table S9). No tissue is detected by all four metrics in all three runs under both permutation schemes, in either pass, with or without plate position (Fig. 3a, b), so a global statement that hybrids differ is not supportable. One result is robust to every choice made here — both passes, with and without plate position, all three runs and both permutation schemes: the midgut on Jaccard (p ≤ 0.044). The caudal fin on weighted UniFrac is detected in all three runs and both schemes in pass 1 (p = 0.007–0.024), with or without plate position, and in no run in pass 2 (p = 0.073–0.235). Removing 22 randomly chosen individuals from the 158 that are not introgressed, twenty times, never restored the caudal signal in pass 2, which attributes this displacement to the definition of hybrids rather than to sample size. At 500 reads the caudal signal is partial in pass 1 (three runs sequentially, p = 0.022–0.049; one of three with station fixed by blocks) and absent in pass 2; restricted to the samples retained at 3,000 reads, the 500-read matrices give the same result as at 3,000 reads (all three runs, both station-blocked schemes, p = 0.010–0.026), so that the attenuation reflects dilution by the caudal-fin samples that pass the threshold only at 500 reads, not depth. As at 3,000 reads, none of twenty random removals of 22 non-introgressed individuals from pass 2 reproduced the pass-1 pattern at 500 reads. The hindgut is the weakest tissue in pass 1 (only Jaccard is significant, in one run of three with station fixed by blocks) but in pass 2 all four metrics detect it in all three runs with station fixed by blocks; the witness does not resolve whether this difference reflects sample size or the definition of hybrids. The principal and sensitivity models differ in 7 of the 16 metric × tissue cells in each pass, of which 5 (pass 1) and 3 (pass 2) move between robust detection (three runs, both schemes), partial detection and none. The separable sub-design detects category in 3 of 48 tests in pass 1 and 1 of 48 in pass 2 (with plate position), and Rosières, in pass 2, detects it in the gill on Jaccard and unweighted UniFrac in all three runs (p = 0.010–0.030).</w:t>
            </w:r>
          </w:p>
        </w:tc>
        <w:tc>
          <w:tcPr>
            <w:tcW w:type="dxa" w:w="1814"/>
          </w:tcPr>
          <w:p>
            <w:r>
              <w:t>Ouverture « A preliminary variance partition… not as a result of it » (signalée en note grise) ; « the analysis must say which metric supports which claim… » ; « in pass 1 Rosières is not interpretable » (déjà dans « Genotypic design »). Le paragraphe 104 d'origine (médianes de station) est fusionné ici.</w:t>
            </w:r>
          </w:p>
        </w:tc>
      </w:tr>
      <w:tr>
        <w:tc>
          <w:tcPr>
            <w:tcW w:type="dxa" w:w="1814"/>
          </w:tcPr>
          <w:p>
            <w:r>
              <w:t>Results — Composition by genotypic category [104]</w:t>
              <w:br/>
              <w:t>172 → 103 mots</w:t>
            </w:r>
          </w:p>
        </w:tc>
        <w:tc>
          <w:tcPr>
            <w:tcW w:type="dxa" w:w="5839"/>
          </w:tcPr>
          <w:p>
            <w:r>
              <w:t>Figure 3 summarises these detections in the principal model with permutations constrained within station blocks (Fig. 3a, b), and the variance shares on which they rest (Fig. 3c). Fitted before category, station accounted for a median of 20.9 % (pass 1) and 20.1 % (pass 2) of compositional variance; category accounted for 2.8 % and 3.0 % when fitted first and 1.7 % and 1.4 % when fitted last. Whether the loss of the caudal-fin signal between passes is produced by dilution of the hybrid–P. toxostoma contrast by the 19 near-parental hybrids of P. toxostoma background was tested (§8.12) and remains undetermined. Relabelling as hybrids 19 P. toxostoma and 3 C. nasus drawn from the stations of the near-parental individuals removed the pass-1 signal in 16 of 20 draws, so that such dilution is sufficient to produce the displacement; but the near-parental hybrids of P. toxostoma background differed neither from pure P. toxostoma (p = 0.28–0.60) nor from intermediate hybrids (p = 0.15–0.26; n = 25–26), so that dilution is not established.</w:t>
            </w:r>
          </w:p>
        </w:tc>
        <w:tc>
          <w:tcPr>
            <w:tcW w:type="dxa" w:w="5839"/>
          </w:tcPr>
          <w:p>
            <w:r>
              <w:t>Whether the loss of the caudal-fin signal between passes is produced by dilution of the hybrid–P. toxostoma contrast by the 19 near-parental hybrids of P. toxostoma background was tested (§8.12) and remains undetermined. Relabelling as hybrids 19 P. toxostoma and 3 C. nasus drawn from the stations of the near-parental individuals removed the pass-1 signal in 16 of 20 draws, so that such dilution is sufficient to produce the displacement; but the near-parental hybrids of P. toxostoma background differed neither from pure P. toxostoma (p = 0.28–0.60) nor from intermediate hybrids (p = 0.15–0.26; n = 25–26), so that dilution is not established.</w:t>
            </w:r>
          </w:p>
        </w:tc>
        <w:tc>
          <w:tcPr>
            <w:tcW w:type="dxa" w:w="1814"/>
          </w:tcPr>
          <w:p>
            <w:r>
              <w:t>Phrase d'introduction de la Figure 3 et médianes de station : fusionnées dans le paragraphe précédent.</w:t>
            </w:r>
          </w:p>
        </w:tc>
      </w:tr>
      <w:tr>
        <w:tc>
          <w:tcPr>
            <w:tcW w:type="dxa" w:w="1814"/>
          </w:tcPr>
          <w:p>
            <w:r>
              <w:t>Results — Dispersion [107]</w:t>
              <w:br/>
              <w:t>201 → 193 mots</w:t>
            </w:r>
          </w:p>
        </w:tc>
        <w:tc>
          <w:tcPr>
            <w:tcW w:type="dxa" w:w="5839"/>
          </w:tcPr>
          <w:p>
            <w:r>
              <w:t>This bears on how the location results are read, because PERMANOVA is sensitive to heterogeneous dispersion. With station fixed by blocks, dispersion in the caudal fin was homogeneous on all four metrics in pass 2 and in all but one test in pass 1 (weighted UniFrac, one run of three, p = 0.048, hybrids most dispersed): the caudal-fin location signal on weighted UniFrac in pass 1 is a difference in composition in two runs and cannot be separated from a dispersion difference in the third. The robust midgut signal on Jaccard was accompanied by homogeneous dispersion in pass 1 and in two runs of three in pass 2. By contrast, dispersion was heterogeneous in all three runs in the midgut on unweighted UniFrac in both passes and, in pass 2, in the midgut and hindgut on Bray–Curtis, P. toxostoma being the most dispersed category there; the location signals detected on those metrics in those compartments cannot be separated from a dispersion effect. One reservation is not resolved: betadisper accepts no covariate, so the plate-position effect (§8.9) is not adjusted for, and a category whose samples are more spread across plate columns could carry inflated dispersion. Supplementary Table S10 and Figure S3.</w:t>
            </w:r>
          </w:p>
        </w:tc>
        <w:tc>
          <w:tcPr>
            <w:tcW w:type="dxa" w:w="5839"/>
          </w:tcPr>
          <w:p>
            <w:r>
              <w:t>Because PERMANOVA is sensitive to heterogeneous dispersion, this bears on the location results. With station fixed by blocks, dispersion in the caudal fin was homogeneous on all four metrics in pass 2 and in all but one test in pass 1 (weighted UniFrac, one run of three, p = 0.048, hybrids most dispersed), so that the caudal-fin location signal on weighted UniFrac in pass 1 is a difference in composition in two runs and cannot be separated from a dispersion difference in the third. The robust midgut signal on Jaccard was accompanied by homogeneous dispersion in pass 1 and in two runs of three in pass 2. By contrast, dispersion was heterogeneous in all three runs in the midgut on unweighted UniFrac in both passes and, in pass 2, in the midgut and hindgut on Bray–Curtis, P. toxostoma being the most dispersed category there; the location signals on those metrics in those compartments cannot be separated from a dispersion effect. Because betadisper accepts no covariate, the plate-position effect is not adjusted for, and a category whose samples are more spread across plate columns could carry inflated dispersion. Supplementary Table S10 and Figure S3.</w:t>
            </w:r>
          </w:p>
        </w:tc>
        <w:tc>
          <w:tcPr>
            <w:tcW w:type="dxa" w:w="1814"/>
          </w:tcPr>
          <w:p>
            <w:r/>
          </w:p>
        </w:tc>
      </w:tr>
      <w:tr>
        <w:tc>
          <w:tcPr>
            <w:tcW w:type="dxa" w:w="1814"/>
          </w:tcPr>
          <w:p>
            <w:r>
              <w:t>Discussion [112]</w:t>
              <w:br/>
              <w:t>211 → 170 mots</w:t>
            </w:r>
          </w:p>
        </w:tc>
        <w:tc>
          <w:tcPr>
            <w:tcW w:type="dxa" w:w="5839"/>
          </w:tcPr>
          <w:p>
            <w:r>
              <w:t>Across alpha diversity, community dispersion and the 4H index, the microbiota of hybrids between C. nasus and P. toxostoma showed no transgressive pattern. Hybrids were transgressive in none of 32 alpha-diversity tests, were more dispersed than both parents no more often than expected by chance, and no transgressive reading of the 4H index survived the robustness rule declared before computation. Where hybrids could be placed relative to their parents, they fell within the parental range: dominance of C. nasus in caudal-fin alpha diversity in pass 1, a parental, Intersection-dominated 4H index in the gill, and preferential retention of the core taxa shared by both parental species in every compartment. The departures detected in composition were small — genotypic category accounted for a median of 1.4–3.0 % of compositional variance against about a fifth for station — and confined to particular compartments, metrics and definitions of a hybrid. This places the system with natural hybrid zones in which the environmental component dominates [23, 24] rather than with those in which host ancestry does [21, 22], while keeping in view that a small genetic effect is the expected magnitude for a heritable but weakly heritable trait [9] and that its detection required separating the spatial and technical axes beforehand, as in stickleback [10].</w:t>
            </w:r>
          </w:p>
        </w:tc>
        <w:tc>
          <w:tcPr>
            <w:tcW w:type="dxa" w:w="5839"/>
          </w:tcPr>
          <w:p>
            <w:r>
              <w:t>Across alpha diversity, community dispersion and the 4H index, the microbiota of hybrids between C. nasus and P. toxostoma showed no transgressive pattern. Where hybrids could be placed relative to their parents, they fell within the parental range: dominance of C. nasus in caudal-fin alpha diversity in pass 1, a parental, Intersection-dominated 4H index in the gill, and preferential retention of the core taxa shared by both parental species in every compartment. The departures detected in composition were small — genotypic category accounted for a median of 1.4–3.0 % of compositional variance against about a fifth for station — and confined to particular compartments, metrics and definitions of a hybrid. This places the system with natural hybrid zones in which the environmental component dominates [23, 24] rather than with those in which host ancestry does [21, 22], while keeping in view that a small genetic effect is the expected magnitude for a heritable but weakly heritable trait [9], detectable only once the spatial and technical axes have been separated [10].</w:t>
            </w:r>
          </w:p>
        </w:tc>
        <w:tc>
          <w:tcPr>
            <w:tcW w:type="dxa" w:w="1814"/>
          </w:tcPr>
          <w:p>
            <w:r>
              <w:t>Phrase récapitulative « Hybrids were transgressive in none of 32… » (redit l'Abstract et les Results).</w:t>
            </w:r>
          </w:p>
        </w:tc>
      </w:tr>
      <w:tr>
        <w:tc>
          <w:tcPr>
            <w:tcW w:type="dxa" w:w="1814"/>
          </w:tcPr>
          <w:p>
            <w:r>
              <w:t>Discussion [113]</w:t>
              <w:br/>
              <w:t>174 → 161 mots</w:t>
            </w:r>
          </w:p>
        </w:tc>
        <w:tc>
          <w:tcPr>
            <w:tcW w:type="dxa" w:w="5839"/>
          </w:tcPr>
          <w:p>
            <w:r>
              <w:t>The expectation derived from Guivier et al. [31], that a hybrid signal would be most pronounced in the digestive compartments, is partly supported. The only compositional result that withstood every analytical choice concerned the midgut, on a presence-based metric, and in pass 2 both digestive compartments were detected by all four metrics with station fixed by blocks. But the caudal fin carried, in pass 1, a signal on weighted UniFrac that no digestive compartment showed on that metric, the gill was the compartment in which the 4H index was robustly parental, and the 4H index distinguished no pair of compartments. Hybrid status therefore does not matter equally in all compartments, but which compartment carries a difference depends on the metric. The rule adopted here, which states a result as established only when an abundance-weighted and a presence-based metric both support it, makes this dependence explicit rather than resolving it; it also explains why the 4H index, a presence-based construct in its principal form, departed from its abundance-based version in every compartment but the gill.</w:t>
            </w:r>
          </w:p>
        </w:tc>
        <w:tc>
          <w:tcPr>
            <w:tcW w:type="dxa" w:w="5839"/>
          </w:tcPr>
          <w:p>
            <w:r>
              <w:t>The expectation derived from Guivier et al. [31], that a hybrid signal would be most pronounced in the digestive compartments, is partly supported. The only compositional result that withstood every analytical choice concerned the midgut, on a presence-based metric, and in pass 2 both digestive compartments were detected by all four metrics with station fixed by blocks. But the caudal fin carried, in pass 1, a signal on weighted UniFrac that no digestive compartment showed on that metric, the gill was the compartment in which the 4H index was robustly parental, and the 4H index distinguished no pair of compartments. Hybrid status therefore does not matter equally in all compartments, but which compartment carries a difference depends on the metric. Requiring both an abundance-weighted and a presence-based metric makes this dependence explicit rather than resolving it; it also accounts for the 4H index, a presence-based construct in its principal form, departing from its abundance-based version in every compartment but the gill.</w:t>
            </w:r>
          </w:p>
        </w:tc>
        <w:tc>
          <w:tcPr>
            <w:tcW w:type="dxa" w:w="1814"/>
          </w:tcPr>
          <w:p>
            <w:r/>
          </w:p>
        </w:tc>
      </w:tr>
      <w:tr>
        <w:tc>
          <w:tcPr>
            <w:tcW w:type="dxa" w:w="1814"/>
          </w:tcPr>
          <w:p>
            <w:r>
              <w:t>Discussion [114]</w:t>
              <w:br/>
              <w:t>138 → 123 mots</w:t>
            </w:r>
          </w:p>
        </w:tc>
        <w:tc>
          <w:tcPr>
            <w:tcW w:type="dxa" w:w="5839"/>
          </w:tcPr>
          <w:p>
            <w:r>
              <w:t>How hybrids are defined mattered as much as which compartment is examined. The caudal-fin signal obtained with the 20 intermediate hybrids disappeared when the 22 near-parental individuals were added, and twenty random removals of 22 non-introgressed fish never reproduced the displacement, so that it is attributable to who is called a hybrid rather than to sample size. Whether near-parental hybrids of P. toxostoma background dilute the contrast because their microbiota resembles that of P. toxostoma could not be established at the available sample size. In a mosaic hybrid zone [30] in which most introgressed individuals depart from a parental genome on a single chromosome, a hybrid class is a decision; reporting both passes shows how much of any conclusion rests on that decision, and we suggest that studies of natural hybrid zones report it in the same way.</w:t>
            </w:r>
          </w:p>
        </w:tc>
        <w:tc>
          <w:tcPr>
            <w:tcW w:type="dxa" w:w="5839"/>
          </w:tcPr>
          <w:p>
            <w:r>
              <w:t>How hybrids are defined mattered as much as which compartment is examined. The caudal-fin signal obtained with the 20 intermediate hybrids disappeared when the 22 near-parental individuals were added, and random removals of 22 non-introgressed fish never reproduced the displacement, which is therefore attributable to who is called a hybrid rather than to sample size; whether near-parental hybrids of P. toxostoma background dilute the contrast because their microbiota resembles that of P. toxostoma could not be established at the available sample size. In a mosaic hybrid zone [30] in which most introgressed individuals depart from a parental genome on a single chromosome, a hybrid class is a decision, and we suggest that studies of natural hybrid zones report their results under both definitions.</w:t>
            </w:r>
          </w:p>
        </w:tc>
        <w:tc>
          <w:tcPr>
            <w:tcW w:type="dxa" w:w="1814"/>
          </w:tcPr>
          <w:p>
            <w:r>
              <w:t>« reporting both passes shows how much of any conclusion rests on that decision » (condensé).</w:t>
            </w:r>
          </w:p>
        </w:tc>
      </w:tr>
      <w:tr>
        <w:tc>
          <w:tcPr>
            <w:tcW w:type="dxa" w:w="1814"/>
          </w:tcPr>
          <w:p>
            <w:r>
              <w:t>Discussion [115]</w:t>
              <w:br/>
              <w:t>161 → 155 mots</w:t>
            </w:r>
          </w:p>
        </w:tc>
        <w:tc>
          <w:tcPr>
            <w:tcW w:type="dxa" w:w="5839"/>
          </w:tcPr>
          <w:p>
            <w:r>
              <w:t>That hybrids were not more dispersed than their parents runs against the expectation that the microbiota of hybrids is more variable because their genomes combine parental elements in variable proportions. The opposite tendency, hybrids less dispersed than both parents, was clear only in pass 2 with station fixed by blocks, absent within stations and carried mainly by Bray–Curtis, and should not be read as a general property of hybrids here. The dispersion analysis also illustrates a pitfall of unbalanced designs: without correction for group size the distance to the group centre is underestimated in small groups, and because hybrids were the smallest category in every stratum, the uncorrected analysis yielded a strong and apparently replicated reduction of hybrid dispersion — 32 of 48 station-blocked tests in pass 1 and 45 of 68 within stations — that largely disappeared once corrected. Hybrid classes are small in most natural hybrid zones, and the correction should be applied by default in that setting [48].</w:t>
            </w:r>
          </w:p>
        </w:tc>
        <w:tc>
          <w:tcPr>
            <w:tcW w:type="dxa" w:w="5839"/>
          </w:tcPr>
          <w:p>
            <w:r>
              <w:t>That hybrids were not more dispersed than their parents runs against the expectation that genomes combining parental elements in variable proportions carry more variable microbiota. The opposite tendency, hybrids less dispersed than both parents, was clear only in pass 2 with station fixed by blocks, absent within stations and carried mainly by Bray–Curtis, and should not be read as a general property of hybrids here. The analysis also illustrates a pitfall of unbalanced designs: without correction for group size, the distance to the group centre is underestimated in small groups, and because hybrids were the smallest category in every stratum, the uncorrected analysis yielded a strong and apparently replicated reduction of hybrid dispersion — 32 of 48 station-blocked tests in pass 1 and 45 of 68 within stations — that largely disappeared once corrected. Hybrid classes are small in most natural hybrid zones, and the correction should be applied by default in that setting [48].</w:t>
            </w:r>
          </w:p>
        </w:tc>
        <w:tc>
          <w:tcPr>
            <w:tcW w:type="dxa" w:w="1814"/>
          </w:tcPr>
          <w:p>
            <w:r/>
          </w:p>
        </w:tc>
      </w:tr>
      <w:tr>
        <w:tc>
          <w:tcPr>
            <w:tcW w:type="dxa" w:w="1814"/>
          </w:tcPr>
          <w:p>
            <w:r>
              <w:t>Discussion [116]</w:t>
              <w:br/>
              <w:t>203 → 192 mots</w:t>
            </w:r>
          </w:p>
        </w:tc>
        <w:tc>
          <w:tcPr>
            <w:tcW w:type="dxa" w:w="5839"/>
          </w:tcPr>
          <w:p>
            <w:r>
              <w:t>The 4H index adds two points that the location and dispersion analyses do not. First, in its abundance-based version — the form in which the framework's authors compared published systems [14] — the index placed every compartment on the parental axis (Gain + Loss = 0.22–0.35), as in the Neotoma woodrat system (0.12) and unlike the Aspidoscelis lizard and Kikihia cicada systems (0.71 and 0.64); on a hybrid lizard, transgression has been associated with ecological success rather than with dysbiosis [15], so the absence of transgression here carries no implication for hybrid fitness either way. Second, as its authors found for a natural hybrid system, the index was sensitive to its settings: the choice between presence and abundance reversed the reading in three compartments of four, and in the caudal fin so did the number of hosts per class, from 9 to 26–27. A null hybrid built from parental individuals already sits close to the 0.5 boundary between the two axes, which makes that boundary a weak criterion for calling a hybrid microbiota transgressive. We therefore read the 4H index as a description of taxon membership conditional on its settings, and not as an independent test of the intermediate, dominant and transgressive hypotheses.</w:t>
            </w:r>
          </w:p>
        </w:tc>
        <w:tc>
          <w:tcPr>
            <w:tcW w:type="dxa" w:w="5839"/>
          </w:tcPr>
          <w:p>
            <w:r>
              <w:t>The 4H index adds two points. First, in its abundance-based version — the form in which the framework's authors compared published systems [14] — the index placed every compartment on the parental axis (Gain + Loss = 0.22–0.35), as in the Neotoma woodrat system (0.12) and unlike the Aspidoscelis lizard and Kikihia cicada systems (0.71 and 0.64); since transgression has been associated with ecological success rather than with dysbiosis in a hybrid lizard [15], its absence here carries no implication for hybrid fitness either way. Second, as its authors found for a natural hybrid system, the index was sensitive to its settings: the choice between presence and abundance reversed the reading in three compartments of four, and in the caudal fin so did the number of hosts per class, from 9 to 26–27. A null hybrid built from parental individuals already sits close to the 0.5 boundary between the two axes, which makes that boundary a weak criterion for calling a hybrid microbiota transgressive. We therefore read the 4H index as a description of taxon membership conditional on its settings, not as an independent test of the intermediate, dominant and transgressive hypotheses.</w:t>
            </w:r>
          </w:p>
        </w:tc>
        <w:tc>
          <w:tcPr>
            <w:tcW w:type="dxa" w:w="1814"/>
          </w:tcPr>
          <w:p>
            <w:r/>
          </w:p>
        </w:tc>
      </w:tr>
      <w:tr>
        <w:tc>
          <w:tcPr>
            <w:tcW w:type="dxa" w:w="1814"/>
          </w:tcPr>
          <w:p>
            <w:r>
              <w:t>Discussion [117]</w:t>
              <w:br/>
              <w:t>160 → 147 mots</w:t>
            </w:r>
          </w:p>
        </w:tc>
        <w:tc>
          <w:tcPr>
            <w:tcW w:type="dxa" w:w="5839"/>
          </w:tcPr>
          <w:p>
            <w:r>
              <w:t>Four limits bound these conclusions. Genotypic category is confounded with station, and the three stations that carry all three categories hold 65–74 individuals, so that every category effect is estimated mostly between stations and is read as a pattern co-varying with station and category. Plate position affected composition and followed processing order in every campaign; the mechanism — extraction order, reagent drift within a plate, cross-contamination between adjacent wells or time spent in the holding tank — is not identified, and because C. nasus was generally processed first it could contribute to the dominance of C. nasus in caudal-fin alpha diversity, which was not tested. Rarefaction to 3,000 reads retained intermediate hybrids less often than P. toxostoma in the caudal fin, a selection that is declared but cannot be removed for presence-based metrics. And only 64 % of reads could be aggregated to genus for the 4H index, whose genus-level reading therefore rests on the better-assigned part of each community.</w:t>
            </w:r>
          </w:p>
        </w:tc>
        <w:tc>
          <w:tcPr>
            <w:tcW w:type="dxa" w:w="5839"/>
          </w:tcPr>
          <w:p>
            <w:r>
              <w:t>Four limits bound these conclusions. Genotypic category is confounded with station, and the three stations carrying all three categories hold 65–74 individuals, so that category effects are estimated mostly between stations. Plate position affected composition and followed processing order in every campaign; its mechanism — extraction order, reagent drift within a plate, cross-contamination between adjacent wells or time spent in the holding tank — is not identified, and because C. nasus was generally processed first it could contribute to the dominance of C. nasus in caudal-fin alpha diversity, which was not tested. Rarefaction to 3,000 reads retained intermediate hybrids less often than P. toxostoma in the caudal fin, a selection that is declared but cannot be removed for presence-based metrics. And only 64 % of reads could be aggregated to genus for the 4H index, whose genus-level reading therefore rests on the better-assigned part of each community.</w:t>
            </w:r>
          </w:p>
        </w:tc>
        <w:tc>
          <w:tcPr>
            <w:tcW w:type="dxa" w:w="1814"/>
          </w:tcPr>
          <w:p>
            <w:r/>
          </w:p>
        </w:tc>
      </w:tr>
    </w:tbl>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