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Introduction</w:t>
      </w:r>
    </w:p>
    <w:p>
      <w:pPr/>
      <w:r>
        <w:rPr>
          <w:i w:val="0"/>
        </w:rPr>
        <w:t>Animals and the microbial communities they harbour form composite biological units in which microbial composition contributes to host performance and to tolerance of environmental constraints (Bordenstein and Theis 2015).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(Shapira 2016; Shropshire and Bordenstein 2016; Adair and Douglas 2017). Environmental acquisition is particularly important in fish, which live in a medium favourable to bacterial growth, are continuously exposed to microbes at their epithelial barriers, and are mostly oviparous with limited maternal effects compared with mammals (Llewellyn et al. 2014); accordingly, surveys of wild populations report a predominant environmental component of variation in bacterial composition (Sevellec et al. 2014; Smith et al. 2015; Chiarello et al. 2018).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(Grieneisen et al. 2021); in stickleback, a host genetic influence on the gut microbiome became measurable once biological and technical components of variance had been decomposed beforehand (Small et al. 2019).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(Wang et al. 2015); conversely, hybridisation is a source of genomic diversity and adaptive novelty involved in speciation and in range expansion into enlarged ecological niches (Pfennig et al. 2016; Schumer et al. 2018),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(2024)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(2025)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(Li et al. 2018); in intrageneric </w:t>
      </w:r>
      <w:r>
        <w:rPr>
          <w:i/>
        </w:rPr>
        <w:t>Takifugu</w:t>
      </w:r>
      <w:r>
        <w:rPr>
          <w:i w:val="0"/>
        </w:rPr>
        <w:t xml:space="preserve"> hybrids, host hybridisation outweighs cohabitation in shaping the gut microbiota (Jin et al. 2023); reciprocal hybrids of koi and goldfish resemble one parent rather than the midpoint of the two (Wang et al. 2022); and whitefish species pairs with their reciprocal hybrids have been compared in natural and controlled environments (Sevellec et al. 2019). This body of work has been reviewed recently (Cui et al. 2022). Studies of natural hybrid zones in other vertebrates, for their part, do not converge. Host ancestry predominates in </w:t>
      </w:r>
      <w:r>
        <w:rPr>
          <w:i/>
        </w:rPr>
        <w:t>Neotoma</w:t>
      </w:r>
      <w:r>
        <w:rPr>
          <w:i w:val="0"/>
        </w:rPr>
        <w:t xml:space="preserve"> woodrats, where habitat determines diet but genotype determines the gut microbiota (Nielsen et al. 2022), and in hybridising brown lemurs along a 180 km transect (Donohue et al. 2025). The opposite conclusion is reached in baboons spanning a hybrid zone, where site soil properties rather than genetic ancestry, relatedness or between-population genetic distance explain the gut microbiota (Grieneisen et al. 2019), and in wild house mice, where an apparent effect of admixture becomes weak once spatial autocorrelation is taken into account, on two replicates of the same hybrid zone (Čížková et al. 2023). In hybridising chickadees moved to a common environment, the change of environment affected microbiota richness but not community composition, while a corresponding effect of ancestry on composition was not statistically supported (Russell et al. 2026)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(Gilles 1998), so that the two distributions have partially overlapped for about a hundred years. Hybridisation has been detected in the patchily distributed sympatric areas of the basin, with an incidence unrelated to habitat characteristics (Costedoat et al. 2005; Sinama et al. 2013; Guivier et al. 2019) — the configuration of a mosaic hybrid zone (Seehausen et al. 2008). Guivier et al. (2017)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one or a few chromosomes — a single one in 17 of the 22 such individuals —,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a random-removal control separating that contribution from the accompanying change in sample size. Second, the comparison is reported both as a category contrast in a model spanning all stations — the only admissible form given the low heritability expected from Grieneisen et al. (2021) — and, as a complementary characterisation, as the four-dimensional index of Camper et al. (2024),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whose effect on composition is real; results on category are consequently reported bracketed between the two sequential orderings rather than as a single decomposition, without plate position in the principal models and with it as a covariate in a sensitivity analysis,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parental species occupy separate stations of one river: C. nasus with two intermediate hybrids at one (14 individuals), P. toxostoma alone at the other (19). Following Guivier et al. (2017), we expect any hybrid signal to be most pronounced in the digestive compartments, where the two parental species diverge most, rather than uniformly across the four tissues.</w:t>
      </w:r>
    </w:p>
    <w:p>
      <w:pPr/>
      <w:r>
        <w:rPr>
          <w:i/>
          <w:color w:val="888888"/>
          <w:sz w:val="18"/>
        </w:rPr>
        <w:t>[Introduction, draft 1 — points à trancher. (i) Le document n'a pas de titre d'article : « Introduction » et « Materials and Methods » sont deux titres de section de même niveau.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 traitement de la position de plaque (D2) sont alignés sur le §1 et le §8.6 (2026-09-25). Les paramètres a priori du 4H sont fixés par la décision D5 du 2026-09-25 : ρ = 0,5 au rang du genre, sensibilité rapportée sur ρ ∈ {0,3 ; 0,5 ; 0,7}, ϑ = ε = 0. Ce qui manque est leur description au §8.6, à écrire en même temps que le calcul 4H. (v) Vérifié sur genotypes_verifies_sept_180.csv, colonne n_chromosomes_introgresses : parmi les 22 quasi-purs, 17 sont introgressés sur un seul chromosome, 4 sur deux et 1 sur six. Le §1 et l'introduction portent désormais ces chiffres.]</w:t>
      </w:r>
    </w:p>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888888"/>
          <w:sz w:val="18"/>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their inter-chromosome discordance is what identifies them. Of the 180 individuals, 175 were genotyped from Q-scores on liver tissue. The remaining five, all assigned to a parental category, were resolved by other routes: three from Q-score fits on midgut and caudal fin, which agreed in assigning them to P. toxostoma, and two from an earlier and closely related method that left no Q-score record, so that no median index and no inter-chromosome discordance are reported for the latter two. The Hy category comprises two genome types: 20 intermediate genomes, and 22 near-parental genomes, introgressed on a single chromosome in 17 cases, on two in four and on six in one. What counts as a hybrid is therefore a decision, and every analysis of category is run twice, both passes being declared in advance: pass 1 retains the 20 intermediate hybrids and excludes the 22 near-parental individuals, which are not reassigned to a parental category (158 individuals); pass 2 retains all 42 (180 individuals). Nine of the 49 individuals previously identified on morphology were reclassified. Three stations carry all three categories — 74 individuals in pass 2 and 65 in pass 1, where Saint-Just-d'Ardèche retains a single hybrid —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888888"/>
          <w:sz w:val="18"/>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(600 cycles), run as 2 × 251 bp paired-end reads with two 8 bp index reads (518 of the 600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888888"/>
          <w:sz w:val="18"/>
        </w:rPr>
        <w:t>[Transposé du manuscrit d'origine (même équipe, même assay) : kit Qiagen Food Mericon, dual-index Kozich (2013), protocole Galan (2016), quantification Kapa. La chimie n'est plus transposée : les fiches de run de durance1 et durance3 donnent ReagentKitVersion=Version3, code-barres MS…-600V3 et des lectures 251/8/8/251, soit le kit v3 600 cycles en 2×251 — l'hypothèse d'un kit v2 500 cycles formulée dans Article_notes_a_trancher.md est écartée. durance2 n'a pas de dossier de run, mais ses lectures mesurent aussi 251 pb.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25 empty wells received no library and were sequenced in all three runs — 75 empty-well samples — to monitor index hopping between libraries.</w:t>
      </w:r>
    </w:p>
    <w:p>
      <w:r>
        <w:rPr>
          <w:i/>
          <w:color w:val="888888"/>
          <w:sz w:val="18"/>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removed 2.13 % of reads in total, 1.89 points more than the retained threshold,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25 empty wells, which received no library and in which any read therefore represents leakage; across the three runs they give 75 empty-well samples, of which 67 retained at least one read after filtering and 8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50 % of intermediate hybrids passed the threshold against 86 % of P. toxostoma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Supplementary Table S7 and Figure S2.</w:t>
      </w:r>
      <w:r>
        <w:rPr>
          <w:color w:val="1F4E79"/>
        </w:rPr>
      </w:r>
    </w:p>
    <w:p>
      <w:pPr/>
      <w:r>
        <w:rPr>
          <w:i/>
          <w:color w:val="888888"/>
          <w:sz w:val="18"/>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(§8.7). Every analysis of genotypic category is run in the two passes defined in §1. Plate column is not entered in the principal models, which report patterns co-varying with station and category without separating them; because its effect on composition is real (§8.8), every model testing category is also fitted with plate column as a covariate and reported as a sensitivity analysis.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0.720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2"/>
      </w:pPr>
      <w:r>
        <w:rPr>
          <w:i w:val="0"/>
        </w:rPr>
      </w:r>
      <w:r>
        <w:rPr>
          <w:i w:val="0"/>
        </w:rPr>
        <w:t>8.8 Plate position</w:t>
      </w:r>
    </w:p>
    <w:p>
      <w:pPr/>
      <w:r/>
      <w:r>
        <w:rPr>
          <w:b w:val="0"/>
          <w:i w:val="0"/>
        </w:rPr>
      </w:r>
      <w:r>
        <w:rPr>
          <w:b w:val="0"/>
          <w:i w:val="0"/>
          <w:color w:val="1F4E79"/>
        </w:rPr>
        <w:t>Individuals were numbered in the field in sampling order, which is not random with respect to genotype: the more fragile nases were processed first, except at one station (Saint-Just-d'Ardèche), and plates were loaded in numbering order at five of the nine stations (Spearman ρ between individual number and plate column, 0.87–0.95).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S6 and Figure S1.</w:t>
      </w:r>
      <w:r>
        <w:rPr>
          <w:color w:val="1F4E79"/>
        </w:rPr>
      </w:r>
    </w:p>
    <w:p>
      <w:pPr/>
      <w:r/>
      <w:r>
        <w:rPr>
          <w:b w:val="0"/>
          <w:i w:val="0"/>
        </w:rPr>
      </w:r>
      <w:r>
        <w:rPr>
          <w:b w:val="0"/>
          <w:i w:val="0"/>
          <w:color w:val="1F4E79"/>
        </w:rPr>
      </w:r>
      <w:r>
        <w:rPr>
          <w:b w:val="0"/>
          <w:i w:val="0"/>
          <w:color w:val="1F4E79"/>
        </w:rPr>
      </w:r>
      <w:r>
        <w:rPr>
          <w:b w:val="0"/>
          <w:i w:val="0"/>
          <w:color w:val="1F4E79"/>
        </w:rPr>
        <w:t>Three witnesses separate this effect from the biology it could be mistaken for. Within a single genotypic category, where a column effect cannot be a category effect, it persists but more weakly: among P. toxostoma alone in 17 of 24 strata in both passes (ratio 1.65), among C. nasus alone in 6 (pass 1) and 7 (pass 2) of 24 (ratio 1.63); hybrids alone are too few to be tested (two strata in pass 2, none in pass 1). No site code carries a single genotypic category, and the only single-category station (Chavannes-sur-Suran, 19 P. toxostoma) is too small for a separate witness; the within-category subsets therefore replace the single-category-station witness of an earlier analysis, which rested on fish left unresolved by morphology. In the symmetric ordering with category fitted first, column still contributes (21 and 22 of 24 strata). And the classic plate artefacts are absent: plate row is significant in 7 and 6 of 24 strata and plate edge in none, making the effect specific to column, as expected of an effect tracking processing order rather than evaporation or thermal gradients. The origin of the association between category and column is documented above, but the mechanism of the column effect itself is not identified: extraction order, reagent-batch drift within a plate, cross-contamination between adjacent wells and the delay between capture and dissection are not separated by these data, and no negative control isolates any of them. Plate column is therefore not entered in the principal models (§8.6), but every model testing category is also reported with plate column as a covariate, and the two versions are compared in §8.9.</w:t>
      </w:r>
    </w:p>
    <w:p>
      <w:pPr>
        <w:pStyle w:val="Heading2"/>
      </w:pPr>
      <w:r>
        <w:rPr>
          <w:i w:val="0"/>
        </w:rPr>
      </w:r>
      <w:r>
        <w:rPr>
          <w:i w:val="0"/>
        </w:rPr>
      </w:r>
      <w:r>
        <w:rPr>
          <w:i w:val="0"/>
          <w:color w:val="1F4E79"/>
        </w:rPr>
      </w:r>
      <w:r>
        <w:rPr>
          <w:i w:val="0"/>
          <w:color w:val="1F4E79"/>
        </w:rPr>
      </w:r>
      <w:r>
        <w:rPr>
          <w:i w:val="0"/>
          <w:color w:val="1F4E79"/>
        </w:rPr>
      </w:r>
      <w:r>
        <w:rPr>
          <w:i w:val="0"/>
        </w:rPr>
      </w:r>
      <w:r>
        <w:rPr>
          <w:i w:val="0"/>
        </w:rPr>
        <w:t>8.9 Structure of confounding in the genotypic design</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(§8.8).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A preliminary variance partition was run to size these terms before the ecological analysis, not as a result of it, in both passes and on the four metrics. Fitted in both orderings without plate position, genotypic category accounts for a median of 1.7 % to 2.8 % of compositional variance across the 48 metric × tissue × run strata in pass 1 and 1.4 % to 3.0 % in pass 2, against a median of 19 % and 18 % for station (range across strata 14–36 % in pass 1 and 14–35 % in pass 2). No tissue is detected by all four metrics in all three runs under both permutation schemes, in either pass, with or without plate position, so a global statement that hybrids differ is not supportable: the analysis must say which metric supports which claim, in which tissue, and under which definition of a hybrid.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A witness attributes this displacement to the definition of hybrids rather than to sample size: removing 22 randomly chosen individuals from the 158 that are not introgressed, twenty times, never restored the caudal signal in pass 2. At 500 reads the caudal signal is partial in pass 1 (three runs sequentially, p = 0.022–0.049; one of three with station fixed by blocks) and absent in pass 2, so it is not fully confirmed once the sample set retained at 3,000 reads is enlarged. The hindgut is the weakest tissue in pass 1 (only Jaccard is significant, in one run of three with station fixed by blocks) but not in pass 2, where with station fixed by blocks all four metrics detect it in all three runs;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Of the two witnesses that could have discriminated further, the separable sub-design detects category in 3 of 48 tests in pass 1 and 1 of 48 in pass 2 (with plate position), and Rosières, in pass 2, detects it in the gill on Jaccard and unweighted UniFrac in all three runs (p = 0.010–0.030); in pass 1 Rosières is not interpretable. Supplementary Table S8.</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r>
      <w:r>
        <w:t>Dispersion was tested with PERMDISP on the same matrices, both with permutations constrained within station blocks and separately within each station carrying all three categories, where a dispersion difference cannot be spatial. The transgressive prediction in its dispersion form — hybrids more variable than both parental categories — is not supported and the data point the other way. Across the 48 station-blocked tests, hybrids are the least dispersed of the three categories in 32 (pass 1) and 34 (pass 2) and the most dispersed in 7 and 8, against the third expected by chance under no ordering (binomial p = 2.4 × 10-6 and 1.2 × 10-7). Within stations the pattern holds in pass 1 (45 of 68, p = 3.2 × 10-8); in pass 2 it is not significant over all 120 tests (41, p = 0.46), because the strata of Saint-Just-d'Ardèche, testable only in pass 2, and those of the Canal point the other way, but it holds on the 68 tests common to both passes (31 of 68, p = 0.024). Significant tests in the transgressive direction number 1 (pass 1) and 0 (pass 2) among station-blocked tests, and 0 and 5 within stations; the five of pass 2 all concern the gill at Saint-Just-d'Ardèche, where each stratum holds three or four P. toxostoma. Where dispersion does differ significantly it is mostly a parental category that is most variable: P. toxostoma in the caudal fin in pass 1; P. toxostoma or C. nasus in the midgut, and P. toxostoma in the hindgut and caudal fin, in pass 2. The effect is small: the median hybrid distance to group centre lies below the parental mean on Bray-Curtis (-0.029 and -0.065), unweighted UniFrac (-0.026 and -0.016) and Jaccard (-0.015 and -0.009); on weighted UniFrac it is null in pass 1 (+0.0002) and slightly below in pass 2 (-0.005). The less-dispersed pattern is therefore carried by the three metrics sensitive to rare taxa.</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This bears directly on how the location results must be read, because PERMANOVA is sensitive to heterogeneous dispersion. In the caudal fin, dispersion is heterogeneous on Jaccard in all three runs in both passes, and on Bray-Curtis and unweighted UniFrac in all three runs in pass 1, so the location signals on those metrics cannot be separated from a dispersion effect. On weighted UniFrac dispersion is homogeneous in all three runs in both passes, and remains so within station. In pass 1, where the caudal-fin category effect on weighted UniFrac is significant in all three runs and both permutation schemes, that control could have failed and did not: the result is a difference in composition, not in variability. In pass 2 there is no location effect to interpret. One reservation is not resolved here: betadisper accepts no covariate, so the plate-position effect of section 8.8 is not adjusted for, and a category whose samples are more spread across plate columns could carry inflated dispersion. Supplementary Table S9 and Figure S3.</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 A second correction, on 2026-09-25, aligned host identity on the 25-chromosome genotyping: sample title, host scientific name and host common name were updated for 568 samples (1,199 fields), hybrids being recorded as nasus x toxostoma. It was then verified against the archive itself: 727 samples queried, 1,199 fields conforming, none discrepant. Neither correction altered a sample accession, an alias or a sequence file.</w:t>
      </w:r>
    </w:p>
    <w:p>
      <w:pPr/>
      <w:r>
        <w:rPr>
          <w:i w:val="0"/>
        </w:rPr>
        <w:t>Metadata completeness. Sampling-site coordinates and environmental context terms were obtained from the field records and are reported per site in Supplementary Table S1.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lien vers le dépôt de code (git) et, le cas échéant, DOI Zenodo de la version utilisée pour l'article.]</w:t>
      </w:r>
    </w:p>
    <w:p>
      <w:pPr>
        <w:pStyle w:val="Heading1"/>
      </w:pPr>
      <w:r>
        <w:t>Funding</w:t>
      </w:r>
    </w:p>
    <w:p>
      <w:pPr/>
      <w:r>
        <w:t>This work was funded by Électricité de France (EDF) through the FACIES project, with the support of the Fédération de l'Ain; the 2014–2015 sampling reported here was carried out under that same contract.</w:t>
      </w:r>
    </w:p>
    <w:p>
      <w:pPr/>
      <w:r>
        <w:rPr>
          <w:i/>
          <w:color w:val="888888"/>
          <w:sz w:val="18"/>
        </w:rPr>
        <w:t>[Financement confirmé par André le 2026-09-30 : « c'est le même contrat qui a servi à cette étude ». À compléter avant soumission : la référence exacte du contrat EDF et le nom légal complet de la Fédération, à reprendre des remerciements de Guivier et al. (2017), que je n'ai pas relus ; et la section Acknowledgements proprement dite (appui de terrain), à rédiger avec les co-auteurs.]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