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i w:val="0"/>
          <w:color w:val="1F4E79"/>
        </w:rPr>
        <w:t>Host-associated bacterial microbiota of hybridising cyprinid fishes</w:t>
      </w:r>
    </w:p>
    <w:p>
      <w:pPr>
        <w:pStyle w:val="Title"/>
      </w:pPr>
      <w:r>
        <w:rPr>
          <w:color w:val="1F4E79"/>
        </w:rPr>
        <w:t>Abstract</w:t>
      </w:r>
    </w:p>
    <w:p>
      <w:pPr/>
      <w:r>
        <w:rPr>
          <w:b/>
          <w:color w:val="1F4E79"/>
        </w:rPr>
        <w:t xml:space="preserve">Background: </w:t>
      </w:r>
      <w:r>
        <w:rPr>
          <w:color w:val="1F4E79"/>
        </w:rPr>
        <w:t>Hybridisation can reorganise host–microbe associations, but whether the microbiota of hybrids is intermediate between the parental species, dominated by one of them or transgressive has rarely been tested in natural hybrid zones, and never across several tissues of the same fish. We characterised the bacterial microbiota of the caudal fin, gill, midgut and hindgut of 180 nases (</w:t>
      </w:r>
      <w:r>
        <w:rPr>
          <w:i/>
          <w:color w:val="1F4E79"/>
        </w:rPr>
        <w:t>Chondrostoma nasus</w:t>
      </w:r>
      <w:r>
        <w:rPr>
          <w:color w:val="1F4E79"/>
        </w:rPr>
        <w:t>), toxostomes (</w:t>
      </w:r>
      <w:r>
        <w:rPr>
          <w:i/>
          <w:color w:val="1F4E79"/>
        </w:rPr>
        <w:t>Parachondrostoma toxostoma</w:t>
      </w:r>
      <w:r>
        <w:rPr>
          <w:color w:val="1F4E79"/>
        </w:rPr>
        <w:t>) and their hybrids sampled at nine stations of the Rhône drainage, with ancestry resolved by genotyping across 25 chromosomes and hybrids defined in two pre-declared ways.</w:t>
      </w:r>
    </w:p>
    <w:p>
      <w:pPr/>
      <w:r>
        <w:rPr>
          <w:b/>
          <w:color w:val="1F4E79"/>
        </w:rPr>
        <w:t xml:space="preserve">Results: </w:t>
      </w:r>
      <w:r>
        <w:rPr>
          <w:color w:val="1F4E79"/>
        </w:rPr>
        <w:t xml:space="preserve">Sequencing of the V4 region of the 16S rRNA gene, replicated across two library preparations and three runs, contributed negligible technical variance. Station explained about a fifth of compositional variance and genotypic category 1.4–3.0 %. No transgressive pattern was found: hybrids were transgressive in none of 32 alpha-diversity tests, were more dispersed than both parents no more often than expected by chance, and no transgressive reading of the four-dimensional (4H) index survived the pre-declared robustness rule; hybrids preferentially retained the core taxa shared by both parents in every compartment. Departures of hybrids from their parents were specific to compartments and metrics: the midgut on Jaccard distances was detected under every analytical choice, whereas a caudal-fin signal on weighted UniFrac was present only when near-parental introgressed individuals were excluded from the hybrid class. In alpha diversity, intermediate hybrids resembled </w:t>
      </w:r>
      <w:r>
        <w:rPr>
          <w:i/>
          <w:color w:val="1F4E79"/>
        </w:rPr>
        <w:t>C. nasus</w:t>
      </w:r>
      <w:r>
        <w:rPr>
          <w:color w:val="1F4E79"/>
        </w:rPr>
        <w:t xml:space="preserve"> in the caudal fin. Plate position affected composition and followed the order in which fish were processed, from which it cannot be separated in this design.</w:t>
      </w:r>
    </w:p>
    <w:p>
      <w:pPr/>
      <w:r>
        <w:rPr>
          <w:b/>
          <w:color w:val="1F4E79"/>
        </w:rPr>
        <w:t xml:space="preserve">Conclusions: </w:t>
      </w:r>
      <w:r>
        <w:rPr>
          <w:color w:val="1F4E79"/>
        </w:rPr>
        <w:t>In this mosaic hybrid zone the microbiota of hybrids lies within the parental range, and its departures from either parent are small relative to spatial variation, specific to compartments and metrics, and dependent on how hybrids are defined. The data give no support to a disrupted, transgressive hybrid microbiota.</w:t>
      </w:r>
    </w:p>
    <w:p>
      <w:pPr/>
      <w:r>
        <w:rPr>
          <w:b/>
          <w:color w:val="1F4E79"/>
        </w:rPr>
        <w:t xml:space="preserve">Keywords: </w:t>
      </w:r>
      <w:r>
        <w:rPr>
          <w:color w:val="1F4E79"/>
        </w:rPr>
        <w:t xml:space="preserve">hybridisation; hybrid zone; host-associated microbiota; 16S rRNA gene; Cyprinidae; </w:t>
      </w:r>
      <w:r>
        <w:rPr>
          <w:i/>
          <w:color w:val="1F4E79"/>
        </w:rPr>
        <w:t>Chondrostoma nasus</w:t>
      </w:r>
      <w:r>
        <w:rPr>
          <w:color w:val="1F4E79"/>
        </w:rPr>
        <w:t xml:space="preserve">; </w:t>
      </w:r>
      <w:r>
        <w:rPr>
          <w:i/>
          <w:color w:val="1F4E79"/>
        </w:rPr>
        <w:t>Parachondrostoma toxostoma</w:t>
      </w:r>
      <w:r>
        <w:rPr>
          <w:color w:val="1F4E79"/>
        </w:rPr>
        <w:t>; transgressive segregation; 4H index; tissue compartment</w:t>
      </w:r>
    </w:p>
    <w:p>
      <w:pPr>
        <w:pStyle w:val="Title"/>
      </w:pPr>
      <w:r>
        <w:rPr>
          <w:color w:val="1F4E79"/>
        </w:rPr>
        <w:t>Background</w:t>
      </w:r>
    </w:p>
    <w:p>
      <w:pPr/>
      <w:r>
        <w:rPr>
          <w:i w:val="0"/>
        </w:rPr>
        <w:t>Animals and the microbial communities they harbour form composite biological units in which microbial composition contributes to host performance and to tolerance of environmental constraints [1]. These associations are established largely by the sorting of microbial pools from the surrounding environment, a sorting that reflects host ecology and physiology — feeding behaviour, which selects among available resources, and the immune pathways underlying tolerance of or resistance to microbes [2–4]. Environmental acquisition is particularly important in fish, which live in a medium favourable to bacterial growth, are continuously exposed to microbes at their epithelial barriers, and are mostly oviparous with limited maternal effects compared with mammals [5]; accordingly, surveys of wild populations report a predominant environmental component of variation in bacterial composition [6–8]. Host genotype is nonetheless not without effect. A fourteen-year follow-up of wild baboons found microbiome phenotypes to be almost universally heritable, but with a typically low heritability that depends on context, and its authors concluded that large sample sizes are required to quantify it [9]; in stickleback, a host genetic influence on the gut microbiome became measurable once biological and technical components of variance had been decomposed beforehand [10]. If host ancestry shapes the fish microbiota, the expected effect is therefore small relative to the environmental one, and detecting it requires both substantial sample sizes and explicit control of the spatial and technical axes along which it could be mimicked.</w:t>
      </w:r>
    </w:p>
    <w:p>
      <w:pPr/>
      <w:r>
        <w:rPr>
          <w:i w:val="0"/>
        </w:rPr>
        <w:t>Secondary contact zones make host ancestry a naturally occurring and naturally replicated variable, and they are where the question of a genomic contribution to microbiota assembly is posed most directly. Introgressive hybridisation may disrupt co-adapted gene complexes and thereby alter close host–microbe interactions [11]; conversely, hybridisation is a source of genomic diversity and adaptive novelty involved in speciation and in range expansion into enlarged ecological niches [12, 13], and this diversity may extend to the microbiota through the acquisition of new microbial taxa. Three outcomes are usually contrasted: an intermediate or additive microbiota, varying monotonically with ancestry; dominance, in which hybrids resemble one parental species; and a transgressive microbiota, lying outside the range of both parents. Camper et al. [14] gave this comparison an explicit framework for host-associated microbiomes, in which four idealised models of taxon membership — Union, Intersection, Gain and Loss — are never realised in pure form, so that the index measures the relative weight of each and the four weights sum to one. The Gain–Loss axis of that framework provides an operational definition of a transgressive microbiota, one that does not presuppose a cost to the host. The distinction matters, because the equation between transgression and dysbiosis has been challenged: on an ecologically successful hybrid lizard, Camper et al. [15] report widespread transgressive segregation correlated with a restructuring of niche, and argue that the negative conclusions of the literature rest disproportionately on hybrids of low adaptive value. We follow the framework's own statement of scope, that the index describes a pattern and not a process, in the same sense as a beta-diversity measure.</w:t>
      </w:r>
    </w:p>
    <w:p>
      <w:pPr/>
      <w:r>
        <w:rPr>
          <w:i w:val="0"/>
        </w:rPr>
        <w:t xml:space="preserve">What is known of hybrid microbiota in fish comes almost entirely from controlled crosses. Reciprocal hybrids of bream and culter, whose parents have contrasting feeding habits, show a strong correspondence between genotype and intestinal characteristics [16]; in intrageneric </w:t>
      </w:r>
      <w:r>
        <w:rPr>
          <w:i/>
        </w:rPr>
        <w:t>Takifugu</w:t>
      </w:r>
      <w:r>
        <w:rPr>
          <w:i w:val="0"/>
        </w:rPr>
        <w:t xml:space="preserve"> hybrids, host hybridisation outweighs cohabitation in shaping the gut microbiota [17]; reciprocal hybrids of koi and goldfish resemble one parent rather than the midpoint of the two [18]; and whitefish species pairs with their reciprocal hybrids have been compared in natural and controlled environments [19]. This body of work has been reviewed recently [20]. Studies of natural hybrid zones in other vertebrates, for their part, do not converge. Host ancestry predominates in </w:t>
      </w:r>
      <w:r>
        <w:rPr>
          <w:i/>
        </w:rPr>
        <w:t>Neotoma</w:t>
      </w:r>
      <w:r>
        <w:rPr>
          <w:i w:val="0"/>
        </w:rPr>
        <w:t xml:space="preserve"> woodrats, where habitat determines diet but genotype determines the gut microbiota [21], and in hybridising brown lemurs along a 180 km transect [22]. The opposite conclusion is reached in baboons spanning a hybrid zone, where site soil properties rather than genetic ancestry, relatedness or between-population genetic distance explain the gut microbiota [23], and in wild house mice, where an apparent effect of admixture becomes weak once spatial autocorrelation is taken into account, on two replicates of the same hybrid zone [24]. In hybridising chickadees moved to a common environment, the change of environment affected microbiota richness but not community composition, while a corresponding effect of ancestry on composition was not statistically supported [25] — a result that argues for reporting alpha and beta diversity separately rather than for a directed expectation on either. Across this literature, no study combines a natural hybrid zone in fish, host ancestry quantified by genotyping rather than assigned by cross class, and several tissue compartments characterised in the same individual.</w:t>
      </w:r>
    </w:p>
    <w:p>
      <w:pPr/>
      <w:r>
        <w:rPr>
          <w:i w:val="0"/>
        </w:rPr>
        <w:t xml:space="preserve">The nase </w:t>
      </w:r>
      <w:r>
        <w:rPr>
          <w:i/>
        </w:rPr>
        <w:t>Chondrostoma nasus</w:t>
      </w:r>
      <w:r>
        <w:rPr>
          <w:i w:val="0"/>
        </w:rPr>
        <w:t xml:space="preserve"> and the South-west European nase, or toxostome, </w:t>
      </w:r>
      <w:r>
        <w:rPr>
          <w:i/>
        </w:rPr>
        <w:t>Parachondrostoma toxostoma</w:t>
      </w:r>
      <w:r>
        <w:rPr>
          <w:i w:val="0"/>
        </w:rPr>
        <w:t xml:space="preserve"> offer that combination. The toxostome is endemic to southern France, where it is declining and is a species of conservation concern; the nase originates from central Europe and entered the Rhône basin following the construction of navigable connections across Europe during the last century [26], so that the two distributions have partially overlapped for about a hundred years. Hybridisation has been detected in the patchily distributed sympatric areas of the basin, with an incidence unrelated to habitat characteristics [27–29] — the configuration of a mosaic hybrid zone [30]. Guivier et al. [31] characterised the microbiota of four tissue compartments of the two species in strict parapatry on a single river, and found the tissue compartment to be the first factor of variation, with a marked contrast between externally and internally exposed tissues and with proportions of species-specific taxa that were asymmetric between compartments: the nase carried many specific taxa on its external tissues, the toxostome in its intestine. On that basis the authors proposed that introgressive hybridisation might affect the microbiota differently depending on the tissue considered, and closed by announcing the exploration of hybrid microbiota rearrangement, which their sample of sixteen fish at two stations could not support. The present study is that exploration, on 180 fish sampled at nine stations over six watercourses of the Rhône drainage in two years, with host ancestry resolved by genotyping across 25 chromosomes rather than by morphology, and with the same four compartments — caudal fin, gill, midgut and hindgut — characterised in each individual.</w:t>
      </w:r>
    </w:p>
    <w:p>
      <w:pPr/>
      <w:r>
        <w:rPr>
          <w:i w:val="0"/>
        </w:rPr>
        <w:t>We ask whether the microbiota of individuals of mixed ancestry is intermediate between the two parental species, dominated by one of them, or displaced outside their range, and whether the answer is the same in all four compartments. Three points of design are stated at the outset rather than introduced with the results. First, because genotyping across 25 chromosomes separates an intermediate genome from a near-parental genome introgressed on one or a few chromosomes — a single one in 17 of the 22 such individuals —, what counts as a hybrid is a decision and not a given: the contrast is therefore run twice, on intermediate genomes alone and on the wider set including introgressed near-parental individuals, with both passes declared in advance, and the displacement of the result between them measures the contribution of the introgressed individuals, a random-removal control separating that contribution from the accompanying change in sample size. Second, the comparison is reported both as a category contrast in a model spanning all stations — the only admissible form given the low heritability expected from Grieneisen et al. [9] — and, as a complementary characterisation, as the four-dimensional index of Camper et al. [14], whose core threshold and taxonomic rank are fixed a priori and whose sensitivity is reported, since on a natural hybrid system these choices move the index more than sample size or sequencing depth do. Third, genotypic category is entangled with the spatial axis in this design, station being by far the strongest correlate of composition, and field processing order propagated to plate position, whose effect on composition is real; results on category are consequently reported bracketed between the two sequential orderings rather than as a single decomposition, without plate position in the principal models and with it as a covariate in a sensitivity analysis, and read as patterns co-varying with station and with category rather than as effects of ancestry alone. Two stations of the same river, 25 km apart and separated by a weir passable only downstream, were sampled in two successive years and provide an internal reference in which the two parental species occupy separate stations of one river: C. nasus with two intermediate hybrids at one (14 individuals), P. toxostoma alone at the other (19). Following Guivier et al. [31], we expect any hybrid signal to be most pronounced in the digestive compartments, where the two parental species diverge most, rather than uniformly across the four tissues.</w:t>
      </w:r>
    </w:p>
    <w:p>
      <w:pPr/>
      <w:r>
        <w:rPr>
          <w:i/>
          <w:color w:val="888888"/>
          <w:sz w:val="18"/>
        </w:rPr>
        <w:t>[Introduction — reste ouvert (note réduite le 2026-10-05 ; points réglés retirés : structure Animal Microbiome, description du 4H au §8.11, effectifs des quasi-purs, corrections Small 2019 et Sevellec 2019 propagées dans la .bib). (i) Titre provisoire (sous-titre du supplément, JF 2026-10-03) ; titre définitif en fin d'écriture. (ii) Wang et al. 2015 [11] et Sevellec et al. 2014 [6] viennent de la liste du manuscrit d'origine et n'ont pas été relus en texte intégral : vérifier leur pertinence là où ils sont cités.]</w:t>
      </w:r>
    </w:p>
    <w:p>
      <w:pPr>
        <w:pStyle w:val="Title"/>
      </w:pPr>
      <w:r>
        <w:rPr>
          <w:i w:val="0"/>
          <w:color w:val="1F4E79"/>
        </w:rPr>
        <w:t>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b w:val="0"/>
          <w:i w:val="0"/>
        </w:rPr>
      </w:r>
      <w:r>
        <w:rPr>
          <w:i w:val="0"/>
          <w:color w:val="1F4E79"/>
        </w:rPr>
      </w:r>
      <w:r>
        <w:rPr>
          <w:i w:val="0"/>
        </w:rPr>
        <w:t>We studied the host-associated bacterial microbiota of two interbreeding cyprinid fishes, the nase Chondrostoma nasus (code Cn) and the toxostome Parachondrostoma toxostoma (code Pt), together with their hybrids (code Hy), in their contact zone. Fish were sampled at nine stations of the Rhône drainage (rivers Durance, Suran, Buech, Beaume and Ardèche, and one canal fed by the Largue; south-eastern France) over two years (2014 and 2015), spanning a gradient of hybrid-zone context (allopatry, sympatry with hybridisation, and asymmetric introgression). Two of the nine stations lie on the Suran, 25.4 km apart and separated by a barrier passable only downstream; they are treated as distinct stations throughout because they carry different taxa.</w:t>
      </w:r>
    </w:p>
    <w:p>
      <w:r>
        <w:rPr>
          <w:b w:val="0"/>
          <w:i w:val="0"/>
        </w:rPr>
        <w:t>Specimens were captured by electrofishing</w:t>
      </w:r>
      <w:r>
        <w:rPr>
          <w:b w:val="0"/>
          <w:i w:val="0"/>
          <w:color w:val="1F4E79"/>
        </w:rPr>
        <w:t xml:space="preserve"> (30 min to 1 h per station) and kept alive in a large holding tank filled with river water until dissection. They were then processed one at a time: each fish was euthanised by cervical dislocation and immediately dissected with sterile material, which took 4–6 min per fish, so that the catch of a station (4 to 25 retained fish per session) was processed in about 2 h. The time spent in the holding tank therefore ranged from a few minutes to about 2 h; nases, which are more fragile, were generally processed first.</w:t>
      </w:r>
      <w:r>
        <w:rPr>
          <w:b w:val="0"/>
          <w:i w:val="0"/>
        </w:rPr>
        <w:t xml:space="preserve"> The study was conducted according to international guidelines of animal care and under national protocol authorisations n° 2014-156-0001 and n° 2015-1426DDT605.</w:t>
      </w:r>
    </w:p>
    <w:p>
      <w:r>
        <w:rPr>
          <w:i/>
          <w:color w:val="888888"/>
          <w:sz w:val="18"/>
        </w:rPr>
        <w:t>[À confirmer par André — questions de suivi envoyées le 2026-10-03. (1) Autorisations : André confirme les deux numéros et indique une approbation par l'ONEMA et les DDT des Alpes-de-Haute-Provence, des Hautes-Alpes et du Vaucluse ; or les stations du Suran (Ain) et de l'Ardèche (Saint-Just-d'Ardèche, Rosières) sont hors de ces départements. Remplacer « national protocol authorisations » une fois la couverture établie. (2) Euthanasie par dislocation cervicale juste avant la dissection de chaque poisson : non confirmée explicitement. La séquence pêche → vivier → dissection, les durées et l'ordre de traitement viennent d'André (2026-10-03 ; hotus en priorité : 2026-09-25).]</w:t>
      </w:r>
    </w:p>
    <w:p>
      <w:r/>
      <w:r>
        <w:rPr>
          <w:i w:val="0"/>
          <w:color w:val="1F4E79"/>
        </w:rPr>
        <w:t>Stations, rivers, WGS84 coordinates, collection dates, years of sampling, genotypic composition and the number of individuals and libraries per station are given in Supplementary Table S</w:t>
      </w:r>
      <w:r>
        <w:rPr>
          <w:i w:val="0"/>
          <w:color w:val="1F4E79"/>
        </w:rPr>
        <w:t>1</w:t>
      </w:r>
      <w:r>
        <w:rPr>
          <w:i w:val="0"/>
          <w:color w:val="1F4E79"/>
        </w:rPr>
        <w:t>. Coordinates and collection dates are field records supplied by the collecting team; an earlier version of this dataset carried coordinates extrapolated from commune names, which have been replaced (see the note to Table S</w:t>
      </w:r>
      <w:r>
        <w:rPr>
          <w:i w:val="0"/>
          <w:color w:val="1F4E79"/>
        </w:rPr>
        <w:t>1</w:t>
      </w:r>
      <w:r>
        <w:rPr>
          <w:i w:val="0"/>
          <w:color w:val="1F4E79"/>
        </w:rPr>
        <w:t>).</w:t>
      </w:r>
    </w:p>
    <w:p>
      <w:pPr/>
      <w:r>
        <w:rPr>
          <w:i w:val="0"/>
        </w:rPr>
      </w:r>
      <w:r>
        <w:rPr>
          <w:i w:val="0"/>
          <w:color w:val="1F4E79"/>
        </w:rPr>
        <w:t>Individuals are counted per site code and year of sampling, since the same station sampled in two years contributes distinct individuals to the design. Counting this way gives 180 individuals; collapsing years gives 156, because individual numbering restarts each year and identical numbers at one site are then merged. The two figures describe the same fish: 180 is the count used in the analyses, 156 the count obtained if the year is ignored.</w:t>
      </w:r>
    </w:p>
    <w:p>
      <w:r>
        <w:rPr>
          <w:b w:val="0"/>
          <w:i/>
        </w:rPr>
      </w:r>
      <w:r>
        <w:rPr>
          <w:i w:val="0"/>
          <w:color w:val="1F4E79"/>
        </w:rPr>
        <w:t>Species identity was resolved by genotyping rather than by morphology. Each individual was assigned, from a chromosome-level assignment across 25 chromosomes, to one of three categories — Cn (59 individuals), Hy (42) and Pt (79) — and not by thresholding a median hybrid index, because a substantial minority of hybrids carry an extreme median index and their inter-chromosome discordance is what identifies them. Of the 180 individuals, 175 were genotyped from Q-scores on liver tissue.</w:t>
      </w:r>
      <w:r>
        <w:rPr>
          <w:i w:val="0"/>
          <w:color w:val="1F4E79"/>
        </w:rPr>
        <w:t xml:space="preserve"> Individual genotypes, with the tissue on which each was obtained, are given in Supplementary Table S</w:t>
      </w:r>
      <w:r>
        <w:rPr>
          <w:i w:val="0"/>
          <w:color w:val="1F4E79"/>
        </w:rPr>
        <w:t>2</w:t>
      </w:r>
      <w:r>
        <w:rPr>
          <w:i w:val="0"/>
          <w:color w:val="1F4E79"/>
        </w:rPr>
        <w:t>.</w:t>
      </w:r>
      <w:r>
        <w:rPr>
          <w:i w:val="0"/>
          <w:color w:val="1F4E79"/>
        </w:rPr>
        <w:t xml:space="preserve"> The remaining five, all assigned to a parental category, were resolved by other routes: three from Q-score fits on midgut and caudal fin, which agreed in assigning them to P. toxostoma, and two from an earlier and closely related method that left no Q-score record, so that no median index and no inter-chromosome discordance are reported for the latter two. The Hy category comprises two genome types: 20 intermediate genomes, and 22 near-parental genomes, introgressed on a single chromosome in 17 cases, on two in four and on six in one. What counts as a hybrid is therefore a decision, and every analysis of category is run twice, both passes being declared in advance: pass 1 retains the 20 intermediate hybrids and excludes the 22 near-parental individuals, which are not reassigned to a parental category (158 individuals); pass 2 retains all 42 (180 individuals). Nine of the 49 individuals previously identified on morphology were reclassified. Three stations carry all three categories — 74 individuals in pass 2 and 65 in pass 1, where Saint-Just-d'Ardèche retains a single hybrid — which is the subset in which the hybrid contrast can be tested within a station.</w:t>
      </w:r>
    </w:p>
    <w:p>
      <w:pPr>
        <w:pStyle w:val="Heading1"/>
      </w:pPr>
      <w:r>
        <w:t>2. Tissue sampling and preservation</w:t>
      </w:r>
    </w:p>
    <w:p>
      <w:r>
        <w:rPr>
          <w:b w:val="0"/>
          <w:i w:val="0"/>
        </w:rPr>
        <w:t xml:space="preserve">Four tissues were sampled per fish, spanning a gradient of contact with the external environment: </w:t>
      </w:r>
      <w:r>
        <w:rPr>
          <w:b w:val="0"/>
          <w:i w:val="0"/>
          <w:color w:val="1F4E79"/>
        </w:rPr>
        <w:t>a lobe of the caudal fin (code 01), the gill (05), the hindgut (03) and the midgut (02), dissected in that order. Each tissue was cut in two and placed in two 1.5 mL tubes: one half was stored in 95% ethanol at −80 °C for microbiota analysis, the other was frozen at −80 °C for transcriptome analyses, including genotyping.</w:t>
      </w:r>
      <w:r>
        <w:rPr>
          <w:b w:val="0"/>
          <w:i w:val="0"/>
        </w:rPr>
        <w:t xml:space="preserve"> Nine tissues were re-extracted independently (flagged ‘bis’) and are treated as technical replicates.</w:t>
      </w:r>
    </w:p>
    <w:p>
      <w:r>
        <w:rPr>
          <w:i/>
          <w:color w:val="888888"/>
          <w:sz w:val="18"/>
        </w:rPr>
        <w:t>[À confirmer par André — question de suivi envoyée le 2026-10-03 : température de conservation du tube en éthanol 95 % destiné au microbiote (−80 °C dans Guivier et al. 2017 ; non précisée dans sa réponse). Tissu 01 = lobe de nageoire caudale, ordre de dissection et partage de chaque tissu en deux tubes : André, 2026-10-03.]</w:t>
      </w:r>
    </w:p>
    <w:p>
      <w:pPr>
        <w:pStyle w:val="Heading1"/>
      </w:pPr>
      <w:r>
        <w:t>3. DNA extraction, 16S library preparation and sequencing</w:t>
      </w:r>
    </w:p>
    <w:p>
      <w:r>
        <w:rPr>
          <w:b w:val="0"/>
          <w:i w:val="0"/>
        </w:rPr>
        <w:t xml:space="preserve">Bacterial DNA was extracted from each tissue with the Qiagen Food Mericon kit (Qiagen, Venlo, Netherlands), following a slightly modified protocol detailed in </w:t>
      </w:r>
      <w:r>
        <w:rPr>
          <w:b w:val="0"/>
          <w:i w:val="0"/>
          <w:color w:val="1F4E79"/>
        </w:rPr>
        <w:t>Guivier et al. [31]</w:t>
      </w:r>
      <w:r>
        <w:rPr>
          <w:b w:val="0"/>
          <w:i w:val="0"/>
        </w:rPr>
        <w:t>. A 251 bp fragment of the V4 region of the bacterial 16S rRNA gene was amplified using the dual-index method of Kozich et al. [32], with forward and reverse primers carrying an 8 bp index and Illumina adapters (Caporaso primers 515F GTGCCAGCMGCCGCGGTAA / 806R GGACTACHVGGGTWTCTAAT). DNA amplification, purification and pooling of PCR products followed Galan et al. [33]. The final library was quantified with the Kapa quantification kit (Kapa Biosystems) and loaded on an Illumina MiSeq flow cell with reagent kit v3 (600 cycles), run as 2 × 251 bp paired-end reads with two 8 bp index reads (518 of the 600 cycles).</w:t>
      </w:r>
    </w:p>
    <w:p>
      <w:r>
        <w:rPr>
          <w:b w:val="0"/>
          <w:i w:val="0"/>
        </w:rPr>
        <w:t>For the present study the 768 samples were processed through two independent library preparations, each using the one-step dual-index PCR of Kozich et al. [32], in which the indices are incorporated during amplification. The first amplicon library was sequenced once (run durance1); the second, prepared from an independent PCR of the same samples, was sequenced twice on separate flow cells (runs durance2 and durance3). The same plate layout and the same set of 768 index combinations were used for both preparations, but the assignment of index pairs to wells differs between them: relative to durance1, the i7 index differs for 384 of the 768 libraries and the i5 index for 576, whereas durance2 and durance3 carry identical index pairs throughout (Supplementary Data, Index assignment). A distinct index assignment is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r>
        <w:rPr>
          <w:i w:val="0"/>
          <w:color w:val="1F4E79"/>
        </w:rPr>
        <w:t>Libraries were sequenced on an Illumina MiSeq on 10 July 2017 (durance1), 5 October 2017 (durance2) and 3 November 2017 (durance3), with a 10 % PhiX spike-in. PCR conditions, purification and pooling followed Galan et al. [33].</w:t>
      </w:r>
      <w:r>
        <w:t xml:space="preserve"> Run labels, flow cells, dates and the mapping of runs to library preparations are given in Supplementary Table S</w:t>
      </w:r>
      <w:r>
        <w:rPr>
          <w:color w:val="1F4E79"/>
        </w:rPr>
        <w:t>3</w:t>
      </w:r>
      <w:r>
        <w:t>.</w:t>
      </w:r>
    </w:p>
    <w:p>
      <w:pPr>
        <w:pStyle w:val="Heading1"/>
      </w:pPr>
      <w:r>
        <w:t>4. Controls</w:t>
      </w:r>
    </w:p>
    <w:p>
      <w:r>
        <w:rPr>
          <w:b w:val="0"/>
          <w:i w:val="0"/>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25 empty wells received no library and were sequenced in all three runs — 75 empty-well samples — to monitor index hopping between libraries.</w:t>
      </w:r>
    </w:p>
    <w:p>
      <w:r>
        <w:rPr>
          <w:i w:val="0"/>
          <w:color w:val="1F4E79"/>
        </w:rPr>
        <w:t>The mock community was the ZymoBIOMICS Microbial Community Standard (Zymo Research, cat. D6300).</w:t>
      </w:r>
      <w:r>
        <w:t xml:space="preserve"> The number of biological samples, controls and empty wells actually deposited is given in Supplementary Table S</w:t>
      </w:r>
      <w:r>
        <w:rPr>
          <w:color w:val="1F4E79"/>
        </w:rPr>
        <w:t>4</w:t>
      </w:r>
      <w:r>
        <w:t>.</w:t>
      </w:r>
    </w:p>
    <w:p>
      <w:pPr>
        <w:pStyle w:val="Heading1"/>
      </w:pPr>
      <w:r>
        <w:t>5. Sequence processing overview</w:t>
      </w:r>
    </w:p>
    <w:p>
      <w:r>
        <w:rPr>
          <w:b w:val="0"/>
          <w:i w:val="0"/>
        </w:rPr>
        <w:t xml:space="preserve">Reads were processed with a custom, version-controlled pipeline (git-tracked; each parameter justified in the script headers). The three runs were processed separately through denoising and merged thereafter. Software versions: </w:t>
      </w:r>
      <w:r>
        <w:rPr>
          <w:b w:val="0"/>
          <w:i w:val="0"/>
          <w:color w:val="1F4E79"/>
        </w:rPr>
        <w:t>cutadapt 5.0 [34];</w:t>
      </w:r>
      <w:r>
        <w:rPr>
          <w:b w:val="0"/>
          <w:i w:val="0"/>
        </w:rPr>
        <w:t xml:space="preserve"> R 4.5.3 with </w:t>
      </w:r>
      <w:r>
        <w:rPr>
          <w:b w:val="0"/>
          <w:i w:val="0"/>
          <w:color w:val="1F4E79"/>
        </w:rPr>
        <w:t>DADA2 1.38.0 [35];</w:t>
      </w:r>
      <w:r>
        <w:rPr>
          <w:b w:val="0"/>
          <w:i w:val="0"/>
        </w:rPr>
        <w:t xml:space="preserve"> </w:t>
      </w:r>
      <w:r>
        <w:rPr>
          <w:b w:val="0"/>
          <w:i w:val="0"/>
          <w:color w:val="1F4E79"/>
        </w:rPr>
        <w:t>SILVA reference v138.2 [36]</w:t>
      </w:r>
      <w:r>
        <w:rPr>
          <w:b w:val="0"/>
          <w:i w:val="0"/>
        </w:rPr>
        <w:t xml:space="preserve">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 xml:space="preserve">The 16S V4 primers co-amplify the host mitochondrial 12S rRNA gene </w:t>
      </w:r>
      <w:r>
        <w:rPr>
          <w:b w:val="0"/>
          <w:i w:val="0"/>
          <w:color w:val="1F4E79"/>
        </w:rPr>
        <w:t>(host 12S and primer dimers: 14–15 % of reads per run; median 12 % per biological sample, range 0–99 %)</w:t>
      </w:r>
      <w:r>
        <w:rPr>
          <w:b w:val="0"/>
          <w:i w:val="0"/>
        </w:rPr>
        <w:t>.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val="0"/>
          <w:color w:val="C00000"/>
        </w:rPr>
        <w:t>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Enterococcus faecalis and Staphylococcus aureus, whose full-length 16S differ between lots — so the mock ASVs match either reference equally and the recovery of 8/8 expected species is independent of the lot assignment.</w:t>
      </w:r>
    </w:p>
    <w:p>
      <w:pPr>
        <w:pStyle w:val="Heading1"/>
      </w:pPr>
      <w:r>
        <w:t>8. Downstream ecological analysis</w:t>
      </w:r>
    </w:p>
    <w:p>
      <w:pPr>
        <w:pStyle w:val="Heading2"/>
      </w:pPr>
      <w:r>
        <w:rPr>
          <w:b w:val="0"/>
          <w:i w:val="0"/>
        </w:rPr>
        <w:t>8.1 Decontamination</w:t>
      </w:r>
    </w:p>
    <w:p>
      <w:pPr/>
      <w:r>
        <w:rPr>
          <w:b w:val="0"/>
          <w:i w:val="0"/>
        </w:rPr>
        <w:t>Reagent and laboratory contaminants were identified with decontam v1.30.0 [37]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removed 2.13 % of reads in total, 1.89 points more than the retained threshold, including ASVs carrying genuine biological signal — most notably a Candidatus Branchiomonas ASV that was prevalent in gill and external tissues and essentially absent from negative controls — and was therefore rejected.</w:t>
      </w:r>
    </w:p>
    <w:p>
      <w:pPr>
        <w:pStyle w:val="Heading2"/>
      </w:pPr>
      <w:r>
        <w:rPr>
          <w:b w:val="0"/>
          <w:i w:val="0"/>
        </w:rPr>
        <w:t>8.2 Index-hopping assessment</w:t>
      </w:r>
    </w:p>
    <w:p>
      <w:pPr/>
      <w:r>
        <w:rPr>
          <w:b w:val="0"/>
          <w:i w:val="0"/>
        </w:rPr>
        <w:t>Cross-talk between libraries (index hopping) was quantified using the 25 empty wells, which received no library and in which any read therefore represents leakage; across the three runs they give 75 empty-well samples, of which 67 retained at least one read after filtering and 8 none. Across all empty wells these accumulated 41 reads out of 26.8 million (0.0002 %; median 0 reads per well, maximum 13), indicating negligible index hopping. No background-noise subtraction was applied on this basis.</w:t>
      </w:r>
    </w:p>
    <w:p>
      <w:pPr>
        <w:pStyle w:val="Heading2"/>
      </w:pPr>
      <w:r>
        <w:rPr>
          <w:b w:val="0"/>
          <w:i w:val="0"/>
        </w:rPr>
        <w:t>8.3 Mock-derived sample-level artefacts</w:t>
      </w:r>
    </w:p>
    <w:p>
      <w:pPr/>
      <w:r>
        <w:rPr>
          <w:b w:val="0"/>
          <w:i w:val="0"/>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b w:val="0"/>
          <w:i w:val="0"/>
        </w:rPr>
        <w:t xml:space="preserve">A de novo phylogeny was built from the ASV sequences with </w:t>
      </w:r>
      <w:r>
        <w:rPr>
          <w:b w:val="0"/>
          <w:i w:val="0"/>
          <w:color w:val="1F4E79"/>
        </w:rPr>
        <w:t>QIIME 2 [38]</w:t>
      </w:r>
      <w:r>
        <w:rPr>
          <w:b w:val="0"/>
          <w:i w:val="0"/>
        </w:rPr>
        <w:t xml:space="preserve"> (align-to-tree-mafft-fasttree): multiple alignment with </w:t>
      </w:r>
      <w:r>
        <w:rPr>
          <w:b w:val="0"/>
          <w:i w:val="0"/>
          <w:color w:val="1F4E79"/>
        </w:rPr>
        <w:t>MAFFT [39],</w:t>
      </w:r>
      <w:r>
        <w:rPr>
          <w:b w:val="0"/>
          <w:i w:val="0"/>
        </w:rPr>
        <w:t xml:space="preserve"> masking of highly variable positions, tree inference with </w:t>
      </w:r>
      <w:r>
        <w:rPr>
          <w:b w:val="0"/>
          <w:i w:val="0"/>
          <w:color w:val="1F4E79"/>
        </w:rPr>
        <w:t>FastTree 2 [40],</w:t>
      </w:r>
      <w:r>
        <w:rPr>
          <w:b w:val="0"/>
          <w:i w:val="0"/>
        </w:rPr>
        <w:t xml:space="preserve"> and midpoint rooting. Fragment insertion into a reference backbone (SEPP) was not used because the ASVs are near-complete V4 amplicons (~251 bp) for which de novo alignment is appropriate. The resulting rooted tree covers all ASVs of the analysis table and supports </w:t>
      </w:r>
      <w:r>
        <w:rPr>
          <w:b w:val="0"/>
          <w:i w:val="0"/>
          <w:color w:val="1F4E79"/>
        </w:rPr>
        <w:t>UniFrac distances [41] and Faith's phylogenetic diversity [42]</w:t>
      </w:r>
      <w:r>
        <w:rPr>
          <w:b w:val="0"/>
          <w:i w:val="0"/>
        </w:rPr>
        <w:t>.</w:t>
      </w:r>
    </w:p>
    <w:p>
      <w:pPr>
        <w:pStyle w:val="Heading2"/>
      </w:pPr>
      <w:r>
        <w:rPr>
          <w:b w:val="0"/>
          <w:i w:val="0"/>
        </w:rPr>
        <w:t>8.6 Normalization of sequencing effort</w:t>
      </w:r>
    </w:p>
    <w:p>
      <w:pPr/>
      <w:r>
        <w:rPr>
          <w:b w:val="0"/>
          <w:i w:val="0"/>
        </w:rPr>
        <w:t>Uneven sequencing effort was controlled by rarefaction, currently the most robust approach for alpha- and beta-diversity metrics [43].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i w:val="0"/>
        </w:rPr>
        <w:t>Rarefaction was applied repeatedly rather than as a single draw [44].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i w:val="0"/>
        </w:rPr>
        <w:t xml:space="preserve">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w:t>
      </w:r>
      <w:r>
        <w:rPr>
          <w:i w:val="0"/>
          <w:color w:val="1F4E79"/>
        </w:rPr>
        <w:t>Results</w:t>
      </w:r>
      <w:r>
        <w:rPr>
          <w:i w:val="0"/>
        </w:rPr>
        <w:t>,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w:t>
      </w:r>
      <w:r>
        <w:rPr>
          <w:i w:val="0"/>
          <w:color w:val="1F4E79"/>
        </w:rPr>
        <w:t>Results</w:t>
      </w:r>
      <w:r>
        <w:rPr>
          <w:i w:val="0"/>
        </w:rPr>
        <w:t>).</w:t>
      </w:r>
      <w:r>
        <w:rPr>
          <w:color w:val="1F4E79"/>
        </w:rPr>
        <w:t xml:space="preserve"> Convergence values are given in Supplementary Table S</w:t>
      </w:r>
      <w:r>
        <w:rPr>
          <w:color w:val="1F4E79"/>
        </w:rPr>
        <w:t>5</w:t>
      </w:r>
      <w:r>
        <w:rPr>
          <w:color w:val="1F4E79"/>
        </w:rPr>
        <w:t>.</w:t>
      </w:r>
    </w:p>
    <w:p>
      <w:pPr/>
      <w:r>
        <w:rPr>
          <w:i w:val="0"/>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i w:val="0"/>
        </w:rPr>
      </w:r>
      <w:r>
        <w:rPr>
          <w:b w:val="0"/>
          <w:i w:val="0"/>
          <w:color w:val="1F4E79"/>
        </w:rPr>
        <w:t>Phylogenetic metrics were computed on the same draws as the taxonomic ones. Unweighted UniFrac, weighted normalized UniFrac and Faith's phylogenetic diversity were averaged over 400 rarefactions at 3,000 reads, run as two independent chains of 200 with disjoint seeds so that Monte-Carlo error could be measured rather than assumed: relative standard error ranged from 0.04 % (Shannon) to 0.18 % (inverse Simpson), with between-chain correlations of at least 0.99987 on every metric. Convergence established on Bray-Curtis was not assumed to transfer to UniFrac. As a control that could have failed, the three taxonomic alpha indices were recomputed on these draws and compared with the earlier, independently drawn series: agreement was r &gt; 0.999997 with mean relative deviations of 0.04-0.15 %.</w:t>
      </w:r>
    </w:p>
    <w:p>
      <w:pPr/>
      <w:r>
        <w:rPr>
          <w:i w:val="0"/>
        </w:rPr>
      </w:r>
      <w:r>
        <w:rPr>
          <w:b w:val="0"/>
          <w:i w:val="0"/>
          <w:color w:val="1F4E79"/>
        </w:rPr>
        <w:t xml:space="preserve">Because the rarefaction threshold both equalises depth and decides which samples enter, the second of these effects was quantified separately. On a fixed set of samples - those retained at 3,000 reads, so that only depth varies - dissimilarity matrices recomputed at 500 to 2,000 reads were compared with the 3,000-read reference. The two abundance-weighted metrics proved essentially invariant down to 500 reads (weighted UniFrac r = 0.9994, Bray-Curtis r = 0.9985), whereas the two presence-based metrics degraded (Jaccard r = 0.9617, unweighted UniFrac r = 0.9373) and observed richness fell by 42 %, confirming that the loss is driven by rare taxa rather than by a general low-depth artefact. Sample retention at 3,000 reads is not random with respect to the variable of interest: </w:t>
      </w:r>
      <w:r>
        <w:rPr>
          <w:b w:val="0"/>
          <w:i w:val="0"/>
          <w:color w:val="1F4E79"/>
        </w:rPr>
        <w:t>in the caudal fin, in sequencing run durance1, 50 % of intermediate hybrids</w:t>
      </w:r>
      <w:r>
        <w:rPr>
          <w:b w:val="0"/>
          <w:i w:val="0"/>
          <w:color w:val="1F4E79"/>
        </w:rPr>
        <w:t xml:space="preserve"> passed the threshold against 86 % of P. toxostoma (pass 1), and 67 % of all 42 hybrids (pass 2), a gap of 36 and 20 points respectively, reaching 48 and 36 points at one of the three stations carrying the full genotypic gradient. No threshold removes this selection without the corresponding loss of richness. Claims resting on abundance-weighted metrics are therefore accompanied by a sensitivity analysis at 500 reads, where the caudal-fin gap falls to 3.8 points (pass 1) and 5.7 points (pass 2) and 2,067 samples are retained (1,825 in pass 1); claims resting on presence-based metrics are reported at 3,000 reads with the selection declared, since they cannot be tested at 500 and the midgut gap (14.0 and 8.9 points) persists there in any case. Supplementary Table S</w:t>
      </w:r>
      <w:r>
        <w:rPr>
          <w:b w:val="0"/>
          <w:i w:val="0"/>
          <w:color w:val="1F4E79"/>
        </w:rPr>
        <w:t>6</w:t>
      </w:r>
      <w:r>
        <w:rPr>
          <w:b w:val="0"/>
          <w:i w:val="0"/>
          <w:color w:val="1F4E79"/>
        </w:rPr>
        <w:t xml:space="preserve"> and Figure S1.</w:t>
      </w:r>
      <w:r>
        <w:rPr>
          <w:color w:val="1F4E79"/>
        </w:rPr>
      </w:r>
      <w:r>
        <w:rPr>
          <w:i/>
          <w:color w:val="888888"/>
          <w:sz w:val="18"/>
        </w:rPr>
        <w:t xml:space="preserve"> [Écarts de rétention : valeurs du run durance1 (scripts/43-retention_profondeur.py, results/depth_agreement/retention_par_categorie.tsv, 2026-10-05) ; aucun script ne les produisait auparavant. Sur les trois runs : caudale à 3 000 lectures 29,0–36,4 points (passe 1) et 14,7–19,8 (passe 2) ; à 500 lectures 2,6–3,8 et 3,4–5,7 ; midgut à 500 lectures 5,7–14,0 et 7,8–8,9 (runs confondus : 32,3 / 17,2 ; 3,4 / 4,5 ; 8,5 / 8,2). Le midgut de la passe 1 dépend du run (14,0 dans durance1, 5,7 dans les deux autres). Rapporter la valeur d'un run ou l'étendue : à trancher par JF.]</w:t>
      </w:r>
    </w:p>
    <w:p>
      <w:pPr>
        <w:pStyle w:val="Heading2"/>
      </w:pPr>
      <w:r>
        <w:rPr>
          <w:color w:val="1F4E79"/>
        </w:rPr>
        <w:t>8.7 Statistical framework</w:t>
      </w:r>
    </w:p>
    <w:p>
      <w:pPr/>
      <w:r>
        <w:rPr>
          <w:i/>
          <w:color w:val="888888"/>
          <w:sz w:val="18"/>
        </w:rPr>
      </w:r>
      <w:r>
        <w:rPr>
          <w:b w:val="0"/>
          <w:i w:val="0"/>
          <w:color w:val="1F4E79"/>
        </w:rPr>
        <w:t xml:space="preserve">Community composition is analysed </w:t>
      </w:r>
      <w:r>
        <w:rPr>
          <w:b w:val="0"/>
          <w:i w:val="0"/>
          <w:color w:val="1F4E79"/>
        </w:rPr>
        <w:t>by PERMANOVA [45] on</w:t>
      </w:r>
      <w:r>
        <w:rPr>
          <w:b w:val="0"/>
          <w:i w:val="0"/>
          <w:color w:val="1F4E79"/>
        </w:rPr>
        <w:t xml:space="preserve"> the averaged dissimilarity matrices, stratified by tissue. Stratification is imposed by the design rather than chosen: 168 of the 180 fish occupy the same plate column across all four tissues, so plate position is not estimable in a pooled model carrying fish identity. Station, not site code, is the spatial unit, since two site codes each span two Suran stations that share no genotypic category. Sequencing run is nested within library preparation (</w:t>
      </w:r>
      <w:r>
        <w:rPr>
          <w:b w:val="0"/>
          <w:i w:val="0"/>
          <w:color w:val="1F4E79"/>
        </w:rPr>
        <w:t>§8.8</w:t>
      </w:r>
      <w:r>
        <w:rPr>
          <w:b w:val="0"/>
          <w:i w:val="0"/>
          <w:color w:val="1F4E79"/>
        </w:rPr>
        <w:t>). Every analysis of genotypic category is run in the two passes defined in §1. Plate column is not entered in the principal models, which report patterns co-varying with station and category without separating them; because its effect on composition is real (</w:t>
      </w:r>
      <w:r>
        <w:rPr>
          <w:b w:val="0"/>
          <w:i w:val="0"/>
          <w:color w:val="1F4E79"/>
        </w:rPr>
        <w:t>§8.9; Results</w:t>
      </w:r>
      <w:r>
        <w:rPr>
          <w:b w:val="0"/>
          <w:i w:val="0"/>
          <w:color w:val="1F4E79"/>
        </w:rPr>
        <w:t>), every model testing category is also fitted with plate column as a covariate and reported as a sensitivity analysis. Because genotypic category, station and plate position are mutually entangled (</w:t>
      </w:r>
      <w:r>
        <w:rPr>
          <w:b w:val="0"/>
          <w:i w:val="0"/>
          <w:color w:val="1F4E79"/>
        </w:rPr>
        <w:t>Results</w:t>
      </w:r>
      <w:r>
        <w:rPr>
          <w:b w:val="0"/>
          <w:i w:val="0"/>
          <w:color w:val="1F4E79"/>
        </w:rPr>
        <w:t xml:space="preserve">), no single sequential decomposition is reported: each model is fitted in both orderings and the interval between them is given, the ordering that serves category first bounding it from above and the ordering that serves it last from below. Permutations are constrained within station blocks where the question concerns a within-station contrast. Dispersion is tested separately </w:t>
      </w:r>
      <w:r>
        <w:rPr>
          <w:b w:val="0"/>
          <w:i w:val="0"/>
          <w:color w:val="1F4E79"/>
        </w:rPr>
        <w:t>with PERMDISP [46],</w:t>
      </w:r>
      <w:r>
        <w:rPr>
          <w:b w:val="0"/>
          <w:i w:val="0"/>
          <w:color w:val="1F4E79"/>
        </w:rPr>
        <w:t xml:space="preserve"> since the transgressive hypothesis concerns the variability of hybrid microbiota and not only the position of its centroid, and since PERMANOVA is itself sensitive to heterogeneous dispersion. </w:t>
      </w:r>
      <w:r>
        <w:rPr>
          <w:b w:val="0"/>
          <w:i w:val="0"/>
          <w:color w:val="1F4E79"/>
        </w:rPr>
        <w:t>Every claim is reported per metric and per tissue. Four dissimilarities are carried throughout — Bray–Curtis, Jaccard, unweighted and weighted UniFrac — together with four alpha indices: observed richness, Shannon, inverse Simpson and Faith's phylogenetic diversity. Because resequencing one library recovers only 48 % of the ASVs present at 1–3 reads (</w:t>
      </w:r>
      <w:r>
        <w:rPr>
          <w:b w:val="0"/>
          <w:i w:val="0"/>
          <w:color w:val="1F4E79"/>
        </w:rPr>
        <w:t>Results</w:t>
      </w:r>
      <w:r>
        <w:rPr>
          <w:b w:val="0"/>
          <w:i w:val="0"/>
          <w:color w:val="1F4E79"/>
        </w:rPr>
        <w:t>), presence-based metrics are not treated as sufficient on their own: a result is stated as established only where at least one abundance-weighted and one presence-based metric support it, and is otherwise reported as metric-dependent with the supporting metrics named. Figures quoted in running text use Shannon for alpha diversity and Bray–Curtis for composition, both abundance-weighted, with the remaining metrics reported alongside rather than relegated. Weighting is not the operative axis for composition: Bray–Curtis, though abundance-weighted, patterns with the two presence-based dissimilarities on both category and dispersion, whereas weighted UniFrac stands apart, so the rule is applied metric by metric rather than by weighting class. The choice of a differential-abundance method remains to be fixed.</w:t>
      </w:r>
      <w:r>
        <w:rPr>
          <w:color w:val="1F4E79"/>
        </w:rPr>
        <w:t xml:space="preserve"> PERMANOVA (adonis2) and PERMDISP (betadisper) were run with vegan 2.7-5 [47].</w:t>
      </w:r>
      <w:r>
        <w:rPr>
          <w:color w:val="1F4E79"/>
        </w:rPr>
        <w:t xml:space="preserve"> Distances to group medians in PERMDISP were corrected for small-sample bias (bias.adjust = TRUE [48]), hybrids being the smallest category in every stratum.</w:t>
      </w:r>
    </w:p>
    <w:p>
      <w:pPr>
        <w:pStyle w:val="Heading2"/>
      </w:pPr>
      <w:r>
        <w:rPr>
          <w:i w:val="0"/>
          <w:color w:val="1F4E79"/>
        </w:rPr>
        <w:t>8.8 Technical replication structure</w:t>
      </w:r>
    </w:p>
    <w:p>
      <w:pPr/>
      <w:r>
        <w:rPr>
          <w:color w:val="1F4E79"/>
        </w:rPr>
        <w:t>Technical replication was assessed in two ways. Each pair of runs was compared within sample after rarefaction to a common depth, on the 548 samples reaching 3,000 reads in all three runs, so that detection probability is identical by construction; Bray–Curtis and Jaccard dissimilarities and the recapture of rare ASVs (1–3 reads) were contrasted between the pair of runs sharing a library and the two library-crossing pairs with paired Wilcoxon tests. The variance attributable to library preparation and to sequencing run was then estimated by PERMANOVA on Bray–Curtis distances over the 1,784 rarefied samples, with the technical terms entered first so that they absorb the maximum variance a sequential decomposition can assign them, followed by tissue and fish identity.</w:t>
      </w:r>
    </w:p>
    <w:p>
      <w:pPr>
        <w:pStyle w:val="Heading2"/>
      </w:pPr>
      <w:r>
        <w:rPr>
          <w:i w:val="0"/>
          <w:color w:val="1F4E79"/>
        </w:rPr>
        <w:t>8.9 Plate position</w:t>
      </w:r>
      <w:r>
        <w:rPr>
          <w:i w:val="0"/>
        </w:rPr>
      </w:r>
    </w:p>
    <w:p>
      <w:pPr/>
      <w:r/>
      <w:r>
        <w:rPr>
          <w:b w:val="0"/>
          <w:i w:val="0"/>
        </w:rPr>
      </w:r>
      <w:r>
        <w:rPr>
          <w:b w:val="0"/>
          <w:i w:val="0"/>
          <w:color w:val="1F4E79"/>
        </w:rPr>
        <w:t xml:space="preserve">Individuals were numbered in the field in sampling order, which is not random with respect to genotype: the more fragile nases were processed first, except at one station (Saint-Just-d'Ardèche), </w:t>
      </w:r>
      <w:r>
        <w:rPr>
          <w:b w:val="0"/>
          <w:i w:val="0"/>
          <w:color w:val="1F4E79"/>
        </w:rPr>
        <w:t>and plates were loaded in processing order within every fishing campaign (Spearman ρ between individual number and plate column within campaigns, 0.55–0.95)</w:t>
      </w:r>
      <w:r>
        <w:rPr>
          <w:b w:val="0"/>
          <w:i w:val="0"/>
          <w:color w:val="1F4E79"/>
        </w:rPr>
        <w:t>. Genotypic category and plate column are accordingly strongly associated (Cramér's V = 0.53 in pass 1 and 0.48 in pass 2, computed on individuals).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pStyle w:val="Heading2"/>
      </w:pPr>
      <w:r>
        <w:rPr>
          <w:color w:val="1F4E79"/>
        </w:rPr>
        <w:t>8.10 Alpha diversity</w:t>
      </w:r>
    </w:p>
    <w:p>
      <w:pPr/>
      <w:r>
        <w:rPr>
          <w:color w:val="1F4E79"/>
        </w:rPr>
        <w:t xml:space="preserve">Alpha diversity was summarised per individual and tissue as the mean over the three runs of the rarefied indices (observed richness, Shannon, inverse Simpson and Faith's phylogenetic diversity), analysed on the log scale, every analysis being run on the four indices. First, the contrasts between external (caudal fin, gill) and internal (midgut, hindgut) compartments, and between midgut and hindgut, were tested within individual by a paired t-test on log values, with the Wilcoxon signed-rank test reported alongside, and expressed as ratios of geometric means with 95 % confidence intervals. Second, the variance of log alpha diversity over the 1,784 rarefied samples was partitioned by a linear model with tissue, site-year, individual, library preparation and sequencing run; sequential and marginal shares of the sum of squares are reported, nested terms having no marginal share of their own. Third, the effect of genotypic category was tested per tissue and pass by ordinary least squares, log(index) ~ station + category, with an F test of the category term and the contrasts hybrid − </w:t>
      </w:r>
      <w:r>
        <w:rPr>
          <w:i/>
          <w:color w:val="1F4E79"/>
        </w:rPr>
        <w:t>C. nasus</w:t>
      </w:r>
      <w:r>
        <w:rPr>
          <w:color w:val="1F4E79"/>
        </w:rPr>
        <w:t xml:space="preserve">, hybrid − </w:t>
      </w:r>
      <w:r>
        <w:rPr>
          <w:i/>
          <w:color w:val="1F4E79"/>
        </w:rPr>
        <w:t>P. toxostoma</w:t>
      </w:r>
      <w:r>
        <w:rPr>
          <w:color w:val="1F4E79"/>
        </w:rPr>
        <w:t xml:space="preserve"> and hybrid − parental midpoint with 95 % confidence intervals; plate position was added as a covariate in a sensitivity model. Hybrids were classified as intermediate when their estimate lay between the two parental estimates and did not differ from their midpoint; as dominant when their interval included one parent and excluded the other; and as transgressive when their estimate lay beyond the parental range with an interval excluding the nearer parent. When no criterion or more than one was met, the class is reported as undetermined. This rule, and the three tests of §8.12, were declared before computation.</w:t>
      </w:r>
    </w:p>
    <w:p>
      <w:pPr>
        <w:pStyle w:val="Heading2"/>
      </w:pPr>
      <w:r>
        <w:rPr>
          <w:color w:val="1F4E79"/>
        </w:rPr>
        <w:t>8.11 Four-dimensional (4H) index</w:t>
      </w:r>
    </w:p>
    <w:p>
      <w:pPr/>
      <w:r>
        <w:rPr>
          <w:color w:val="1F4E79"/>
        </w:rPr>
        <w:t xml:space="preserve">The 4H index [14] was computed with the R package HybridMicrobiomes 0.1.1 [49] and phyloseq [50], on three host classes — </w:t>
      </w:r>
      <w:r>
        <w:rPr>
          <w:i/>
          <w:color w:val="1F4E79"/>
        </w:rPr>
        <w:t>C. nasus</w:t>
      </w:r>
      <w:r>
        <w:rPr>
          <w:color w:val="1F4E79"/>
        </w:rPr>
        <w:t xml:space="preserve">, hybrids and </w:t>
      </w:r>
      <w:r>
        <w:rPr>
          <w:i/>
          <w:color w:val="1F4E79"/>
        </w:rPr>
        <w:t>P. toxostoma</w:t>
      </w:r>
      <w:r>
        <w:rPr>
          <w:color w:val="1F4E79"/>
        </w:rPr>
        <w:t xml:space="preserve"> — in each pass, tissue and sequencing run separately. Its parameters and reading rules were fixed in a document committed before any index was computed: core fraction ρ = 0.5 at genus rank, with sensitivity at ρ = 0.3 and 0.7 and at family rank, and no abundance threshold (ϑ = ε = 0); ρ ≥ 0.8 was excluded because the Intersection dimension vanishes there on the published natural hybrid system. ASV counts were aggregated to genus; 48.6 % of ASVs, carrying 64.1 % of reads, were assigned to a genus (family: 77.9 % and 90.6 %), and unassigned ASVs were excluded. Because the package rarefies the aggregated table, samples were required to carry at least 1,000 genus-assigned reads (1,749 of the 1,784 rarefied samples) and were rarefied to that depth at each of 500 bootstraps; on the published natural hybrid system the parental axis varies by at most 0.067 between 1,000 and 10,000 reads [14]. Each bootstrap drew without replacement the same number of hosts N from each class, N being one less than the smallest class of pass 1 in the stratum (9 in the caudal fin, 10–19 elsewhere), and the same N was applied to pass 2 so that the two passes are compared on equal footing; pass 2 was also computed at its own N. An abundance-based version of the index (inspired by Bray–Curtis), the pre-analysis of core fractions, the null plane and a null hybrid model averaging one randomly drawn individual of each parental species were computed with the same settings. The index is reported along its parental (Union + Intersection) and transgressive (Gain + Loss) axes. An axis was called dominant when it exceeded 0.5 in all three runs, and robust when the same axis dominated at ρ = 0.3, at ρ = 0.7, at family rank and in the abundance-based version; two compartments were called different when the 95 % bootstrap intervals of the transgressive axis were disjoint in all three runs. The PERMANOVA comparison of bootstrap sets offered by the package was not used, because its p-value decreases with the arbitrarily chosen number of bootstraps. Preferential retention of the taxa shared by both parents was inferred when more than 95 % of bootstraps lay on the Intersection side of the null plane in all three runs. Following the framework's own statement of scope, the index is read as a pattern of taxon membership, not as evidence of an assembly process.</w:t>
      </w:r>
    </w:p>
    <w:p>
      <w:pPr>
        <w:pStyle w:val="Heading2"/>
      </w:pPr>
      <w:r>
        <w:rPr>
          <w:color w:val="1F4E79"/>
        </w:rPr>
        <w:t>8.12 Pre-declared controls</w:t>
      </w:r>
    </w:p>
    <w:p>
      <w:pPr/>
      <w:r>
        <w:rPr>
          <w:color w:val="1F4E79"/>
        </w:rPr>
        <w:t xml:space="preserve">Four further controls were declared, with their reading rules, in a document committed before computation, and their verdicts were applied by script. (i) Whether the attenuation of the caudal-fin signal at 500 reads reflects depth or the sample set: the 500-read matrices were restricted to the samples retained at 3,000 reads. (ii) Whether near-parental hybrids dilute the caudal-fin contrast: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were relabelled as hybrids in pass 1 (20 draws), and near-parental hybrids of </w:t>
      </w:r>
      <w:r>
        <w:rPr>
          <w:i/>
          <w:color w:val="1F4E79"/>
        </w:rPr>
        <w:t>P. toxostoma</w:t>
      </w:r>
      <w:r>
        <w:rPr>
          <w:color w:val="1F4E79"/>
        </w:rPr>
        <w:t xml:space="preserve"> background were compared directly with pure </w:t>
      </w:r>
      <w:r>
        <w:rPr>
          <w:i/>
          <w:color w:val="1F4E79"/>
        </w:rPr>
        <w:t>P. toxostoma</w:t>
      </w:r>
      <w:r>
        <w:rPr>
          <w:color w:val="1F4E79"/>
        </w:rPr>
        <w:t xml:space="preserve"> and with intermediate hybrids. (iii) The classification of hybrid alpha diversity described in §8.10. (iv) Whether plate column and processing order can be separated, by the Spearman correlation between individual number and plate column within each fishing campaign.</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r>
        <w:rPr>
          <w:b w:val="0"/>
          <w:i w:val="0"/>
          <w:color w:val="1F4E79"/>
        </w:rPr>
        <w:t xml:space="preserve"> The code is publicly available at https://github.com/martinjfsupagro/microbiome-hybrid.</w:t>
      </w:r>
    </w:p>
    <w:p>
      <w:r>
        <w:rPr>
          <w:i w:val="0"/>
        </w:rPr>
        <w:t xml:space="preserve">Raw sequence data have been deposited in the European Nucleotide Archive (ENA) at EMBL-EBI under accession number PRJEB124417. The submission comprises 768 samples and 2,304 sequencing runs (4,608 FASTQ files, 11.7 GB). Each sample was processed through two independent one-step dual-index PCR library preparations: the first library was sequenced once (run label durance1) and the second was sequenced twice on separate flow cells (durance2, durance3). Runs are named accordingly, so that the nested replication structure described in </w:t>
      </w:r>
      <w:r>
        <w:rPr>
          <w:i w:val="0"/>
          <w:color w:val="1F4E79"/>
        </w:rPr>
        <w:t>§8.8</w:t>
      </w:r>
      <w:r>
        <w:rPr>
          <w:i w:val="0"/>
        </w:rPr>
        <w:t xml:space="preserve"> — sequencing replication nested within library preparation — can be recovered directly from the run titles. Sample metadata follow the GSC MIxS host-associated checklist (ERC000013) and report collection year, sampling-site coordinates, host species and sampled tissue. Extraction blanks, no-template PCR controls and mock community aliquots are included in the submission and are identified as such in the sample titles; the 25 empty wells used to quantify index hopping (§8.2) are likewise deposited. Per-run accessions, file names and MD5 checksums for all 4,608 files are given in Supplementary Table S</w:t>
      </w:r>
      <w:r>
        <w:rPr>
          <w:i w:val="0"/>
          <w:color w:val="1F4E79"/>
        </w:rPr>
        <w:t>7</w:t>
      </w:r>
      <w:r>
        <w:rPr>
          <w:i w:val="0"/>
        </w:rPr>
        <w:t>.</w:t>
      </w:r>
    </w:p>
    <w:p>
      <w:r>
        <w:rPr>
          <w:i w:val="0"/>
        </w:rPr>
      </w:r>
      <w:r>
        <w:rPr>
          <w:b w:val="0"/>
          <w:i w:val="0"/>
          <w:color w:val="1F4E79"/>
        </w:rPr>
        <w:t>ENA metadata were corrected on 2026-08-31 (field-record coordinates, exact collection dates and genotype-resolved host identities); PRJEB124417 is up to date. The correction covered 3,472 fields across the 727 biological samples and was verified field by field; the 41 controls, the sample accessions, the aliases and the sequence files were unchanged. A second correction, on 2026-09-25, aligned host identity on the 25-chromosome genotyping: sample title, host scientific name and host common name were updated for 568 samples (1,199 fields), hybrids being recorded as nasus x toxostoma. It was then verified against the archive itself: 727 samples queried, 1,199 fields conforming, none discrepant. Neither correction altered a sample accession, an alias or a sequence file.</w:t>
      </w:r>
    </w:p>
    <w:p>
      <w:pPr/>
      <w:r>
        <w:rPr>
          <w:i w:val="0"/>
        </w:rPr>
        <w:t>Metadata completeness. Sampling-site coordinates and environmental context terms were obtained from the field records and are reported per site in Supplementary Table S</w:t>
      </w:r>
      <w:r>
        <w:rPr>
          <w:i w:val="0"/>
        </w:rPr>
        <w:t>1</w:t>
      </w:r>
      <w:r>
        <w:rPr>
          <w:i w:val="0"/>
        </w:rPr>
        <w:t>. Collection dates are given at day resolution for every station except Pertuis, where the two 2014 fishing campaigns are deposited as the interval 2014-07-07/2014-08-20.</w:t>
      </w:r>
    </w:p>
    <w:p>
      <w:pPr/>
      <w:r>
        <w:rPr>
          <w:i/>
          <w:color w:val="888888"/>
          <w:sz w:val="18"/>
        </w:rPr>
        <w:t>[Pertuis : les individus sont désormais assignés à leur campagne (série 1011-1014 au 07/07/2014, série 2011-2015 au 20/08/2014 — André, 2026-09-30). La table de correction ena_deposit/ena_corrections_pertuis_dates.tsv est prête (44 échantillons) mais n'est pas encore soumise ; remplacer l'intervalle par les deux dates ici une fois le MODIFY passé.]</w:t>
      </w:r>
    </w:p>
    <w:p>
      <w:pPr/>
      <w:r>
        <w:rPr>
          <w:i/>
          <w:color w:val="888888"/>
          <w:sz w:val="18"/>
        </w:rPr>
        <w:t>[À COMPLÉTER : DOI Zenodo de la version utilisée pour l'article, le cas échéant (question 2.7, non tranché). Dépôt GitHub public (JF, 2026-10-03) ; vérifier que le miroir public est à jour au moment de la soumission — le 2026-10-03 il s'arrêtait au commit du 2026-09-25.]</w:t>
      </w:r>
    </w:p>
    <w:p>
      <w:pPr>
        <w:pStyle w:val="Title"/>
      </w:pPr>
      <w:r>
        <w:rPr>
          <w:color w:val="1F4E79"/>
        </w:rPr>
        <w:t>Results</w:t>
      </w:r>
    </w:p>
    <w:p>
      <w:pPr>
        <w:pStyle w:val="Heading1"/>
      </w:pPr>
      <w:r>
        <w:rPr>
          <w:color w:val="1F4E79"/>
        </w:rPr>
        <w:t>Genotypic design and its entanglement with station</w:t>
      </w:r>
    </w:p>
    <w:p>
      <w:pPr/>
      <w:r>
        <w:rPr>
          <w:color w:val="1F4E79"/>
        </w:rPr>
        <w:t xml:space="preserve">The 180 fish comprised 59 </w:t>
      </w:r>
      <w:r>
        <w:rPr>
          <w:i/>
          <w:color w:val="1F4E79"/>
        </w:rPr>
        <w:t>C. nasus</w:t>
      </w:r>
      <w:r>
        <w:rPr>
          <w:color w:val="1F4E79"/>
        </w:rPr>
        <w:t xml:space="preserve">, 42 hybrids and 79 </w:t>
      </w:r>
      <w:r>
        <w:rPr>
          <w:i/>
          <w:color w:val="1F4E79"/>
        </w:rPr>
        <w:t>P. toxostoma</w:t>
      </w:r>
      <w:r>
        <w:rPr>
          <w:color w:val="1F4E79"/>
        </w:rPr>
        <w:t xml:space="preserve">, unevenly distributed across the nine stations (Fig. 1a). Near-parental hybrids carry a median hybrid index close to that of one parent but an inter-chromosome discordance D of 0.15–0.60, against at most 0.12 in parental individuals (Fig. 1b); categories were assigned from chromosome-level assignments rather than by thresholding either quantity (§1). Of the 22 near-parental hybrids, 19 have a </w:t>
      </w:r>
      <w:r>
        <w:rPr>
          <w:i/>
          <w:color w:val="1F4E79"/>
        </w:rPr>
        <w:t>P. toxostoma</w:t>
      </w:r>
      <w:r>
        <w:rPr>
          <w:color w:val="1F4E79"/>
        </w:rPr>
        <w:t xml:space="preserve"> background and 3 a </w:t>
      </w:r>
      <w:r>
        <w:rPr>
          <w:i/>
          <w:color w:val="1F4E79"/>
        </w:rPr>
        <w:t>C. nasus</w:t>
      </w:r>
      <w:r>
        <w:rPr>
          <w:color w:val="1F4E79"/>
        </w:rPr>
        <w:t xml:space="preserve"> background.</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in pass 2, 65 in pass 1, where Saint-Just-d'Ardèche retains a single hybrid), the others one or two. Within those three stations, category and plate column are in turn strongly associated, because field numbering followed sampling order (</w:t>
      </w:r>
      <w:r>
        <w:rPr>
          <w:b w:val="0"/>
          <w:i w:val="0"/>
          <w:color w:val="1F4E79"/>
        </w:rPr>
        <w:t>§8.9</w:t>
      </w:r>
      <w:r>
        <w:rPr>
          <w:b w:val="0"/>
          <w:i w:val="0"/>
          <w:color w:val="1F4E79"/>
        </w:rPr>
        <w:t>). The sub-design in which category and position are fully separable at constant station comprises 31 individuals in pass 1 and 32 in pass 2, too few to carry a principal test. One station, Rosières, carries category and position independently (Cramér's V = 0.18, p = 0.35, in pass 2) and serves as a small clean witness; in pass 1 it retains a single hybrid and cannot witness a category effect.</w:t>
      </w:r>
    </w:p>
    <w:p>
      <w:pPr>
        <w:pStyle w:val="Heading1"/>
      </w:pPr>
      <w:r>
        <w:rPr>
          <w:color w:val="1F4E79"/>
        </w:rPr>
        <w:t>Technical variation is small relative to biological variation</w:t>
      </w:r>
    </w:p>
    <w:p>
      <w:pPr/>
      <w:r>
        <w:t>The nested replication structure was verified directly from the data. Each pair of runs was compared within sample after rarefaction to a common depth, so that detection probability is identical by construction (548 samples reaching 3,000 reads in all three runs). The two runs sharing a library were markedly more similar to each other (mean Bray–Curtis 0.118, Jaccard 0.445) than either was to the run from the independent library (0.248 and 0.720 respectively); the two library-crossing comparisons were statistically indistinguishable from each other (paired Wilcoxon, p = 0.48) and both differed from the within-library comparison (p &lt; 10⁻⁸⁹). Recapture of rare ASVs (1–3 reads) showed the same pattern (0.48 within library vs 0.19 across).</w:t>
      </w:r>
    </w:p>
    <w:p>
      <w:pPr/>
      <w:r>
        <w:t>Library preparation therefore roughly doubles the technical dissimilarity contributed by sequencing alone, with a proportionally larger effect on presence–absence than on relative abundances. Sequencing run was accordingly modelled as nested within library preparation rather than as a three-level factor with interchangeable levels. Because each sample is present in every batch, technical and biological factors are crossed rather than confounded, so batch-correction methods designed for confounded meta-analyses were not applied.</w:t>
      </w:r>
      <w:r>
        <w:t xml:space="preserve"> Index assignment across preparations and the verification of sample-to-file matching are detailed in Supplementary Table S</w:t>
      </w:r>
      <w:r>
        <w:rPr>
          <w:color w:val="1F4E79"/>
        </w:rPr>
        <w:t>3</w:t>
      </w:r>
      <w:r>
        <w:t xml:space="preserve"> and Note S1.</w:t>
      </w:r>
    </w:p>
    <w:p>
      <w:pPr/>
      <w:r>
        <w:rPr>
          <w:i w:val="0"/>
        </w:rPr>
        <w:t>Relative to the biological signal, this technical variation is negligible. In a PERMANOVA on Bray–Curtis distances over the 1,784 samples retained after rarefaction, with the technical terms entered first so that they absorb the maximum variance the sequential decomposition can assign them, library preparation explained 0.03 % of the variance (R² = 0.0003, p = 0.63) and sequencing run within library 0.005 % (p = 1.00), against 9.2 % for tissue and 37.7 % for fish identity (both p = 0.002). Mean Bray–Curtis dissimilarity was 0.13 between two sequencing runs of one library and 0.25 across libraries, against 0.88 between different fish of the same tissue and 0.94 across tissues. Note that library preparation cannot be tested marginally, being perfectly aliased with run label (durance1 is the sole run of the first preparation).</w:t>
      </w:r>
    </w:p>
    <w:p>
      <w:pPr>
        <w:pStyle w:val="Heading1"/>
      </w:pPr>
      <w:r>
        <w:rPr>
          <w:color w:val="1F4E79"/>
        </w:rPr>
        <w:t>Plate position</w:t>
      </w:r>
    </w:p>
    <w:p>
      <w:pPr/>
      <w:r>
        <w:rPr>
          <w:color w:val="1F4E79"/>
        </w:rPr>
        <w:t xml:space="preserve">Plate column affected composition. </w:t>
      </w:r>
      <w:r/>
      <w:r>
        <w:rPr>
          <w:b w:val="0"/>
          <w:i w:val="0"/>
        </w:rPr>
      </w:r>
      <w:r>
        <w:rPr>
          <w:b w:val="0"/>
          <w:i w:val="0"/>
          <w:color w:val="1F4E79"/>
        </w:rPr>
      </w:r>
      <w:r>
        <w:rPr>
          <w:b w:val="0"/>
          <w:i w:val="0"/>
          <w:color w:val="1F4E79"/>
        </w:rPr>
        <w:t>The effect is present in all 24 strata (12 tissue × run strata × 2 metrics) in both passes (p ≤ 0.033 in pass 1, p ≤ 0.007 in pass 2), replicated across the three runs; it does not depend on category labels, and the two passes differ only by the 22 individuals excluded from pass 1. Because the terms differ in degrees of freedom, effect sizes are reported relative to their expectation under the null, R2/(df/(n−1)): plate column reaches 1.84 in pass 1 and 1.95 in pass 2 (median R2 = 0.152 and 0.141, 11 df), the same order as genotypic category fitted after column (1.61 and 1.77; median R2 = 0.026 and 0.024, 2 df; significant in 19 and 18 of 24 strata) and below station (3.32 and 3.69; median R2 = 0.204 and 0.196, 8 df). Supplementary Table S</w:t>
      </w:r>
      <w:r>
        <w:rPr>
          <w:b w:val="0"/>
          <w:i w:val="0"/>
          <w:color w:val="1F4E79"/>
        </w:rPr>
        <w:t>8</w:t>
      </w:r>
      <w:r>
        <w:rPr>
          <w:b w:val="0"/>
          <w:i w:val="0"/>
          <w:color w:val="1F4E79"/>
        </w:rPr>
        <w:t xml:space="preserve"> and Figure S2.</w:t>
      </w:r>
      <w:r>
        <w:rPr>
          <w:color w:val="1F4E79"/>
        </w:rPr>
      </w:r>
    </w:p>
    <w:p>
      <w:pPr/>
      <w:r/>
      <w:r>
        <w:rPr>
          <w:b w:val="0"/>
          <w:i w:val="0"/>
        </w:rPr>
      </w:r>
      <w:r>
        <w:rPr>
          <w:b w:val="0"/>
          <w:i w:val="0"/>
          <w:color w:val="1F4E79"/>
        </w:rPr>
      </w:r>
      <w:r>
        <w:rPr>
          <w:b w:val="0"/>
          <w:i w:val="0"/>
          <w:color w:val="1F4E79"/>
        </w:rPr>
      </w:r>
      <w:r>
        <w:rPr>
          <w:b w:val="0"/>
          <w:i w:val="0"/>
          <w:color w:val="1F4E79"/>
        </w:rPr>
        <w:t>Three witnesses separate this effect from the biology it could be mistaken for. Within a single genotypic category, where a column effect cannot be a category effect, it persists but more weakly: among P. toxostoma alone in 17 of 24 strata in both passes (ratio 1.65), among C. nasus alone in 6 (pass 1) and 7 (pass 2) of 24 (ratio 1.63); hybrids alone are too few to be tested (two strata in pass 2, none in pass 1). No site code carries a single genotypic category, and the only single-category station (Chavannes-sur-Suran, 19 P. toxostoma) is too small for a separate witness; the within-category subsets therefore replace the single-category-station witness of an earlier analysis, which rested on fish left unresolved by morphology. In the symmetric ordering with category fitted first, column still contributes (21 and 22 of 24 strata). And the classic plate artefacts are absent: plate row is significant in 7 and 6 of 24 strata and plate edge in none, making the effect specific to column, as expected of an effect tracking processing order rather than evaporation or thermal gradients. The origin of the association between category and column is documented above, but the mechanism of the column effect itself is not identified: extraction order, reagent-batch drift within a plate, cross-contamination between adjacent wells and the delay between capture and dissection are not separated by these data, and no negative control isolates any of them. Plate column is therefore not entered in the principal models (</w:t>
      </w:r>
      <w:r>
        <w:rPr>
          <w:b w:val="0"/>
          <w:i w:val="0"/>
          <w:color w:val="1F4E79"/>
        </w:rPr>
        <w:t>§8.7</w:t>
      </w:r>
      <w:r>
        <w:rPr>
          <w:b w:val="0"/>
          <w:i w:val="0"/>
          <w:color w:val="1F4E79"/>
        </w:rPr>
        <w:t xml:space="preserve">), but every model testing category is also reported with plate column as a covariate, and the two versions are </w:t>
      </w:r>
      <w:r>
        <w:rPr>
          <w:b w:val="0"/>
          <w:i w:val="0"/>
          <w:color w:val="1F4E79"/>
        </w:rPr>
        <w:t>compared below</w:t>
      </w:r>
      <w:r>
        <w:rPr>
          <w:b w:val="0"/>
          <w:i w:val="0"/>
          <w:color w:val="1F4E79"/>
        </w:rPr>
        <w:t>.</w:t>
      </w:r>
    </w:p>
    <w:p>
      <w:pPr/>
      <w:r>
        <w:rPr>
          <w:color w:val="1F4E79"/>
        </w:rPr>
        <w:t>Within every fishing campaign, plate column followed the order in which fish were processed (Spearman ρ between individual number and plate column, 0.55–0.95 over 12 station-year campaigns; §8.9 and §8.12), so that in this design the column effect cannot be separated from processing order, and therefore from the time each fish spent in the holding tank before dissection.</w:t>
      </w:r>
      <w:r>
        <w:rPr>
          <w:i/>
          <w:color w:val="888888"/>
          <w:sz w:val="18"/>
        </w:rPr>
        <w:t xml:space="preserve"> [ρ recalculé par scripts/40-verif_article_v2.py (results/verif_article/spearman_toutes_campagnes.tsv) : 0,548–0,950. Les deux campagnes de Pertuis 2014 sont agrégées ; Pont-d'Ain 2014 (moins de 4 poissons) n'est pas calculable.]</w:t>
      </w:r>
    </w:p>
    <w:p>
      <w:pPr/>
      <w:r>
        <w:rPr>
          <w:i/>
          <w:color w:val="888888"/>
          <w:sz w:val="18"/>
        </w:rPr>
        <w:t>[À reformuler après l'arbitrage D2 de JF : « the delay between capture and dissection » ne correspond plus au protocole. Les poissons sont gardés vivants en vivier jusqu'à la dissection, 4–6 min par poisson (André, 2026-10-03) ; le confondant est la durée de séjour en vivier, c'est-à-dire l'ordre de traitement. Dans chaque campagne, la colonne suit cet ordre, et le test du 2026-10-03 ne peut pas séparer les deux (RESULTATS R32, docs/recalcul/note_tests_2026-10-03.md).]</w:t>
      </w:r>
    </w:p>
    <w:p>
      <w:pPr>
        <w:pStyle w:val="Heading1"/>
      </w:pPr>
      <w:r>
        <w:rPr>
          <w:color w:val="1F4E79"/>
        </w:rPr>
        <w:t>Alpha diversity</w:t>
      </w:r>
    </w:p>
    <w:p>
      <w:pPr/>
      <w:r>
        <w:rPr>
          <w:color w:val="1F4E79"/>
        </w:rPr>
        <w:t>Alpha diversity was higher in the external than in the internal compartments on all four indices (Fig. 2): the ratio of geometric means was 1.51 for Shannon (95 % confidence interval 1.40–1.64), 3.00 for inverse Simpson (2.48–3.63), 1.93 for observed richness (1.71–2.18) and 1.62 for Faith's phylogenetic diversity (1.50–1.76; n = 174 individuals; Wilcoxon p ≤ 4.6 × 10⁻¹⁷). The midgut was less diverse than the hindgut on the two unweighted indices only — observed richness, ratio 0.83 (p = 0.009), and Faith's phylogenetic diversity, 0.87 (p = 0.003) — and not on Shannon (0.94, p = 0.18) or inverse Simpson (0.87, p = 0.25; n = 136), so that this contrast is metric-dependent under the rule of §8.7. Tissue was the largest identifiable source of variance in log alpha diversity (marginal share 19–26 % depending on the index), followed by individual (17–21 %) and site-year (10–14 %, sequential share), with technical terms contributing at most 0.3 % and a residual of 38–45 %; the order of the factors was the same on the four indices.</w:t>
      </w:r>
    </w:p>
    <w:p>
      <w:pPr/>
      <w:r>
        <w:rPr>
          <w:color w:val="1F4E79"/>
        </w:rPr>
        <w:t xml:space="preserve">Hybrids were transgressive in none of the 32 combinations of pass, tissue and index (Fig. 2). The only classification supported by both an abundance-weighted and a presence-based index was dominance of </w:t>
      </w:r>
      <w:r>
        <w:rPr>
          <w:i/>
          <w:color w:val="1F4E79"/>
        </w:rPr>
        <w:t>C. nasus</w:t>
      </w:r>
      <w:r>
        <w:rPr>
          <w:color w:val="1F4E79"/>
        </w:rPr>
        <w:t xml:space="preserve"> — hybrids not distinguishable from </w:t>
      </w:r>
      <w:r>
        <w:rPr>
          <w:i/>
          <w:color w:val="1F4E79"/>
        </w:rPr>
        <w:t>C. nasus</w:t>
      </w:r>
      <w:r>
        <w:rPr>
          <w:color w:val="1F4E79"/>
        </w:rPr>
        <w:t xml:space="preserve"> but distinct from </w:t>
      </w:r>
      <w:r>
        <w:rPr>
          <w:i/>
          <w:color w:val="1F4E79"/>
        </w:rPr>
        <w:t>P. toxostoma</w:t>
      </w:r>
      <w:r>
        <w:rPr>
          <w:color w:val="1F4E79"/>
        </w:rPr>
        <w:t xml:space="preserve"> — in the caudal fin in pass 1 (four indices of four; p for category 0.012–0.128) and in the midgut in pass 2 (three of four; p = 0.040–0.111). The first was unchanged with plate position as a covariate; the second was not, two indices becoming intermediate and two undetermined. Five of the 32 principal tests reached p &lt; 0.05, without correction for multiplicity, and dominance denotes here the absence of a detectable difference from </w:t>
      </w:r>
      <w:r>
        <w:rPr>
          <w:i/>
          <w:color w:val="1F4E79"/>
        </w:rPr>
        <w:t>C. nasus</w:t>
      </w:r>
      <w:r>
        <w:rPr>
          <w:color w:val="1F4E79"/>
        </w:rPr>
        <w:t>, not an equality.</w:t>
      </w:r>
      <w:r>
        <w:rPr>
          <w:i/>
          <w:color w:val="888888"/>
          <w:sz w:val="18"/>
        </w:rPr>
        <w:t xml:space="preserve"> [Non testé : C. nasus étant en général traité en premier (§1), le classement « dominant Cn » pourrait refléter l'ordre de traitement (RESULTATS R31). Le contraste femelles/mâles (R27) n'est pas rapporté tant que le code de sexe « X » n'est pas confirmé.]</w:t>
      </w:r>
    </w:p>
    <w:p>
      <w:pPr>
        <w:pStyle w:val="Heading1"/>
      </w:pPr>
      <w:r>
        <w:rPr>
          <w:color w:val="1F4E79"/>
        </w:rPr>
        <w:t>Composition by genotypic category</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t xml:space="preserve">A preliminary variance partition was run to size these terms before the ecological analysis, not as a result of it, in both passes and on the four metrics. Fitted in both orderings without plate position, genotypic category accounts for a median of 1.7 % to 2.8 % of compositional variance across the 48 metric × tissue × run strata in pass 1 and 1.4 % to 3.0 % in pass 2, against a median of 19 % and 18 % for station (range across strata 14–36 % in pass 1 and 14–35 % in pass 2). No tissue is detected by all four metrics in all three runs under both permutation schemes, in either pass, with or without plate position, so a global statement that hybrids differ is not supportable: the analysis must say which metric supports which claim, in which tissue, and under which definition of a hybrid. One result is robust to every choice made here — both passes, with and without plate position, all three runs and both permutation schemes: the midgut on Jaccard (p ≤ 0.044). The caudal fin on weighted UniFrac is detected in all three runs and both schemes in pass 1 (p = 0.007–0.024), with or without plate position, and in no run in pass 2 (p = 0.073–0.235). A witness attributes this displacement to the definition of hybrids rather than to sample size: removing 22 randomly chosen individuals from the 158 that are not introgressed, twenty times, never restored the caudal signal in pass 2. At 500 reads the caudal signal is partial in pass 1 (three runs sequentially, p = 0.022–0.049; one of three with station fixed by blocks) and absent in pass 2, </w:t>
      </w:r>
      <w:r>
        <w:rPr>
          <w:i w:val="0"/>
          <w:color w:val="1F4E79"/>
        </w:rPr>
        <w:t>an attenuation that is not an effect of depth: restricted to the samples retained at 3,000 reads, the 500-read matrices give the same result as at 3,000 reads (all three runs, both station-blocked schemes, p = 0.010–0.026), so the signal is diluted by the caudal-fin samples that pass the threshold only at 500 reads. As at 3,000 reads, none of twenty random removals of 22 non-introgressed individuals from pass 2 reproduced the pass-1 pattern at 500 reads.</w:t>
      </w:r>
      <w:r>
        <w:rPr>
          <w:i w:val="0"/>
        </w:rPr>
        <w:t xml:space="preserve"> The hindgut is the weakest tissue in pass 1 (only Jaccard is significant, in one run of three with station fixed by blocks) but not in pass 2, where with station fixed by blocks all four metrics detect it in all three runs; the witness does not resolve whether this difference reflects sample size or the definition of hybrids. The principal and sensitivity models differ in 7 of the 16 metric × tissue cells in each pass, of which 5 (pass 1) and 3 (pass 2) move between robust detection (three runs, both schemes), partial detection and none. Of the two witnesses that could have discriminated further, the separable sub-design detects category in 3 of 48 tests in pass 1 and 1 of 48 in pass 2 (with plate position), and Rosières, in pass 2, detects it in the gill on Jaccard and unweighted UniFrac in all three runs (p = 0.010–0.030); in pass 1 Rosières is not interpretable. Supplementary Table S</w:t>
      </w:r>
      <w:r>
        <w:rPr>
          <w:i w:val="0"/>
        </w:rPr>
        <w:t>9</w:t>
      </w:r>
      <w:r>
        <w:rPr>
          <w:i w:val="0"/>
        </w:rPr>
        <w:t>.</w:t>
      </w:r>
    </w:p>
    <w:p>
      <w:pPr/>
      <w:r>
        <w:rPr>
          <w:color w:val="1F4E79"/>
        </w:rPr>
        <w:t>Figure 3 summarises these detections in the principal model with permutations constrained within station blocks (Fig. 3a, b), and the variance shares on which they rest (Fig. 3c). Fitted before category, station accounted for a median of 20.9 % (pass 1) and 20.1 % (pass 2) of compositional variance; category accounted for 2.8 % and 3.0 % when fitted first and 1.7 % and 1.4 % when fitted last. Whether the loss of the caudal-fin signal between passes is produced by dilution of the hybrid–</w:t>
      </w:r>
      <w:r>
        <w:rPr>
          <w:i/>
          <w:color w:val="1F4E79"/>
        </w:rPr>
        <w:t>P. toxostoma</w:t>
      </w:r>
      <w:r>
        <w:rPr>
          <w:color w:val="1F4E79"/>
        </w:rPr>
        <w:t xml:space="preserve"> contrast by the 19 near-parental hybrids of </w:t>
      </w:r>
      <w:r>
        <w:rPr>
          <w:i/>
          <w:color w:val="1F4E79"/>
        </w:rPr>
        <w:t>P. toxostoma</w:t>
      </w:r>
      <w:r>
        <w:rPr>
          <w:color w:val="1F4E79"/>
        </w:rPr>
        <w:t xml:space="preserve"> background was tested (§8.12) and remains undetermined. Relabelling as hybrids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removed the pass-1 signal in 16 of 20 draws, so that such dilution is sufficient to produce the displacement; but the near-parental hybrids of </w:t>
      </w:r>
      <w:r>
        <w:rPr>
          <w:i/>
          <w:color w:val="1F4E79"/>
        </w:rPr>
        <w:t>P. toxostoma</w:t>
      </w:r>
      <w:r>
        <w:rPr>
          <w:color w:val="1F4E79"/>
        </w:rPr>
        <w:t xml:space="preserve"> background differed neither from pure </w:t>
      </w:r>
      <w:r>
        <w:rPr>
          <w:i/>
          <w:color w:val="1F4E79"/>
        </w:rPr>
        <w:t>P. toxostoma</w:t>
      </w:r>
      <w:r>
        <w:rPr>
          <w:color w:val="1F4E79"/>
        </w:rPr>
        <w:t xml:space="preserve"> (p = 0.28–0.60) nor from intermediate hybrids (p = 0.15–0.26; n = 25–26), so that dilution is not established.</w:t>
      </w:r>
      <w:r>
        <w:rPr>
          <w:i/>
          <w:color w:val="888888"/>
          <w:sz w:val="18"/>
        </w:rPr>
        <w:t xml:space="preserve"> [Le paragraphe précédent vient des Methods (ancien §8.9) : « not as a result of it » est à reformuler maintenant qu'il figure en Results. Les médianes de station de ce paragraphe (19 % et 18 %) sont celles de la station servie après la catégorie ; 20,9 % et 20,1 % ci-dessus, station servie en premier.]</w:t>
      </w:r>
    </w:p>
    <w:p>
      <w:pPr>
        <w:pStyle w:val="Heading1"/>
      </w:pPr>
      <w:r>
        <w:rPr>
          <w:color w:val="1F4E79"/>
        </w:rPr>
        <w:t>Dispersion</w:t>
      </w:r>
    </w:p>
    <w:p>
      <w:pPr/>
      <w:r>
        <w:rPr>
          <w:color w:val="1F4E79"/>
        </w:rPr>
        <w:t xml:space="preserve">The transgressive prediction in its dispersion form — hybrids more variable than both parental categories — was not supported in either pass (Fig. 4). With station fixed by blocks, hybrids were the least dispersed of the three categories in 22 of 48 tests in pass 1 and 32 of 48 in pass 2, against the third expected under no ordering (one-sided binomial p = 0.048 and 2.4 × 10⁻⁶), and the most dispersed in 18 and 10 (p = 0.32 and 0.98). Within the stations carrying all three categories, where a dispersion difference cannot be spatial, neither direction departed from chance: hybrids were the least dispersed in 25 of 68 tests in pass 1 and 39 of 120 in pass 2, and the most dispersed in 17 and 45. The lower dispersion of hybrids is therefore a pattern of the station-blocked analysis, clear in pass 2 only and carried mainly by Bray–Curtis (median difference between hybrids and the parental mean −0.068 in pass 2 and −0.008 in pass 1), the other metrics differing by less than 0.013. Significant tests in the transgressive direction numbered 3 in pass 1 (the gill on unweighted UniFrac in two runs and the caudal fin on weighted UniFrac in one) and none in pass 2 with station fixed by blocks, and none and 5 within stations, the five of pass 2 all concerning the gill at Saint-Just-d'Ardèche, where each stratum holds three or four </w:t>
      </w:r>
      <w:r>
        <w:rPr>
          <w:i/>
          <w:color w:val="1F4E79"/>
        </w:rPr>
        <w:t>P. toxostoma</w:t>
      </w:r>
      <w:r>
        <w:rPr>
          <w:color w:val="1F4E79"/>
        </w:rPr>
        <w:t>.</w:t>
      </w:r>
    </w:p>
    <w:p>
      <w:pPr/>
      <w:r>
        <w:rPr>
          <w:color w:val="1F4E79"/>
        </w:rPr>
        <w:t xml:space="preserve">This bears on how the location results are read, because PERMANOVA is sensitive to heterogeneous dispersion. With station fixed by blocks, dispersion in the caudal fin was homogeneous on all four metrics in pass 2 and in all but one test in pass 1 (weighted UniFrac, one run of three, p = 0.048, hybrids most dispersed): the caudal-fin location signal on weighted UniFrac in pass 1 is a difference in composition in two runs and cannot be separated from a dispersion difference in the third. The robust midgut signal on Jaccard was accompanied by homogeneous dispersion in pass 1 and in two runs of three in pass 2. By contrast, dispersion was heterogeneous in all three runs in the midgut on unweighted UniFrac in both passes and, in pass 2, in the midgut and hindgut on Bray–Curtis, </w:t>
      </w:r>
      <w:r>
        <w:rPr>
          <w:i/>
          <w:color w:val="1F4E79"/>
        </w:rPr>
        <w:t>P. toxostoma</w:t>
      </w:r>
      <w:r>
        <w:rPr>
          <w:color w:val="1F4E79"/>
        </w:rPr>
        <w:t xml:space="preserve"> being the most dispersed category there; the location signals detected on those metrics in those compartments cannot be separated from a dispersion effect. One reservation is not resolved: betadisper accepts no covariate, so the plate-position effect (§8.9) is not adjusted for, and a category whose samples are more spread across plate columns could carry inflated dispersion. Supplementary Table S</w:t>
      </w:r>
      <w:r>
        <w:rPr>
          <w:color w:val="1F4E79"/>
        </w:rPr>
        <w:t>10</w:t>
      </w:r>
      <w:r>
        <w:rPr>
          <w:color w:val="1F4E79"/>
        </w:rPr>
        <w:t xml:space="preserve"> and Figure S3.</w:t>
      </w:r>
      <w:r>
        <w:rPr>
          <w:i/>
          <w:color w:val="888888"/>
          <w:sz w:val="18"/>
        </w:rPr>
        <w:t xml:space="preserve"> [Correction du 2026-10-03 : l'ancienne version de ces deux paragraphes, sans correction de petit effectif, donnait 32/48 (passe 1) et 34/48 (passe 2) en station bloquée, 45/68 intra-station en passe 1 et une dispersion hétérogène en caudale ; elle est retirée (docs/plan_permdisp_biais_2026-10-03.md, scripts 24 et 39). Table S</w:t>
      </w:r>
      <w:r>
        <w:rPr>
          <w:i/>
          <w:color w:val="888888"/>
          <w:sz w:val="18"/>
        </w:rPr>
        <w:t>10</w:t>
      </w:r>
      <w:r>
        <w:rPr>
          <w:i/>
          <w:color w:val="888888"/>
          <w:sz w:val="18"/>
        </w:rPr>
        <w:t xml:space="preserve"> et Figure S3 du supplément régénérées avec les valeurs corrigées le 2026-10-05 (scripts/41-supp_S10_S3.py).]</w:t>
      </w:r>
    </w:p>
    <w:p>
      <w:pPr>
        <w:pStyle w:val="Heading1"/>
      </w:pPr>
      <w:r>
        <w:rPr>
          <w:color w:val="1F4E79"/>
        </w:rPr>
        <w:t>Four-dimensional index</w:t>
      </w:r>
    </w:p>
    <w:p>
      <w:pPr/>
      <w:r>
        <w:rPr>
          <w:color w:val="1F4E79"/>
        </w:rPr>
        <w:t>Under the principal setting, the transgressive axis of the 4H index exceeded 0.5 in all three runs in the caudal fin, midgut and hindgut of both passes (Gain + Loss = 0.58–0.69), carried by the Loss model, whereas the parental axis dominated in the gill (Gain + Loss = 0.41–0.46), carried by Intersection (Fig. 5a). None of these transgressive readings was robust under the pre-declared rule (Fig. 5b): the abundance-based version placed all eight tissue × pass combinations on the parental axis, and at family rank the caudal fin also fell on the parental side. The only robust reading was the parental axis of the gill in pass 2; in pass 1 the gill was undetermined at ρ = 0.7. No pair of compartments was distinguished, the 95 % bootstrap intervals of the transgressive axis overlapping in at least one run for every pair, in both passes. In every tissue and both passes at least 98.4 % of bootstraps lay on the Intersection side of the null plane: hybrids preferentially retain the core taxa shared by both parental species. The core of hybrids represented less than half of the mean parental core in the midgut of pass 1 (two runs of three; ratio 0.45–0.64) and 0.51–1.07 of it elsewhere. Compared at equal N, passes 1 and 2 fell on the same axis in every tissue.</w:t>
      </w:r>
    </w:p>
    <w:p>
      <w:pPr/>
      <w:r>
        <w:rPr>
          <w:color w:val="1F4E79"/>
        </w:rPr>
        <w:t>Two observations lie outside the pre-declared rules and are reported as descriptions only. A null hybrid built by averaging one randomly drawn individual of each parental species already reached a transgressive share of 0.40–0.57; the observed share exceeded it by 0.08–0.15 in the caudal fin, 0.09–0.22 in the midgut and 0.03–0.13 in the hindgut, and differed from it by −0.04 to +0.06 in the gill (Fig. 5). Computed at its own, larger N (26–40 hosts per class), pass 2 moved the caudal fin to the parental axis (Gain + Loss = 0.42–0.47), while the midgut and hindgut remained on the transgressive side.</w:t>
      </w:r>
    </w:p>
    <w:p>
      <w:pPr>
        <w:pStyle w:val="Title"/>
      </w:pPr>
      <w:r>
        <w:rPr>
          <w:color w:val="1F4E79"/>
        </w:rPr>
        <w:t>Discussion</w:t>
      </w:r>
    </w:p>
    <w:p>
      <w:pPr/>
      <w:r>
        <w:rPr>
          <w:color w:val="1F4E79"/>
        </w:rPr>
        <w:t xml:space="preserve">Across alpha diversity, community dispersion and the 4H index, the microbiota of hybrids between </w:t>
      </w:r>
      <w:r>
        <w:rPr>
          <w:i/>
          <w:color w:val="1F4E79"/>
        </w:rPr>
        <w:t>C. nasus</w:t>
      </w:r>
      <w:r>
        <w:rPr>
          <w:color w:val="1F4E79"/>
        </w:rPr>
        <w:t xml:space="preserve"> and </w:t>
      </w:r>
      <w:r>
        <w:rPr>
          <w:i/>
          <w:color w:val="1F4E79"/>
        </w:rPr>
        <w:t>P. toxostoma</w:t>
      </w:r>
      <w:r>
        <w:rPr>
          <w:color w:val="1F4E79"/>
        </w:rPr>
        <w:t xml:space="preserve"> showed no transgressive pattern. Hybrids were transgressive in none of 32 alpha-diversity tests, </w:t>
      </w:r>
      <w:r>
        <w:rPr>
          <w:color w:val="1F4E79"/>
        </w:rPr>
        <w:t>were more dispersed than both parents no more often than expected by chance,</w:t>
      </w:r>
      <w:r>
        <w:rPr>
          <w:color w:val="1F4E79"/>
        </w:rPr>
        <w:t xml:space="preserve"> and no transgressive reading of the 4H index survived the robustness rule declared before computation. Where hybrids could be placed relative to their parents, they fell within the parental range: dominance of </w:t>
      </w:r>
      <w:r>
        <w:rPr>
          <w:i/>
          <w:color w:val="1F4E79"/>
        </w:rPr>
        <w:t>C. nasus</w:t>
      </w:r>
      <w:r>
        <w:rPr>
          <w:color w:val="1F4E79"/>
        </w:rPr>
        <w:t xml:space="preserve"> in caudal-fin alpha diversity in pass 1, a parental, Intersection-dominated 4H index in the gill, and preferential retention of the core taxa shared by both parental species in every compartment. The departures detected in composition were small — genotypic category accounted for a median of 1.4–3.0 % of compositional variance against about a fifth for station — and confined to particular compartments, metrics and definitions of a hybrid. This places the system with natural hybrid zones in which the environmental component dominates [23, 24] rather than with those in which host ancestry does [21, 22], while keeping in view that a small genetic effect is the expected magnitude for a heritable but weakly heritable trait [9] and that its detection required separating the spatial and technical axes beforehand, as in stickleback [10].</w:t>
      </w:r>
    </w:p>
    <w:p>
      <w:pPr/>
      <w:r>
        <w:rPr>
          <w:color w:val="1F4E79"/>
        </w:rPr>
        <w:t>The expectation derived from Guivier et al. [31], that a hybrid signal would be most pronounced in the digestive compartments, is partly supported. The only compositional result that withstood every analytical choice concerned the midgut, on a presence-based metric, and in pass 2 both digestive compartments were detected by all four metrics with station fixed by blocks. But the caudal fin carried, in pass 1, a signal on weighted UniFrac that no digestive compartment showed on that metric, the gill was the compartment in which the 4H index was robustly parental, and the 4H index distinguished no pair of compartments. Hybrid status therefore does not matter equally in all compartments, but which compartment carries a difference depends on the metric. The rule adopted here, which states a result as established only when an abundance-weighted and a presence-based metric both support it, makes this dependence explicit rather than resolving it; it also explains why the 4H index, a presence-based construct in its principal form, departed from its abundance-based version in every compartment but the gill.</w:t>
      </w:r>
    </w:p>
    <w:p>
      <w:pPr/>
      <w:r>
        <w:rPr>
          <w:color w:val="1F4E79"/>
        </w:rPr>
        <w:t xml:space="preserve">How hybrids are defined mattered as much as which compartment is examined. The caudal-fin signal obtained with the 20 intermediate hybrids disappeared when the 22 near-parental individuals were added, and twenty random removals of 22 non-introgressed fish never reproduced the displacement, so that it is attributable to who is called a hybrid rather than to sample size. Whether near-parental hybrids of </w:t>
      </w:r>
      <w:r>
        <w:rPr>
          <w:i/>
          <w:color w:val="1F4E79"/>
        </w:rPr>
        <w:t>P. toxostoma</w:t>
      </w:r>
      <w:r>
        <w:rPr>
          <w:color w:val="1F4E79"/>
        </w:rPr>
        <w:t xml:space="preserve"> background dilute the contrast because their microbiota resembles that of </w:t>
      </w:r>
      <w:r>
        <w:rPr>
          <w:i/>
          <w:color w:val="1F4E79"/>
        </w:rPr>
        <w:t>P. toxostoma</w:t>
      </w:r>
      <w:r>
        <w:rPr>
          <w:color w:val="1F4E79"/>
        </w:rPr>
        <w:t xml:space="preserve"> could not be established at the available sample size. In a mosaic hybrid zone [30] in which most introgressed individuals depart from a parental genome on a single chromosome, a hybrid class is a decision; reporting both passes shows how much of any conclusion rests on that decision, and we suggest that studies of natural hybrid zones report it in the same way.</w:t>
      </w:r>
    </w:p>
    <w:p>
      <w:pPr/>
      <w:r>
        <w:rPr>
          <w:color w:val="1F4E79"/>
        </w:rPr>
        <w:t>That hybrids were not more dispersed than their parents runs against the expectation that the microbiota of hybrids is more variable because their genomes combine parental elements in variable proportions. The opposite tendency, hybrids less dispersed than both parents, was clear only in pass 2 with station fixed by blocks, absent within stations and carried mainly by Bray–Curtis, and should not be read as a general property of hybrids here. The dispersion analysis also illustrates a pitfall of unbalanced designs: without correction for group size the distance to the group centre is underestimated in small groups, and because hybrids were the smallest category in every stratum, the uncorrected analysis yielded a strong and apparently replicated reduction of hybrid dispersion — 32 of 48 station-blocked tests in pass 1 and 45 of 68 within stations — that largely disappeared once corrected. Hybrid classes are small in most natural hybrid zones, and the correction should be applied by default in that setting [48].</w:t>
      </w:r>
    </w:p>
    <w:p>
      <w:pPr/>
      <w:r>
        <w:rPr>
          <w:color w:val="1F4E79"/>
        </w:rPr>
        <w:t xml:space="preserve">The 4H index adds two points that the location and dispersion analyses do not. First, in its abundance-based version — </w:t>
      </w:r>
      <w:r>
        <w:rPr>
          <w:color w:val="1F4E79"/>
        </w:rPr>
        <w:t>one of the two forms in which the framework's authors compared published systems [14]</w:t>
      </w:r>
      <w:r>
        <w:rPr>
          <w:color w:val="1F4E79"/>
        </w:rPr>
        <w:t xml:space="preserve"> — the index placed every compartment on the parental axis (Gain + Loss = 0.22–0.35), as in the </w:t>
      </w:r>
      <w:r>
        <w:rPr>
          <w:i/>
          <w:color w:val="1F4E79"/>
        </w:rPr>
        <w:t>Neotoma</w:t>
      </w:r>
      <w:r>
        <w:rPr>
          <w:color w:val="1F4E79"/>
        </w:rPr>
        <w:t xml:space="preserve"> woodrat system (0.12) and unlike the </w:t>
      </w:r>
      <w:r>
        <w:rPr>
          <w:i/>
          <w:color w:val="1F4E79"/>
        </w:rPr>
        <w:t>Aspidoscelis</w:t>
      </w:r>
      <w:r>
        <w:rPr>
          <w:color w:val="1F4E79"/>
        </w:rPr>
        <w:t xml:space="preserve"> lizard and </w:t>
      </w:r>
      <w:r>
        <w:rPr>
          <w:i/>
          <w:color w:val="1F4E79"/>
        </w:rPr>
        <w:t>Kikihia</w:t>
      </w:r>
      <w:r>
        <w:rPr>
          <w:color w:val="1F4E79"/>
        </w:rPr>
        <w:t xml:space="preserve"> cicada systems (0.71 and 0.64); on a hybrid lizard, transgression has been associated with ecological success rather than with dysbiosis [15], so the absence of transgression here carries no implication for hybrid fitness either way. Second, as its authors found for a natural hybrid system, the index was sensitive to its settings: the choice between presence and abundance reversed the reading in three compartments of four, and in the caudal fin so did the number of hosts per class, from 9 to 26–27. A null hybrid built from parental individuals already sits close to the 0.5 boundary between the two axes, which makes that boundary a weak criterion for calling a hybrid microbiota transgressive. We therefore read the 4H index as a description of taxon membership conditional on its settings, and not as an independent test of the intermediate, dominant and transgressive hypotheses.</w:t>
      </w:r>
    </w:p>
    <w:p>
      <w:pPr/>
      <w:r>
        <w:rPr>
          <w:color w:val="1F4E79"/>
        </w:rPr>
        <w:t xml:space="preserve">Four limits bound these conclusions. Genotypic category is confounded with station, and the three stations that carry all three categories hold 65–74 individuals, so that every category effect is estimated mostly between stations and is read as a pattern co-varying with station and category. Plate position affected composition and followed processing order in every campaign; the mechanism — extraction order, reagent drift within a plate, cross-contamination between adjacent wells or time spent in the holding tank — is not identified, and because </w:t>
      </w:r>
      <w:r>
        <w:rPr>
          <w:i/>
          <w:color w:val="1F4E79"/>
        </w:rPr>
        <w:t>C. nasus</w:t>
      </w:r>
      <w:r>
        <w:rPr>
          <w:color w:val="1F4E79"/>
        </w:rPr>
        <w:t xml:space="preserve"> was generally processed first it could contribute to the dominance of </w:t>
      </w:r>
      <w:r>
        <w:rPr>
          <w:i/>
          <w:color w:val="1F4E79"/>
        </w:rPr>
        <w:t>C. nasus</w:t>
      </w:r>
      <w:r>
        <w:rPr>
          <w:color w:val="1F4E79"/>
        </w:rPr>
        <w:t xml:space="preserve"> in caudal-fin alpha diversity, which was not tested. Rarefaction to 3,000 reads retained intermediate hybrids less often than </w:t>
      </w:r>
      <w:r>
        <w:rPr>
          <w:i/>
          <w:color w:val="1F4E79"/>
        </w:rPr>
        <w:t>P. toxostoma</w:t>
      </w:r>
      <w:r>
        <w:rPr>
          <w:color w:val="1F4E79"/>
        </w:rPr>
        <w:t xml:space="preserve"> in the caudal fin, a selection that is declared but cannot be removed for presence-based metrics. And only 64 % of reads could be aggregated to genus for the 4H index, whose genus-level reading therefore rests on the better-assigned part of each community.</w:t>
      </w:r>
    </w:p>
    <w:p>
      <w:pPr>
        <w:pStyle w:val="Title"/>
      </w:pPr>
      <w:r>
        <w:rPr>
          <w:color w:val="1F4E79"/>
        </w:rPr>
        <w:t>Conclusions</w:t>
      </w:r>
    </w:p>
    <w:p>
      <w:pPr/>
      <w:r>
        <w:rPr>
          <w:color w:val="1F4E79"/>
        </w:rPr>
        <w:t xml:space="preserve">In a natural, mosaic hybrid zone between </w:t>
      </w:r>
      <w:r>
        <w:rPr>
          <w:i/>
          <w:color w:val="1F4E79"/>
        </w:rPr>
        <w:t>C. nasus</w:t>
      </w:r>
      <w:r>
        <w:rPr>
          <w:color w:val="1F4E79"/>
        </w:rPr>
        <w:t xml:space="preserve"> and </w:t>
      </w:r>
      <w:r>
        <w:rPr>
          <w:i/>
          <w:color w:val="1F4E79"/>
        </w:rPr>
        <w:t>P. toxostoma</w:t>
      </w:r>
      <w:r>
        <w:rPr>
          <w:color w:val="1F4E79"/>
        </w:rPr>
        <w:t xml:space="preserve">, the bacterial microbiota of hybrids lay within the parental range in four tissue compartments: no transgressive pattern was found in alpha diversity, </w:t>
      </w:r>
      <w:r>
        <w:rPr>
          <w:color w:val="1F4E79"/>
        </w:rPr>
        <w:t>community dispersion</w:t>
      </w:r>
      <w:r>
        <w:rPr>
          <w:color w:val="1F4E79"/>
        </w:rPr>
        <w:t xml:space="preserve"> or the 4H index, and hybrids preferentially retained the core taxa shared by both parents. Departures from the parents were small relative to spatial variation and depended on the compartment, the metric and the definition of a hybrid. Studies of hybrid microbiota in natural populations should therefore report the definition of a hybrid, the metric and the tissue alongside each result, and treat spatial and technical structure as part of the design rather than as noise.</w:t>
      </w:r>
    </w:p>
    <w:p>
      <w:pPr>
        <w:pStyle w:val="Title"/>
      </w:pPr>
      <w:r>
        <w:rPr>
          <w:color w:val="1F4E79"/>
        </w:rPr>
        <w:t>Abbreviations</w:t>
      </w:r>
    </w:p>
    <w:p>
      <w:pPr/>
      <w:r>
        <w:rPr>
          <w:color w:val="1F4E79"/>
        </w:rPr>
        <w:t xml:space="preserve">4H: four-dimensional hybrid microbiome index (Union, Intersection, Gain, Loss); ASV: amplicon sequence variant; Cn: </w:t>
      </w:r>
      <w:r>
        <w:rPr>
          <w:i/>
          <w:color w:val="1F4E79"/>
        </w:rPr>
        <w:t>Chondrostoma nasus</w:t>
      </w:r>
      <w:r>
        <w:rPr>
          <w:color w:val="1F4E79"/>
        </w:rPr>
        <w:t xml:space="preserve">; D: inter-chromosome discordance of the hybrid index; Hy: hybrid; PERMANOVA: permutational multivariate analysis of variance; PERMDISP: permutational analysis of multivariate dispersions; Pt: </w:t>
      </w:r>
      <w:r>
        <w:rPr>
          <w:i/>
          <w:color w:val="1F4E79"/>
        </w:rPr>
        <w:t>Parachondrostoma toxostoma</w:t>
      </w:r>
      <w:r>
        <w:rPr>
          <w:color w:val="1F4E79"/>
        </w:rPr>
        <w:t>; UniFrac: unique fraction metric.</w:t>
      </w:r>
    </w:p>
    <w:p>
      <w:pPr>
        <w:pStyle w:val="Title"/>
      </w:pPr>
      <w:r>
        <w:rPr>
          <w:color w:val="1F4E79"/>
        </w:rPr>
        <w:t>Declarations</w:t>
      </w:r>
    </w:p>
    <w:p>
      <w:pPr>
        <w:pStyle w:val="Heading1"/>
      </w:pPr>
      <w:r>
        <w:rPr>
          <w:color w:val="1F4E79"/>
        </w:rPr>
        <w:t>Ethics approval and consent to participate</w:t>
      </w:r>
    </w:p>
    <w:p>
      <w:pPr/>
      <w:r>
        <w:rPr>
          <w:color w:val="1F4E79"/>
        </w:rPr>
        <w:t>Fish were captured by electrofishing and euthanised before dissection under authorisations n° 2014-156-0001 and n° 2015-1426DDT605, following international guidelines of animal care.</w:t>
      </w:r>
      <w:r>
        <w:rPr>
          <w:i/>
          <w:color w:val="888888"/>
          <w:sz w:val="18"/>
        </w:rPr>
        <w:t xml:space="preserve"> [À compléter (questions de suivi à André, 2026-10-03) : autorités de délivrance — ONEMA et DDT 04, 05 et 84 selon André — et couverture des stations de l'Ain et de l'Ardèche ; méthode d'euthanasie (dislocation cervicale, non confirmée). Consentement : sans objet.]</w:t>
      </w:r>
    </w:p>
    <w:p>
      <w:pPr>
        <w:pStyle w:val="Heading1"/>
      </w:pPr>
      <w:r>
        <w:rPr>
          <w:color w:val="1F4E79"/>
        </w:rPr>
        <w:t>Consent for publication</w:t>
      </w:r>
    </w:p>
    <w:p>
      <w:pPr/>
      <w:r>
        <w:rPr>
          <w:color w:val="1F4E79"/>
        </w:rPr>
        <w:t>Not applicable.</w:t>
      </w:r>
    </w:p>
    <w:p>
      <w:pPr>
        <w:pStyle w:val="Heading1"/>
      </w:pPr>
      <w:r>
        <w:rPr>
          <w:color w:val="1F4E79"/>
        </w:rPr>
        <w:t>Availability of data and materials</w:t>
      </w:r>
    </w:p>
    <w:p>
      <w:pPr/>
      <w:r>
        <w:rPr>
          <w:color w:val="1F4E79"/>
        </w:rPr>
        <w:t>The raw sequence data are available in the European Nucleotide Archive under accession PRJEB124417. The code, the scripts that produced every result and the decision log are available at https://github.com/martinjfsupagro/microbiome-hybrid [51]. Individual genotypes are given in Supplementary Table S</w:t>
      </w:r>
      <w:r>
        <w:rPr>
          <w:color w:val="1F4E79"/>
        </w:rPr>
        <w:t>2</w:t>
      </w:r>
      <w:r>
        <w:rPr>
          <w:color w:val="1F4E79"/>
        </w:rPr>
        <w:t>.</w:t>
      </w:r>
      <w:r>
        <w:rPr>
          <w:i/>
          <w:color w:val="888888"/>
          <w:sz w:val="18"/>
        </w:rPr>
        <w:t xml:space="preserve"> [DOI Zenodo de la version citée : à créer à la soumission (question 2.7, non tranchée).]</w:t>
      </w:r>
    </w:p>
    <w:p>
      <w:pPr>
        <w:pStyle w:val="Heading1"/>
      </w:pPr>
      <w:r>
        <w:rPr>
          <w:color w:val="1F4E79"/>
        </w:rPr>
        <w:t>Competing interests</w:t>
      </w:r>
    </w:p>
    <w:p>
      <w:pPr/>
      <w:r>
        <w:rPr>
          <w:color w:val="1F4E79"/>
        </w:rPr>
        <w:t>The authors declare that they have no competing interests.</w:t>
      </w:r>
      <w:r>
        <w:rPr>
          <w:i/>
          <w:color w:val="888888"/>
          <w:sz w:val="18"/>
        </w:rPr>
        <w:t xml:space="preserve"> [À confirmer par chaque auteur.]</w:t>
      </w:r>
    </w:p>
    <w:p>
      <w:pPr>
        <w:pStyle w:val="Heading1"/>
      </w:pPr>
      <w:r>
        <w:t>Funding</w:t>
      </w:r>
    </w:p>
    <w:p>
      <w:pPr/>
      <w:r>
        <w:rPr>
          <w:i w:val="0"/>
          <w:color w:val="1F4E79"/>
        </w:rPr>
        <w:t>This work was funded by Électricité de France (EDF) through an EDF–CNRS doctoral contract (AGDI 428481) financing the thesis of Arnaud Ungaro, the contract that also funded Guivier et al. [31] within the FACIES project, with the support of the Fédération de l'Ain pour la pêche et la protection des milieux aquatiques.</w:t>
      </w:r>
    </w:p>
    <w:p>
      <w:pPr/>
      <w:r>
        <w:rPr>
          <w:i/>
          <w:color w:val="888888"/>
          <w:sz w:val="18"/>
        </w:rPr>
        <w:t>[Financement : référence du contrat « EDF-CNRS AGDI 428481 » (André, 2026-10-03). Le rattachement de ce contrat de thèse au projet FACIES de Guivier et al. (2017) combine deux réponses d'André (2026-09-30 et 2026-10-03) et n'est pas confirmé explicitement — à vérifier. Section Acknowledgements : à rédiger en fin de manuscrit (André, 2026-10-03).]</w:t>
      </w:r>
    </w:p>
    <w:p>
      <w:pPr>
        <w:pStyle w:val="Heading1"/>
      </w:pPr>
      <w:r>
        <w:rPr>
          <w:color w:val="1F4E79"/>
        </w:rPr>
        <w:t>Authors' contributions</w:t>
      </w:r>
    </w:p>
    <w:p>
      <w:pPr/>
      <w:r>
        <w:rPr>
          <w:i/>
          <w:color w:val="888888"/>
          <w:sz w:val="18"/>
        </w:rPr>
        <w:t>[À rédiger : contributions par initiales (conception, terrain, laboratoire, génotypage, analyse, rédaction), liste des auteurs à fixer.]</w:t>
      </w:r>
    </w:p>
    <w:p>
      <w:pPr>
        <w:pStyle w:val="Heading1"/>
      </w:pPr>
      <w:r>
        <w:rPr>
          <w:color w:val="1F4E79"/>
        </w:rPr>
        <w:t>Acknowledgements</w:t>
      </w:r>
    </w:p>
    <w:p>
      <w:pPr/>
      <w:r>
        <w:rPr>
          <w:i/>
          <w:color w:val="888888"/>
          <w:sz w:val="18"/>
        </w:rPr>
        <w:t>[À rédiger en fin de manuscrit (André, 2026-10-03).]</w:t>
      </w:r>
    </w:p>
    <w:p>
      <w:pPr>
        <w:pStyle w:val="Title"/>
      </w:pPr>
      <w:r>
        <w:rPr>
          <w:color w:val="1F4E79"/>
        </w:rPr>
        <w:t>References</w:t>
      </w:r>
    </w:p>
    <w:p>
      <w:pPr/>
      <w:r>
        <w:rPr>
          <w:color w:val="1F4E79"/>
        </w:rPr>
        <w:t>1. Bordenstein SR, Theis KR. Host Biology in Light of the Microbiome: Ten Principles of Holobionts and Hologenomes. PLoS Biol. 2015;13:e1002226. https://doi.org/10.1371/journal.pbio.1002226.</w:t>
      </w:r>
    </w:p>
    <w:p>
      <w:pPr/>
      <w:r>
        <w:rPr>
          <w:color w:val="1F4E79"/>
        </w:rPr>
        <w:t>2. Shapira M. Gut Microbiotas and Host Evolution: Scaling Up Symbiosis. Trends Ecol Evol. 2016;31:539–549. https://doi.org/10.1016/j.tree.2016.03.006.</w:t>
      </w:r>
    </w:p>
    <w:p>
      <w:pPr/>
      <w:r>
        <w:rPr>
          <w:color w:val="1F4E79"/>
        </w:rPr>
        <w:t>3. Shropshire JD, Bordenstein SR. Speciation by Symbiosis: the Microbiome and Behavior. mBio. 2016;7:e01785–15. https://doi.org/10.1128/mbio.01785-15.</w:t>
      </w:r>
    </w:p>
    <w:p>
      <w:pPr/>
      <w:r>
        <w:rPr>
          <w:color w:val="1F4E79"/>
        </w:rPr>
        <w:t>4. Adair KL, Douglas AE. Making a microbiome: the many determinants of host-associated microbial community composition. Curr Opin Microbiol. 2017;35:23–29. https://doi.org/10.1016/j.mib.2016.11.002.</w:t>
      </w:r>
    </w:p>
    <w:p>
      <w:pPr/>
      <w:r>
        <w:rPr>
          <w:color w:val="1F4E79"/>
        </w:rPr>
        <w:t>5. Llewellyn MS, Boutin S, Hoseinifar SH, Derome N. Teleost microbiomes: the state of the art in their characterization, manipulation and importance in aquaculture and fisheries. Front Microbiol. 2014;5. https://doi.org/10.3389/fmicb.2014.00207.</w:t>
      </w:r>
    </w:p>
    <w:p>
      <w:pPr/>
      <w:r>
        <w:rPr>
          <w:color w:val="1F4E79"/>
        </w:rPr>
        <w:t>6. Sevellec M, Pavey SA, Boutin S, Filteau M, Derome N, Bernatchez L. Microbiome investigation in the ecological speciation context of lake whitefish (Coregonus clupeaformis) using next‐generation sequencing. J Evol Biol. 2014;27:1029–1046. https://doi.org/10.1111/jeb.12374.</w:t>
      </w:r>
    </w:p>
    <w:p>
      <w:pPr/>
      <w:r>
        <w:rPr>
          <w:color w:val="1F4E79"/>
        </w:rPr>
        <w:t>7. Smith CCR, Snowberg LK, Caporaso JG, Knight R, Bolnick DI. Dietary input of microbes and host genetic variation shape among-population differences in stickleback gut microbiota. ISME J. 2015;9:2515–2526. https://doi.org/10.1038/ismej.2015.64.</w:t>
      </w:r>
    </w:p>
    <w:p>
      <w:pPr/>
      <w:r>
        <w:rPr>
          <w:color w:val="1F4E79"/>
        </w:rPr>
        <w:t>8. Chiarello M, Auguet J-C, Bettarel Y, Bouvier C, Claverie T, Graham NAJ, Rieuvilleneuve F, Sucré E, Bouvier T, Villéger S. Skin microbiome of coral reef fish is highly variable and driven by host phylogeny and diet. Microbiome. 2018;6:147. https://doi.org/10.1186/s40168-018-0530-4.</w:t>
      </w:r>
    </w:p>
    <w:p>
      <w:pPr/>
      <w:r>
        <w:rPr>
          <w:color w:val="1F4E79"/>
        </w:rPr>
        <w:t>9. Grieneisen L, Dasari M, Gould TJ, Björk JR, Grenier J-C, Yotova V, Jansen D, Gottel N, Gordon JB, Learn NH, Gesquiere LR, Wango TL, Mututua RS, Warutere JK, Siodi L, Gilbert JA, Barreiro LB, Alberts SC, Tung J, Archie EA, Blekhman R. Gut microbiome heritability is nearly universal but environmentally contingent. Science. 2021;373:181–186. https://doi.org/10.1126/science.aba5483.</w:t>
      </w:r>
    </w:p>
    <w:p>
      <w:pPr/>
      <w:r>
        <w:rPr>
          <w:color w:val="1F4E79"/>
        </w:rPr>
        <w:t>10. Small CM, Currey M, Beck EA, Bassham S, Cresko WA. Highly Reproducible 16S Sequencing Facilitates Measurement of Host Genetic Influences on the Stickleback Gut Microbiome. mSystems. 2019;4:e00331–19. https://doi.org/10.1128/msystems.00331-19.</w:t>
      </w:r>
    </w:p>
    <w:p>
      <w:pPr/>
      <w:r>
        <w:rPr>
          <w:color w:val="1F4E79"/>
        </w:rPr>
        <w:t>11. Wang J, Kalyan S, Steck N, Turner LM, Harr B, Künzel S, Vallier M, Häsler R, Franke A, Oberg H-H, Ibrahim SM, Grassl GA, Kabelitz D, Baines JF. Analysis of intestinal microbiota in hybrid house mice reveals evolutionary divergence in a vertebrate hologenome. Nat Commun. 2015;6:6440. https://doi.org/10.1038/ncomms7440.</w:t>
      </w:r>
    </w:p>
    <w:p>
      <w:pPr/>
      <w:r>
        <w:rPr>
          <w:color w:val="1F4E79"/>
        </w:rPr>
        <w:t>12. Pfennig KS, Kelly AL, Pierce AA. Hybridization as a facilitator of species range expansion. Proc Biol Sci. 2016;283:20161329. https://doi.org/10.1098/rspb.2016.1329.</w:t>
      </w:r>
    </w:p>
    <w:p>
      <w:pPr/>
      <w:r>
        <w:rPr>
          <w:color w:val="1F4E79"/>
        </w:rPr>
        <w:t>13. Schumer M, Xu C, Powell DL, Durvasula A, Skov L, Holland C, Blazier JC, Sankararaman S, Andolfatto P, Rosenthal GG, Przeworski M. Natural selection interacts with recombination to shape the evolution of hybrid genomes. Science. 2018;360:656–660. https://doi.org/10.1126/science.aar3684.</w:t>
      </w:r>
    </w:p>
    <w:p>
      <w:pPr/>
      <w:r>
        <w:rPr>
          <w:color w:val="1F4E79"/>
        </w:rPr>
        <w:t>14. Camper BT, Laughlin Z, Malagon D, Denton R, Bewick S. A conceptual framework for host‐associated microbiomes of hybrid organisms. Methods Ecol Evol. 2024;15:511–529. https://doi.org/10.1111/2041-210x.14279.</w:t>
      </w:r>
    </w:p>
    <w:p>
      <w:pPr/>
      <w:r>
        <w:rPr>
          <w:color w:val="1F4E79"/>
        </w:rPr>
        <w:t>15. Camper BT, Kanes AS, Laughlin ZT, Manuel RT, Bewick SA. Transgressive hybrids as hopeful holobionts. Microbiome. 2025;13:19. https://doi.org/10.1186/s40168-024-01994-8.</w:t>
      </w:r>
    </w:p>
    <w:p>
      <w:pPr/>
      <w:r>
        <w:rPr>
          <w:color w:val="1F4E79"/>
        </w:rPr>
        <w:t>16. Li W, Liu J, Tan H, Yang C, Ren L, Liu Q, Wang S, Hu F, Xiao J, Zhao R, Tao M, Zhang C, Qin Q, Liu S. Genetic Effects on the Gut Microbiota Assemblages of Hybrid Fish From Parents With Different Feeding Habits. Front Microbiol. 2018;9:2972. https://doi.org/10.3389/fmicb.2018.02972.</w:t>
      </w:r>
    </w:p>
    <w:p>
      <w:pPr/>
      <w:r>
        <w:rPr>
          <w:color w:val="1F4E79"/>
        </w:rPr>
        <w:t>17. Jin X, Zhu H, Shi Y, Chen Z, Wang Y, Gui J-F, Zhao Z. Host Hybridization Dominates over Cohabitation in Affecting Gut Microbiota of Intrageneric Hybrid Takifugu Pufferfish. mSystems. 2023;8:e01181–22. https://doi.org/10.1128/msystems.01181-22.</w:t>
      </w:r>
    </w:p>
    <w:p>
      <w:pPr/>
      <w:r>
        <w:rPr>
          <w:color w:val="1F4E79"/>
        </w:rPr>
        <w:t>18. Wang Q, Liu J-H, Wen B, Gao J-Z, Chen Z-Z. Gut microbiota communities of reciprocal hybrids from koi (Cyprinus carpio) and goldfish (Carassius auratus) are more similar to koi than goldfish. J Appl Microbiol. 2022;133:960–971. https://doi.org/10.1111/jam.15616.</w:t>
      </w:r>
    </w:p>
    <w:p>
      <w:pPr/>
      <w:r>
        <w:rPr>
          <w:color w:val="1F4E79"/>
        </w:rPr>
        <w:t>19. Sevellec M, Laporte M, Bernatchez A, Derome N, Bernatchez L. Evidence for host effect on the intestinal microbiota of whitefish (Coregonus sp.) species pairs and their hybrids. Ecol Evol. 2019;9:11762–11774. https://doi.org/10.1002/ece3.5676.</w:t>
      </w:r>
    </w:p>
    <w:p>
      <w:pPr/>
      <w:r>
        <w:rPr>
          <w:color w:val="1F4E79"/>
        </w:rPr>
        <w:t>20. Cui X, Zhang Q, Zhang Q, Zhang Y, Chen H, Liu G, Zhu L. Research Progress of the Gut Microbiome in Hybrid Fish. Microorganisms. 2022;10:891. https://doi.org/10.3390/microorganisms10050891.</w:t>
      </w:r>
    </w:p>
    <w:p>
      <w:pPr/>
      <w:r>
        <w:rPr>
          <w:color w:val="1F4E79"/>
        </w:rPr>
        <w:t>21. Nielsen DP, Harrison JG, Byer NW, Faske TM, Parchman TL, Simison WB, Matocq MD. The gut microbiome reflects ancestry despite dietary shifts across a hybrid zone. Ecol Lett. 2023;26:63–75. https://doi.org/10.1111/ele.14135.</w:t>
      </w:r>
    </w:p>
    <w:p>
      <w:pPr/>
      <w:r>
        <w:rPr>
          <w:color w:val="1F4E79"/>
        </w:rPr>
        <w:t>22. Donohue ME, Stephens J, Weisenbeck DR, Martin KR, Frederick JH, Black AN, Ranaivosolo WJ, Raheimanjato JP, Fahmy M, Bliss M, Wright PC, Weisrock D, Everson KM. Host ancestry outweighs ecology in shaping the gut microbiome of hybridizing brown lemurs. bioRxiv. 2025. https://doi.org/10.64898/2025.12.10.693535.</w:t>
      </w:r>
    </w:p>
    <w:p>
      <w:pPr/>
      <w:r>
        <w:rPr>
          <w:color w:val="1F4E79"/>
        </w:rPr>
        <w:t>23. Grieneisen LE, Charpentier MJE, Alberts SC, Blekhman R, Bradburd G, Tung J, Archie EA. Genes, geology and germs: gut microbiota across a primate hybrid zone are explained by site soil properties, not host species. Proc Biol Sci. 2019;286:20190431. https://doi.org/10.1098/rspb.2019.0431.</w:t>
      </w:r>
    </w:p>
    <w:p>
      <w:pPr/>
      <w:r>
        <w:rPr>
          <w:color w:val="1F4E79"/>
        </w:rPr>
        <w:t>24. Čížková D, Schmiedová L, Kváč M, Sak B, Macholán M, Piálek J, Kreisinger J. The effect of host admixture on wild house mouse gut microbiota is weak when accounting for spatial autocorrelation. Mol Ecol. 2024;33:e17192. https://doi.org/10.1111/mec.17192.</w:t>
      </w:r>
    </w:p>
    <w:p>
      <w:pPr/>
      <w:r>
        <w:rPr>
          <w:color w:val="1F4E79"/>
        </w:rPr>
        <w:t>25. Russell AC, Vohsen SA, Spinelli JMC, Martinez N, Curry RL, Roth TC, Semenov GA, Taylor SA, Rice AM. Environment impacts gut microbiome richness in hybridizing chickadees, while ancestry influences community composition. Ecosphere. 2026;17:e70611. https://doi.org/10.1002/ecs2.70611.</w:t>
      </w:r>
    </w:p>
    <w:p>
      <w:pPr/>
      <w:r>
        <w:rPr>
          <w:color w:val="1F4E79"/>
        </w:rPr>
        <w:t>26. Gilles A. Research on european cyprinids polyspecific complex : systematics, speciation and hybrid zones. Thèse de doctorat. 1998.</w:t>
      </w:r>
    </w:p>
    <w:p>
      <w:pPr/>
      <w:r>
        <w:rPr>
          <w:color w:val="1F4E79"/>
        </w:rPr>
        <w:t>27. COSTEDOAT C, PECH N, SALDUCCI M-D, CHAPPAZ R, GILLES A. Evolution of mosaic hybrid zone between invasive and endemic species of Cyprinidae through space and time. Biol J Linn Soc Lond. 2005;85:135–155. https://doi.org/10.1111/j.1095-8312.2005.00478.x.</w:t>
      </w:r>
    </w:p>
    <w:p>
      <w:pPr/>
      <w:r>
        <w:rPr>
          <w:color w:val="1F4E79"/>
        </w:rPr>
        <w:t>28. Sinama M, Gilles A, Costedoat C, Corse E, Olivier J-M, Chappaz R, Pech N. Non-homogeneous combination of two porous genomes induces complex body shape trajectories in cyprinid hybrids. Front Zool. 2013;10:22. https://doi.org/10.1186/1742-9994-10-22.</w:t>
      </w:r>
    </w:p>
    <w:p>
      <w:pPr/>
      <w:r>
        <w:rPr>
          <w:color w:val="1F4E79"/>
        </w:rPr>
        <w:t>29. Guivier E, Gilles A, Pech N, Duflot N, Tissot L, Chappaz R. Canals as ecological corridors and hybridization zones for two cyprinid species. Hydrobiologia. 2019;830:1–16. https://doi.org/10.1007/s10750-018-3843-1.</w:t>
      </w:r>
    </w:p>
    <w:p>
      <w:pPr/>
      <w:r>
        <w:rPr>
          <w:color w:val="1F4E79"/>
        </w:rPr>
        <w:t>30. SEEHAUSEN O, TAKIMOTO G, ROY D, JOKELA J. Speciation reversal and biodiversity dynamics with hybridization in changing environments. Mol Ecol. 2008;17:30–44. https://doi.org/10.1111/j.1365-294x.2007.03529.x.</w:t>
      </w:r>
    </w:p>
    <w:p>
      <w:pPr/>
      <w:r>
        <w:rPr>
          <w:color w:val="1F4E79"/>
        </w:rPr>
        <w:t>31. Guivier E, Martin J-F, Pech N, Ungaro A, Chappaz R, Gilles A. Microbiota Diversity Within and Between the Tissues of Two Wild Interbreeding Species. Microb Ecol. 2018;75:799–810. https://doi.org/10.1007/s00248-017-1077-9.</w:t>
      </w:r>
    </w:p>
    <w:p>
      <w:pPr/>
      <w:r>
        <w:rPr>
          <w:color w:val="1F4E79"/>
        </w:rPr>
        <w:t>32. Kozich JJ, Westcott SL, Baxter NT, Highlander SK, Schloss PD. Development of a Dual-Index Sequencing Strategy and Curation Pipeline for Analyzing Amplicon Sequence Data on the MiSeq Illumina Sequencing Platform. Appl Environ Microbiol. 2013;79:5112–5120. https://doi.org/10.1128/aem.01043-13.</w:t>
      </w:r>
    </w:p>
    <w:p>
      <w:pPr/>
      <w:r>
        <w:rPr>
          <w:color w:val="1F4E79"/>
        </w:rPr>
        <w:t>33. Galan M, Razzauti M, Bard E, Bernard M, Brouat C, Charbonnel N, Dehne-Garcia A, Loiseau A, Tatard C, Tamisier L, Vayssier-Taussat M, Vignes H, Cosson J-F. 16S rRNA Amplicon Sequencing for Epidemiological Surveys of Bacteria in Wildlife. mSystems. 2016;1:e00032–16. https://doi.org/10.1128/msystems.00032-16.</w:t>
      </w:r>
    </w:p>
    <w:p>
      <w:pPr/>
      <w:r>
        <w:rPr>
          <w:color w:val="1F4E79"/>
        </w:rPr>
        <w:t>34. Martin M. Cutadapt removes adapter sequences from high-throughput sequencing reads. EMBnet J. 2011;17:10. https://doi.org/10.14806/ej.17.1.200.</w:t>
      </w:r>
    </w:p>
    <w:p>
      <w:pPr/>
      <w:r>
        <w:rPr>
          <w:color w:val="1F4E79"/>
        </w:rPr>
        <w:t>35. Callahan BJ, McMurdie PJ, Rosen MJ, Han AW, Johnson AJA, Holmes SP. DADA2: High-resolution sample inference from Illumina amplicon data. Nat Methods. 2016;13:581–583. https://doi.org/10.1038/nmeth.3869.</w:t>
      </w:r>
    </w:p>
    <w:p>
      <w:pPr/>
      <w:r>
        <w:rPr>
          <w:color w:val="1F4E79"/>
        </w:rPr>
        <w:t>36. Quast C, Pruesse E, Yilmaz P, Gerken J, Schweer T, Yarza P, Peplies J, Glöckner FO. The SILVA ribosomal RNA gene database project: improved data processing and web-based tools. Nucleic Acids Res. 2013;41:D590–D596. https://doi.org/10.1093/nar/gks1219.</w:t>
      </w:r>
    </w:p>
    <w:p>
      <w:pPr/>
      <w:r>
        <w:rPr>
          <w:color w:val="1F4E79"/>
        </w:rPr>
        <w:t>37. Davis NM, Proctor DM, Holmes SP, Relman DA, Callahan BJ. Simple statistical identification and removal of contaminant sequences in marker-gene and metagenomics data. Microbiome. 2018;6:226. https://doi.org/10.1186/s40168-018-0605-2.</w:t>
      </w:r>
    </w:p>
    <w:p>
      <w:pPr/>
      <w:r>
        <w:rPr>
          <w:color w:val="1F4E79"/>
        </w:rPr>
        <w:t>38. Bolyen E, Rideout JR, Dillon MR, Bokulich NA, Abnet CC, Al-Ghalith GA, Alexander H, Alm EJ, Arumugam M, Asnicar F, Bai Y, Bisanz JE, Bittinger K, Brejnrod A, Brislawn CJ, Brown CT, Callahan BJ, Caraballo-Rodríguez AM, Chase J, Cope EK, Da Silva R, Diener C, Dorrestein PC, Douglas GM, Durall DM, Duvallet C, Edwardson CF, Ernst M, Estaki M, Fouquier J, et al.. Reproducible, interactive, scalable and extensible microbiome data science using QIIME 2. Nat Biotechnol. 2019;37:852–857. https://doi.org/10.1038/s41587-019-0209-9.</w:t>
      </w:r>
    </w:p>
    <w:p>
      <w:pPr/>
      <w:r>
        <w:rPr>
          <w:color w:val="1F4E79"/>
        </w:rPr>
        <w:t>39. Katoh K, Standley DM. MAFFT Multiple Sequence Alignment Software Version 7: Improvements in Performance and Usability. Mol Biol Evol. 2013;30:772–780. https://doi.org/10.1093/molbev/mst010.</w:t>
      </w:r>
    </w:p>
    <w:p>
      <w:pPr/>
      <w:r>
        <w:rPr>
          <w:color w:val="1F4E79"/>
        </w:rPr>
        <w:t>40. Price MN, Dehal PS, Arkin AP. FastTree 2 – Approximately Maximum-Likelihood Trees for Large Alignments. PLoS One. 2010;5:e9490. https://doi.org/10.1371/journal.pone.0009490.</w:t>
      </w:r>
    </w:p>
    <w:p>
      <w:pPr/>
      <w:r>
        <w:rPr>
          <w:color w:val="1F4E79"/>
        </w:rPr>
        <w:t>41. Lozupone C, Knight R. UniFrac: a New Phylogenetic Method for Comparing Microbial Communities. Appl Environ Microbiol. 2005;71:8228–8235. https://doi.org/10.1128/aem.71.12.8228-8235.2005.</w:t>
      </w:r>
    </w:p>
    <w:p>
      <w:pPr/>
      <w:r>
        <w:rPr>
          <w:color w:val="1F4E79"/>
        </w:rPr>
        <w:t>42. Faith DP. Conservation evaluation and phylogenetic diversity. Biol Conserv. 1992;61:1–10. https://doi.org/10.1016/0006-3207(92)91201-3.</w:t>
      </w:r>
    </w:p>
    <w:p>
      <w:pPr/>
      <w:r>
        <w:rPr>
          <w:color w:val="1F4E79"/>
        </w:rPr>
        <w:t>43. Schloss PD. Rarefaction is currently the best approach to control for uneven sequencing effort in amplicon sequence analyses. mSphere. 2024;9:e00354–23. https://doi.org/10.1128/msphere.00354-23.</w:t>
      </w:r>
    </w:p>
    <w:p>
      <w:pPr/>
      <w:r>
        <w:rPr>
          <w:color w:val="1F4E79"/>
        </w:rPr>
        <w:t>44. Cameron ES, Schmidt PJ, Tremblay BJ-M, Emelko MB, Müller KM. Enhancing diversity analysis by repeatedly rarefying next generation sequencing data describing microbial communities. Sci Rep. 2021;11:22302. https://doi.org/10.1038/s41598-021-01636-1.</w:t>
      </w:r>
    </w:p>
    <w:p>
      <w:pPr/>
      <w:r>
        <w:rPr>
          <w:color w:val="1F4E79"/>
        </w:rPr>
        <w:t>45. Anderson MJ. A new method for non‐parametric multivariate analysis of variance. Austral Ecol. 2001;26:32–46. https://doi.org/10.1111/j.1442-9993.2001.01070.pp.x.</w:t>
      </w:r>
    </w:p>
    <w:p>
      <w:pPr/>
      <w:r>
        <w:rPr>
          <w:color w:val="1F4E79"/>
        </w:rPr>
        <w:t>46. Anderson MJ. Distance‐Based Tests for Homogeneity of Multivariate Dispersions. Biometrics. 2006;62:245–253. https://doi.org/10.1111/j.1541-0420.2005.00440.x.</w:t>
      </w:r>
    </w:p>
    <w:p>
      <w:pPr/>
      <w:r>
        <w:rPr>
          <w:color w:val="1F4E79"/>
        </w:rPr>
        <w:t>47. Oksanen J, Simpson GL, Blanchet FG, Kindt R, Legendre P, Minchin PR, et al. vegan: Community Ecology Package. R package version 2.7-5. https://CRAN.R-project.org/package=vegan.</w:t>
      </w:r>
    </w:p>
    <w:p>
      <w:pPr/>
      <w:r>
        <w:rPr>
          <w:color w:val="1F4E79"/>
        </w:rPr>
        <w:t>48. Stier AC, Geange SW, Hanson KM, Bolker BM. Predator density and timing of arrival affect reef fish community assembly. Ecology. 2013;94:1057–1068. https://doi.org/10.1890/11-1983.1.</w:t>
      </w:r>
    </w:p>
    <w:p>
      <w:pPr/>
      <w:r>
        <w:rPr>
          <w:color w:val="1F4E79"/>
        </w:rPr>
        <w:t>49. Camper B, Bewick S. HybridMicrobiomes: Analysis of Host-Associated Microbiomes from Hybrid Organisms. R package version 0.1.1. 2023. https://doi.org/10.32614/CRAN.package.HybridMicrobiomes.</w:t>
      </w:r>
    </w:p>
    <w:p>
      <w:pPr/>
      <w:r>
        <w:rPr>
          <w:color w:val="1F4E79"/>
        </w:rPr>
        <w:t>50. McMurdie PJ, Holmes S. phyloseq: An R Package for Reproducible Interactive Analysis and Graphics of Microbiome Census Data. PLoS One. 2013;8:e61217. https://doi.org/10.1371/journal.pone.0061217.</w:t>
      </w:r>
    </w:p>
    <w:p>
      <w:pPr/>
      <w:r>
        <w:rPr>
          <w:color w:val="1F4E79"/>
        </w:rPr>
        <w:t>51. microbiome-hybrid: scripts, results registry and decision log. GitHub repository. https://github.com/martinjfsupagro/microbiome-hybrid. Accessed 3 Oct 2026.</w:t>
      </w:r>
    </w:p>
    <w:p>
      <w:pPr/>
      <w:r>
        <w:rPr>
          <w:i/>
          <w:color w:val="888888"/>
          <w:sz w:val="18"/>
        </w:rPr>
        <w:t>[Références : noms de revues abrégés le 2026-10-05 selon le catalogue NLM (MedlineTA, recherche par ISSN ; scripts/44-corrections_mecaniques.py) ; préprint, thèse, logiciels et dépôt non abrégés ; Small et al. et Sevellec et al. cités dans leur version publiée (2019, Crossref) et non dans celle de la .bib ; Sinama et al. 2013 : deux notices possibles (thèse ou Frontiers in Zoology), la seconde retenue — à confirmer ; références logicielles (DADA2, SILVA, cutadapt, QIIME 2, MAFFT, FastTree, UniFrac, Faith, PERMANOVA, PERMDISP, Stier et al., phyloseq, vegan, HybridMicrobiomes) ajoutées le 2026-10-03, vérifiées sur Crossref, absentes de la .bib ; année = année du volume imprimé quand elle existe (Guivier et al. Microb Ecol 2018;75, en ligne 2017 ; Nielsen et al. 2023 ; Čížková et al. 2024 ; Guivier et al. Hydrobiologia 2019) — à confirmer.]</w:t>
      </w:r>
    </w:p>
    <w:p>
      <w:pPr>
        <w:pStyle w:val="Title"/>
      </w:pPr>
      <w:r>
        <w:rPr>
          <w:color w:val="1F4E79"/>
        </w:rPr>
        <w:t>Figure legends</w:t>
      </w:r>
    </w:p>
    <w:p>
      <w:pPr/>
      <w:r>
        <w:rPr>
          <w:b/>
          <w:color w:val="1F4E79"/>
        </w:rPr>
        <w:t xml:space="preserve">Figure 1. Genotypic composition of the nine stations and the two genome types of hybrids. </w:t>
      </w:r>
      <w:r>
        <w:rPr>
          <w:color w:val="1F4E79"/>
        </w:rPr>
        <w:t xml:space="preserve">a Individuals per station and genotypic category from 25-chromosome genotyping (n = 180), stations listed by river. Near-parental hybrids are introgressed on one to six of the 25 chromosomes. b Median hybrid index (0 = </w:t>
      </w:r>
      <w:r>
        <w:rPr>
          <w:i/>
          <w:color w:val="1F4E79"/>
        </w:rPr>
        <w:t>P. toxostoma</w:t>
      </w:r>
      <w:r>
        <w:rPr>
          <w:color w:val="1F4E79"/>
        </w:rPr>
        <w:t xml:space="preserve">, 1 = </w:t>
      </w:r>
      <w:r>
        <w:rPr>
          <w:i/>
          <w:color w:val="1F4E79"/>
        </w:rPr>
        <w:t>C. nasus</w:t>
      </w:r>
      <w:r>
        <w:rPr>
          <w:color w:val="1F4E79"/>
        </w:rPr>
        <w:t>) against the inter-chromosome discordance D for the 175 individuals genotyped from Q-scores on liver tissue; dashed line, D = 0.12. Categories were assigned from chromosome-level assignments, not by thresholding either axis; near-parental hybrids combine a parental median index with D ≥ 0.15.</w:t>
      </w:r>
    </w:p>
    <w:p>
      <w:pPr/>
      <w:r>
        <w:rPr>
          <w:b/>
          <w:color w:val="1F4E79"/>
        </w:rPr>
        <w:t xml:space="preserve">Figure 2. Alpha diversity by tissue and genotypic category. </w:t>
      </w:r>
      <w:r>
        <w:rPr>
          <w:color w:val="1F4E79"/>
        </w:rPr>
        <w:t>Shannon index (a) and Faith's phylogenetic diversity (b) per individual and tissue, as the mean over the three sequencing runs of values averaged over 400 rarefactions at 3,000 reads. Hybrids are shown separately as intermediate (Hy int.) and near-parental (Hy near-p.); pass 1 contrasts intermediate hybrids with the parental species and pass 2 pools both genome types. Numbers above each group: individuals; horizontal bars: medians. Tests are reported in the text; no combination of pass, tissue and index classified hybrids as transgressive.</w:t>
      </w:r>
    </w:p>
    <w:p>
      <w:pPr/>
      <w:r>
        <w:rPr>
          <w:b/>
          <w:color w:val="1F4E79"/>
        </w:rPr>
        <w:t xml:space="preserve">Figure 3. Detection of genotypic category in composition, and variance shares of station and category. </w:t>
      </w:r>
      <w:r>
        <w:rPr>
          <w:color w:val="1F4E79"/>
        </w:rPr>
        <w:t>a, b Number of sequencing runs (of three) in which genotypic category was significant (PERMANOVA, p &lt; 0.05), per metric and tissue, in pass 1 (20 intermediate hybrids, 158 individuals) and pass 2 (all 42 hybrids, 180 individuals), in the principal model (category alone, permutations within station blocks, no plate position). In parentheses: the sensitivity model with plate position fitted first, where it differs. c Variance explained (R², %) in each of the 48 metric × tissue × run strata by station fitted first, and by category fitted first or last, in models without plate position; horizontal bars: medians.</w:t>
      </w:r>
    </w:p>
    <w:p>
      <w:pPr/>
      <w:r>
        <w:rPr>
          <w:b/>
          <w:color w:val="1F4E79"/>
        </w:rPr>
        <w:t xml:space="preserve">Figure 4. Dispersion of hybrids relative to the parental mean, corrected for group size. </w:t>
      </w:r>
      <w:r>
        <w:rPr>
          <w:color w:val="1F4E79"/>
        </w:rPr>
        <w:t xml:space="preserve">Difference between the median distance of hybrids to their group median and the mean of the two parental values, per metric, tissue (symbols) and sequencing run, with permutations constrained within station blocks and distances corrected for small-sample bias. </w:t>
      </w:r>
      <w:r>
        <w:rPr>
          <w:color w:val="1F4E79"/>
        </w:rPr>
        <w:t>Values below 0: hybrids less dispersed than the mean of the two parents; panel titles give the number of tests in which hybrids were less dispersed than both parents, a stricter condition.</w:t>
      </w:r>
      <w:r>
        <w:rPr>
          <w:color w:val="1F4E79"/>
        </w:rPr>
        <w:t xml:space="preserve"> Filled symbols: PERMDISP test of category significant (p &lt; 0.05). a Pass 1; b pass 2.</w:t>
      </w:r>
    </w:p>
    <w:p>
      <w:pPr/>
      <w:r>
        <w:rPr>
          <w:b/>
          <w:color w:val="1F4E79"/>
        </w:rPr>
        <w:t xml:space="preserve">Figure 5. Four-dimensional (4H) index of hybrid microbiota and its sensitivity to settings. </w:t>
      </w:r>
      <w:r>
        <w:rPr>
          <w:color w:val="1F4E79"/>
        </w:rPr>
        <w:t>a Mean over the three runs of the four dimensions of the index — Union, Intersection, Gain and Loss — under the principal setting (incidence-based, genus rank, ρ = 0.5), per tissue and pass, at the common number of hosts per class (9–19); the parental axis is Union + Intersection and the transgressive axis Gain + Loss. Black bars: boundary between the two axes for the null hybrid (average of one randomly drawn individual of each parental species); dashed line, 0.5. b Transgressive axis per run under each setting: principal, ρ = 0.3, ρ = 0.7, family rank, abundance-based (Bray–Curtis) version, and pass 2 at its own number of hosts (26–40). Grey band: range of the null hybrid, computed under the principal setting only. Open symbols, pass 1; filled symbols, pass 2. 500 bootstraps per run, on the 1,749 samples with at least 1,000 genus-assigned reads.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