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i w:val="0"/>
          <w:color w:val="1F4E79"/>
        </w:rPr>
        <w:t>Host-associated bacterial microbiota of hybridising cyprinid fishes</w:t>
      </w:r>
    </w:p>
    <w:p>
      <w:r>
        <w:rPr>
          <w:i/>
          <w:color w:val="888888"/>
          <w:sz w:val="18"/>
        </w:rPr>
        <w:t>[Version resserrée du 2026-10-05. Les passages retirés des Methods sont déplacés sans modification dans la nouvelle note supplémentaire S2 de Supplementary_Data_resserre.docx ; l'ancienne note S2 devient la note S3. Comparaison paragraphe par paragraphe : docs/manuscrit/resserrement_2026-10-05_comparaison.docx. Article.docx reste la version de référence jusqu'à validation par JF.]</w:t>
      </w:r>
    </w:p>
    <w:p>
      <w:pPr>
        <w:pStyle w:val="Title"/>
      </w:pPr>
      <w:r>
        <w:rPr>
          <w:color w:val="1F4E79"/>
        </w:rPr>
        <w:t>Abstract</w:t>
      </w:r>
    </w:p>
    <w:p>
      <w:pPr/>
      <w:r>
        <w:rPr>
          <w:b/>
          <w:color w:val="1F4E79"/>
        </w:rPr>
        <w:t xml:space="preserve">Background: </w:t>
      </w:r>
      <w:r>
        <w:rPr>
          <w:color w:val="1F4E79"/>
        </w:rPr>
        <w:t>Hybridisation can reorganise host–microbe associations, but whether the microbiota of hybrids is intermediate between the parental species, dominated by one of them or transgressive has rarely been tested in natural hybrid zones, and never across several tissues of the same fish. We characterised the bacterial microbiota of the caudal fin, gill, midgut and hindgut of 180 nases (</w:t>
      </w:r>
      <w:r>
        <w:rPr>
          <w:i/>
          <w:color w:val="1F4E79"/>
        </w:rPr>
        <w:t>Chondrostoma nasus</w:t>
      </w:r>
      <w:r>
        <w:rPr>
          <w:color w:val="1F4E79"/>
        </w:rPr>
        <w:t>), toxostomes (</w:t>
      </w:r>
      <w:r>
        <w:rPr>
          <w:i/>
          <w:color w:val="1F4E79"/>
        </w:rPr>
        <w:t>Parachondrostoma toxostoma</w:t>
      </w:r>
      <w:r>
        <w:rPr>
          <w:color w:val="1F4E79"/>
        </w:rPr>
        <w:t>) and their hybrids sampled at nine stations of the Rhône drainage, with ancestry resolved by genotyping across 25 chromosomes and hybrids defined in two pre-declared ways.</w:t>
      </w:r>
    </w:p>
    <w:p>
      <w:pPr/>
      <w:r>
        <w:rPr>
          <w:b/>
          <w:color w:val="1F4E79"/>
        </w:rPr>
        <w:t xml:space="preserve">Results: </w:t>
      </w:r>
      <w:r>
        <w:rPr>
          <w:color w:val="1F4E79"/>
        </w:rPr>
        <w:t xml:space="preserve">Sequencing of the V4 region of the 16S rRNA gene, replicated across two library preparations and three runs, contributed negligible technical variance. Station explained about a fifth of compositional variance and genotypic category 1.4–3.0 %. No transgressive pattern was found: hybrids were transgressive in none of 32 alpha-diversity tests, were more dispersed than both parents no more often than expected by chance, and no transgressive reading of the four-dimensional (4H) index survived the pre-declared robustness rule; hybrids preferentially retained the core taxa shared by both parents in every compartment. Departures of hybrids from their parents were specific to compartments and metrics: the midgut on Jaccard distances was detected under every analytical choice, whereas a caudal-fin signal on weighted UniFrac was present only when near-parental introgressed individuals were excluded from the hybrid class. In alpha diversity, intermediate hybrids resembled </w:t>
      </w:r>
      <w:r>
        <w:rPr>
          <w:i/>
          <w:color w:val="1F4E79"/>
        </w:rPr>
        <w:t>C. nasus</w:t>
      </w:r>
      <w:r>
        <w:rPr>
          <w:color w:val="1F4E79"/>
        </w:rPr>
        <w:t xml:space="preserve"> in the caudal fin. Plate position affected composition and followed the order in which fish were processed, from which it cannot be separated in this design.</w:t>
      </w:r>
    </w:p>
    <w:p>
      <w:pPr/>
      <w:r>
        <w:rPr>
          <w:b/>
          <w:color w:val="1F4E79"/>
        </w:rPr>
        <w:t xml:space="preserve">Conclusions: </w:t>
      </w:r>
      <w:r>
        <w:rPr>
          <w:color w:val="1F4E79"/>
        </w:rPr>
        <w:t>In this mosaic hybrid zone the microbiota of hybrids lies within the parental range, and its departures from either parent are small relative to spatial variation, specific to compartments and metrics, and dependent on how hybrids are defined. The data give no support to a disrupted, transgressive hybrid microbiota.</w:t>
      </w:r>
    </w:p>
    <w:p>
      <w:pPr/>
      <w:r>
        <w:rPr>
          <w:b/>
          <w:color w:val="1F4E79"/>
        </w:rPr>
        <w:t xml:space="preserve">Keywords: </w:t>
      </w:r>
      <w:r>
        <w:rPr>
          <w:color w:val="1F4E79"/>
        </w:rPr>
        <w:t xml:space="preserve">hybridisation; hybrid zone; host-associated microbiota; 16S rRNA gene; Cyprinidae; </w:t>
      </w:r>
      <w:r>
        <w:rPr>
          <w:i/>
          <w:color w:val="1F4E79"/>
        </w:rPr>
        <w:t>Chondrostoma nasus</w:t>
      </w:r>
      <w:r>
        <w:rPr>
          <w:color w:val="1F4E79"/>
        </w:rPr>
        <w:t xml:space="preserve">; </w:t>
      </w:r>
      <w:r>
        <w:rPr>
          <w:i/>
          <w:color w:val="1F4E79"/>
        </w:rPr>
        <w:t>Parachondrostoma toxostoma</w:t>
      </w:r>
      <w:r>
        <w:rPr>
          <w:color w:val="1F4E79"/>
        </w:rPr>
        <w:t>; transgressive segregation; 4H index; tissue compartment</w:t>
      </w:r>
    </w:p>
    <w:p>
      <w:pPr>
        <w:pStyle w:val="Title"/>
      </w:pPr>
      <w:r>
        <w:rPr>
          <w:color w:val="1F4E79"/>
        </w:rPr>
        <w:t>Background</w:t>
      </w:r>
    </w:p>
    <w:p>
      <w:pPr/>
      <w:r>
        <w:rPr>
          <w:color w:val="1F4E79"/>
        </w:rPr>
        <w:t>Animals and their microbial communities form composite biological units in which microbial composition contributes to host performance and to tolerance of environmental constraints [1]. These associations are established largely by the sorting of environmental microbial pools according to host ecology and physiology — feeding behaviour and the immune pathways underlying tolerance of or resistance to microbes [2–4]. Environmental acquisition is particularly important in fish, which live in a medium favourable to bacterial growth, are continuously exposed to microbes at their epithelial barriers and are mostly oviparous, with limited maternal effects compared with mammals [5]; surveys of wild populations accordingly report a predominant environmental component of variation in bacterial composition [6–8]. Host genotype is nonetheless not without effect. In wild baboons followed over fourteen years, microbiome phenotypes were almost universally heritable, but with a typically low, context-dependent heritability that only large samples can quantify [9]; in stickleback, a host genetic influence on the gut microbiome became measurable once biological and technical components of variance had been decomposed [10]. Any effect of host ancestry on the fish microbiota is therefore expected to be small relative to the environmental one, and detecting it requires large samples and explicit control of the spatial and technical axes along which it could be mimicked.</w:t>
      </w:r>
    </w:p>
    <w:p>
      <w:pPr/>
      <w:r>
        <w:rPr>
          <w:color w:val="1F4E79"/>
        </w:rPr>
        <w:t>Secondary contact zones make host ancestry a naturally occurring and naturally replicated variable. Introgressive hybridisation may disrupt co-adapted gene complexes and thereby alter close host–microbe interactions [11]; conversely, hybridisation is a source of genomic diversity and adaptive novelty [12, 13], which may extend to the microbiota through the acquisition of new microbial taxa. Three outcomes are usually contrasted: an intermediate microbiota, varying monotonically with ancestry; dominance, in which hybrids resemble one parental species; and a transgressive microbiota, lying outside the range of both parents. Camper et al. [14] formalised this comparison for host-associated microbiomes with four idealised models of taxon membership — Union, Intersection, Gain and Loss — whose relative weights sum to one; the Gain–Loss axis gives an operational definition of a transgressive microbiota that does not presuppose a cost to the host. The distinction matters: on an ecologically successful hybrid lizard, widespread transgressive segregation was correlated with a restructuring of niche, and the authors argue that the equation of transgression with dysbiosis rests disproportionately on hybrids of low adaptive value [15]. Following the framework's own statement of scope, we read the index as describing a pattern and not a process.</w:t>
      </w:r>
    </w:p>
    <w:p>
      <w:pPr/>
      <w:r>
        <w:rPr>
          <w:color w:val="1F4E79"/>
        </w:rPr>
        <w:t xml:space="preserve">What is known of hybrid microbiota in fish comes almost entirely from controlled crosses: genotype corresponds closely to intestinal characteristics in reciprocal hybrids of bream and culter, whose parents have contrasting feeding habits [16]; host hybridisation outweighs cohabitation in intrageneric </w:t>
      </w:r>
      <w:r>
        <w:rPr>
          <w:i/>
          <w:color w:val="1F4E79"/>
        </w:rPr>
        <w:t>Takifugu</w:t>
      </w:r>
      <w:r>
        <w:rPr>
          <w:color w:val="1F4E79"/>
        </w:rPr>
        <w:t xml:space="preserve"> hybrids [17]; reciprocal hybrids of koi and goldfish resemble one parent rather than the midpoint of the two [18]; and whitefish species pairs and their hybrids have been compared in natural and controlled environments [19] (reviewed in [20]). Studies of natural hybrid zones in other vertebrates do not converge. Host ancestry predominates in </w:t>
      </w:r>
      <w:r>
        <w:rPr>
          <w:i/>
          <w:color w:val="1F4E79"/>
        </w:rPr>
        <w:t>Neotoma</w:t>
      </w:r>
      <w:r>
        <w:rPr>
          <w:color w:val="1F4E79"/>
        </w:rPr>
        <w:t xml:space="preserve"> woodrats, where habitat determines diet but genotype determines the gut microbiota [21], and in hybridising brown lemurs [22]; site soil properties rather than genetic ancestry explain the gut microbiota of baboons spanning a hybrid zone [23], and an apparent effect of admixture in wild house mice becomes weak once spatial autocorrelation is taken into account [24]. In hybridising chickadees moved to a common environment, the change of environment affected richness but not composition, while an effect of ancestry on composition was not supported [25] — an argument for reporting alpha and beta diversity separately. No study yet combines a natural hybrid zone in fish, host ancestry quantified by genotyping rather than assigned by cross class, and several tissue compartments characterised in the same individual.</w:t>
      </w:r>
    </w:p>
    <w:p>
      <w:pPr/>
      <w:r>
        <w:rPr>
          <w:color w:val="1F4E79"/>
        </w:rPr>
        <w:t xml:space="preserve">The nase </w:t>
      </w:r>
      <w:r>
        <w:rPr>
          <w:i/>
          <w:color w:val="1F4E79"/>
        </w:rPr>
        <w:t>Chondrostoma nasus</w:t>
      </w:r>
      <w:r>
        <w:rPr>
          <w:color w:val="1F4E79"/>
        </w:rPr>
        <w:t xml:space="preserve"> and the South-west European nase, or toxostome, </w:t>
      </w:r>
      <w:r>
        <w:rPr>
          <w:i/>
          <w:color w:val="1F4E79"/>
        </w:rPr>
        <w:t>Parachondrostoma toxostoma</w:t>
      </w:r>
      <w:r>
        <w:rPr>
          <w:color w:val="1F4E79"/>
        </w:rPr>
        <w:t xml:space="preserve"> offer that combination. The toxostome is endemic to southern France, where it is declining and is a species of conservation concern; the nase, native to central Europe, entered the Rhône basin through navigable connections built across Europe during the last century [26], so that the two distributions have partially overlapped for about a hundred years. Hybridisation occurs in the patchily distributed sympatric areas of the basin, with an incidence unrelated to habitat characteristics [27–29] — the configuration of a mosaic hybrid zone [30]. Guivier et al. [31] characterised four tissue compartments of the two species in strict parapatry on a single river: the tissue compartment was the first factor of variation, externally and internally exposed tissues contrasted markedly, and species-specific taxa were asymmetric between compartments, numerous on the external tissues of the nase and in the intestine of the toxostome. They proposed that introgressive hybridisation might affect the microbiota differently depending on the tissue, a question their sixteen fish at two stations could not address. The present study addresses it on 180 fish sampled at nine stations over six watercourses of the Rhône drainage in two years, with host ancestry resolved by genotyping across 25 chromosomes and the same four compartments — caudal fin, gill, midgut and hindgut — characterised in each individual.</w:t>
      </w:r>
    </w:p>
    <w:p>
      <w:pPr/>
      <w:r>
        <w:rPr>
          <w:color w:val="1F4E79"/>
        </w:rPr>
        <w:t>We ask whether the microbiota of individuals of mixed ancestry is intermediate between the two parental species, dominated by one of them or displaced outside their range, and whether the answer is the same in all four compartments. Three features of the design shape how the answer is reported. First, genotyping separates intermediate genomes from near-parental genomes introgressed on one or a few chromosomes, so that what counts as a hybrid is a decision: every contrast is run on intermediate hybrids alone and on all hybrids, both passes being declared in advance. Second, the comparison is reported both as a category contrast across stations and as the four-dimensional (4H) index of Camper et al. [14], whose settings are fixed a priori and whose sensitivity is reported. Third, genotypic category is entangled with station, the strongest correlate of composition, and with plate position, which followed field processing order; category effects are therefore bracketed between the two sequential orderings, with plate position as a covariate in a sensitivity analysis, and read as patterns co-varying with station and category rather than as effects of ancestry alone. Following Guivier et al. [31], we expect any hybrid signal to be most pronounced in the digestive compartments, where the two parental species diverge most.</w:t>
      </w:r>
    </w:p>
    <w:p>
      <w:pPr/>
      <w:r>
        <w:rPr>
          <w:i/>
          <w:color w:val="888888"/>
          <w:sz w:val="18"/>
        </w:rPr>
        <w:t>[Introduction — reste ouvert (note réduite le 2026-10-05 ; points réglés retirés : structure Animal Microbiome, description du 4H au §8.11, effectifs des quasi-purs, corrections Small 2019 et Sevellec 2019 propagées dans la .bib). (i) Titre provisoire (sous-titre du supplément, JF 2026-10-03) ; titre définitif en fin d'écriture. (ii) Wang et al. 2015 [11] et Sevellec et al. 2014 [6] viennent de la liste du manuscrit d'origine et n'ont pas été relus en texte intégral : vérifier leur pertinence là où ils sont cités.]</w:t>
      </w:r>
    </w:p>
    <w:p>
      <w:pPr>
        <w:pStyle w:val="Title"/>
      </w:pPr>
      <w:r>
        <w:rPr>
          <w:i w:val="0"/>
          <w:color w:val="1F4E79"/>
        </w:rPr>
        <w:t>Methods</w:t>
      </w:r>
    </w:p>
    <w:p>
      <w:r>
        <w:rPr>
          <w:i/>
          <w:color w:val="888888"/>
          <w:sz w:val="18"/>
        </w:rPr>
        <w:t>Projet microbiome-hybrid. Les paramètres bioinformatiques (§5–7) sont extraits des scripts versionnés. Dépôt ENA des lectures brutes : PRJEB124417 (§9). Les passages entre crochets et en gris sont des notes éditoriales à trancher ou compléter avant soumission ; ils ne font pas partie du texte de l'article.</w:t>
      </w:r>
    </w:p>
    <w:p>
      <w:pPr>
        <w:pStyle w:val="Heading1"/>
      </w:pPr>
      <w:r>
        <w:t>1. Study system and sampling</w:t>
      </w:r>
    </w:p>
    <w:p>
      <w:r>
        <w:rPr>
          <w:color w:val="1F4E79"/>
        </w:rPr>
        <w:t xml:space="preserve">We studied the host-associated bacterial microbiota of two interbreeding cyprinid fishes, the nase </w:t>
      </w:r>
      <w:r>
        <w:rPr>
          <w:i/>
          <w:color w:val="1F4E79"/>
        </w:rPr>
        <w:t>Chondrostoma nasus</w:t>
      </w:r>
      <w:r>
        <w:rPr>
          <w:color w:val="1F4E79"/>
        </w:rPr>
        <w:t xml:space="preserve"> (code Cn) and the toxostome </w:t>
      </w:r>
      <w:r>
        <w:rPr>
          <w:i/>
          <w:color w:val="1F4E79"/>
        </w:rPr>
        <w:t>Parachondrostoma toxostoma</w:t>
      </w:r>
      <w:r>
        <w:rPr>
          <w:color w:val="1F4E79"/>
        </w:rPr>
        <w:t xml:space="preserve"> (code Pt), and of their hybrids (code Hy), in their contact zone. Fish were sampled at nine stations of the Rhône drainage (rivers Durance, Suran, Buech, Beaume and Ardèche, and one canal fed by the Largue; south-eastern France) in 2014 and 2015, spanning a gradient of hybrid-zone context (allopatry, sympatry with hybridisation, asymmetric introgression). Two stations lie on the Suran, 25.4 km apart and separated by a barrier passable only downstream; they are treated as distinct because they carry different taxa.</w:t>
      </w:r>
    </w:p>
    <w:p>
      <w:r>
        <w:rPr>
          <w:b w:val="0"/>
          <w:i w:val="0"/>
        </w:rPr>
        <w:t>Specimens were captured by electrofishing</w:t>
      </w:r>
      <w:r>
        <w:rPr>
          <w:b w:val="0"/>
          <w:i w:val="0"/>
          <w:color w:val="1F4E79"/>
        </w:rPr>
        <w:t xml:space="preserve"> (30 min to 1 h per station) and kept alive in a large holding tank filled with river water until dissection. They were then processed one at a time: each fish was euthanised by cervical dislocation and immediately dissected with sterile material, which took 4–6 min per fish, so that the catch of a station (4 to 25 retained fish per session) was processed in about 2 h. The time spent in the holding tank therefore ranged from a few minutes to about 2 h; nases, which are more fragile, were generally processed first.</w:t>
      </w:r>
      <w:r>
        <w:rPr>
          <w:b w:val="0"/>
          <w:i w:val="0"/>
        </w:rPr>
        <w:t xml:space="preserve"> The study was conducted according to international guidelines of animal care and under national protocol authorisations n° 2014-156-0001 and n° 2015-1426DDT605.</w:t>
      </w:r>
    </w:p>
    <w:p>
      <w:r>
        <w:rPr>
          <w:i/>
          <w:color w:val="888888"/>
          <w:sz w:val="18"/>
        </w:rPr>
        <w:t>[À confirmer par André — questions de suivi envoyées le 2026-10-03. (1) Autorisations : André confirme les deux numéros et indique une approbation par l'ONEMA et les DDT des Alpes-de-Haute-Provence, des Hautes-Alpes et du Vaucluse ; or les stations du Suran (Ain) et de l'Ardèche (Saint-Just-d'Ardèche, Rosières) sont hors de ces départements. Remplacer « national protocol authorisations » une fois la couverture établie. (2) Euthanasie par dislocation cervicale juste avant la dissection de chaque poisson : non confirmée explicitement. La séquence pêche → vivier → dissection, les durées et l'ordre de traitement viennent d'André (2026-10-03 ; hotus en priorité : 2026-09-25).]</w:t>
      </w:r>
    </w:p>
    <w:p>
      <w:r>
        <w:rPr>
          <w:color w:val="1F4E79"/>
        </w:rPr>
        <w:t>Stations, coordinates, collection dates, genotypic composition and the numbers of individuals and libraries per station are given in Supplementary Table S1; coordinates and dates are field records supplied by the collecting team (see the note to Table S1). Individuals are counted per site code and year of sampling, which gives 180 individuals (156 if years are collapsed, because individual numbering restarts each year).</w:t>
      </w:r>
    </w:p>
    <w:p>
      <w:r>
        <w:rPr>
          <w:color w:val="1F4E79"/>
        </w:rPr>
        <w:t>Species identity was resolved by genotyping rather than by morphology. Each individual was assigned, from a chromosome-level assignment across 25 chromosomes, to one of three categories — Cn (59 individuals), Hy (42) and Pt (79) — and not by thresholding a median hybrid index, because a substantial minority of hybrids carry an extreme median index and are identified by their inter-chromosome discordance. Genotypes were obtained from Q-scores on liver tissue for 175 individuals; of the remaining five, all parental, three were resolved from Q-score fits on midgut and caudal fin and two by an earlier, closely related method that left no Q-score record (Supplementary Table S2). Nine of the 49 individuals previously identified on morphology were reclassified. The Hy category comprises 20 intermediate genomes and 22 near-parental genomes, introgressed on a single chromosome in 17 cases, on two in four and on six in one. Every analysis of category is therefore run twice, both passes being declared in advance: pass 1 retains the 20 intermediate hybrids and excludes the 22 near-parental individuals, which are not reassigned to a parental category (158 individuals); pass 2 retains all 42 (180 individuals). Three stations carry all three categories — 74 individuals in pass 2 and 65 in pass 1, where Saint-Just-d'Ardèche retains a single hybrid — the subset in which the hybrid contrast can be tested within a station.</w:t>
      </w:r>
    </w:p>
    <w:p>
      <w:pPr>
        <w:pStyle w:val="Heading1"/>
      </w:pPr>
      <w:r>
        <w:t>2. Tissue sampling and preservation</w:t>
      </w:r>
    </w:p>
    <w:p>
      <w:r>
        <w:rPr>
          <w:b w:val="0"/>
          <w:i w:val="0"/>
        </w:rPr>
        <w:t xml:space="preserve">Four tissues were sampled per fish, spanning a gradient of contact with the external environment: </w:t>
      </w:r>
      <w:r>
        <w:rPr>
          <w:b w:val="0"/>
          <w:i w:val="0"/>
          <w:color w:val="1F4E79"/>
        </w:rPr>
        <w:t>a lobe of the caudal fin (code 01), the gill (05), the hindgut (03) and the midgut (02), dissected in that order. Each tissue was cut in two and placed in two 1.5 mL tubes: one half was stored in 95% ethanol at −80 °C for microbiota analysis, the other was frozen at −80 °C for transcriptome analyses, including genotyping.</w:t>
      </w:r>
      <w:r>
        <w:rPr>
          <w:b w:val="0"/>
          <w:i w:val="0"/>
        </w:rPr>
        <w:t xml:space="preserve"> Nine tissues were re-extracted independently (flagged ‘bis’) and are treated as technical replicates.</w:t>
      </w:r>
    </w:p>
    <w:p>
      <w:r>
        <w:rPr>
          <w:i/>
          <w:color w:val="888888"/>
          <w:sz w:val="18"/>
        </w:rPr>
        <w:t>[À confirmer par André — question de suivi envoyée le 2026-10-03 : température de conservation du tube en éthanol 95 % destiné au microbiote (−80 °C dans Guivier et al. 2017 ; non précisée dans sa réponse). Tissu 01 = lobe de nageoire caudale, ordre de dissection et partage de chaque tissu en deux tubes : André, 2026-10-03.]</w:t>
      </w:r>
    </w:p>
    <w:p>
      <w:pPr>
        <w:pStyle w:val="Heading1"/>
      </w:pPr>
      <w:r>
        <w:t>3. DNA extraction, 16S library preparation and sequencing</w:t>
      </w:r>
    </w:p>
    <w:p>
      <w:r>
        <w:rPr>
          <w:color w:val="1F4E79"/>
        </w:rPr>
        <w:t>Bacterial DNA was extracted from each tissue with the Qiagen Food Mericon kit (Qiagen, Venlo, Netherlands), following a slightly modified protocol detailed in Guivier et al. [31]. A 251 bp fragment of the V4 region of the bacterial 16S rRNA gene was amplified with the dual-index method of Kozich et al. [32], with primers 515F GTGCCAGCMGCCGCGGTAA and 806R GGACTACHVGGGTWTCTAAT carrying an 8 bp index and Illumina adapters; amplification, purification and pooling followed Galan et al. [33]. Libraries were quantified with the Kapa quantification kit (Kapa Biosystems) and sequenced on an Illumina MiSeq with reagent kit v3 (2 × 251 bp paired-end reads, two 8 bp index reads) and a 10 % PhiX spike-in, on 10 July (durance1), 5 October (durance2) and 3 November 2017 (durance3).</w:t>
      </w:r>
    </w:p>
    <w:p>
      <w:r>
        <w:rPr>
          <w:color w:val="1F4E79"/>
        </w:rPr>
        <w:t>The 768 samples were processed through two independent library preparations, each by the one-step dual-index PCR of Kozich et al. [32]. The first library was sequenced once (run durance1); the second, prepared from an independent PCR of the same samples, was sequenced twice on separate flow cells (durance2 and durance3). Because indices are incorporated during amplification, the two preparations carry different index assignments on the same plate layout (Supplementary Table S3). Each biological sample is thus represented three times in a nested structure — two library preparations, and two sequencing runs within the second — which separates the variability contributed by library preparation from that contributed by sequencing alone, neither being confounded with any biological factor; the structure was verified on the deposited data (Supplementary Note S1).</w:t>
      </w:r>
    </w:p>
    <w:p>
      <w:pPr>
        <w:pStyle w:val="Heading1"/>
      </w:pPr>
      <w:r>
        <w:t>4. Controls</w:t>
      </w:r>
    </w:p>
    <w:p>
      <w:r>
        <w:rPr>
          <w:color w:val="1F4E79"/>
        </w:rPr>
        <w:t>Negative controls comprised four extraction blanks, one per tissue, and eight no-template PCR controls, each sequenced in all three runs (36 negative-control samples). Two aliquots of the ZymoBIOMICS Microbial Community Standard (Zymo Research, cat. D6300), a defined mixture of eight bacterial taxa, served as positive controls (six mock samples across runs), and 25 empty wells that received no library were sequenced in all three runs (75 samples) to monitor index hopping. The biological samples, controls and empty wells deposited are listed in Supplementary Table S4.</w:t>
      </w:r>
    </w:p>
    <w:p>
      <w:pPr>
        <w:pStyle w:val="Heading1"/>
      </w:pPr>
      <w:r>
        <w:t>5. Sequence processing</w:t>
      </w:r>
    </w:p>
    <w:p>
      <w:r>
        <w:rPr>
          <w:color w:val="1F4E79"/>
        </w:rPr>
        <w:t xml:space="preserve">Reads were processed with a version-controlled pipeline (cutadapt 5.0 [34]; R 4.5.3 with DADA2 1.38.0 [35]; SILVA v138.2 [36]; BLAST+ 2.13.0; FastQC and MultiQC), each run being processed separately through denoising. The 16S V4 primers co-amplify the host mitochondrial 12S rRNA gene </w:t>
      </w:r>
      <w:r>
        <w:rPr>
          <w:color w:val="1F4E79"/>
        </w:rPr>
        <w:t>(host 12S and primer dimers: 14–15 % of reads per run; median 12 % per biological sample, range 0–99 %)</w:t>
      </w:r>
      <w:r>
        <w:rPr>
          <w:color w:val="1F4E79"/>
        </w:rPr>
        <w:t>; because the host amplicon (~190 bp) is shorter than the bacterial one (~253 bp), host reads were removed by length with cutadapt. Amplicon sequence variants (ASVs) were inferred per run with DADA2 after quality filtering and truncation, with error models learned per run; the three sequence tables were merged keeping runs distinct, chimeras were removed (consensus method) and taxonomy was assigned against SILVA with the naïve Bayesian classifier and exact species matching. ASVs assigned to Eukaryota, Chloroplast or Mitochondria, or unassigned at the domain level, were removed. Parameters and their justification are given in Supplementary Note S2.</w:t>
      </w:r>
    </w:p>
    <w:p>
      <w:pPr>
        <w:pStyle w:val="Heading1"/>
      </w:pPr>
      <w:r>
        <w:t>6. Resulting dataset</w:t>
      </w:r>
    </w:p>
    <w:p>
      <w:r>
        <w:rPr>
          <w:color w:val="1F4E79"/>
        </w:rPr>
        <w:t>Processing yielded 44,349 ASVs across 2,295 of the 2,304 expected samples (nine were empty after filtering: eight controls and one biological sample present in the two other runs). ASV length peaked sharply at 251 bp, with no residual 12S.</w:t>
      </w:r>
    </w:p>
    <w:p>
      <w:pPr>
        <w:pStyle w:val="Heading1"/>
      </w:pPr>
      <w:r>
        <w:t>7. Positive-control validation with the mock community</w:t>
      </w:r>
    </w:p>
    <w:p>
      <w:r>
        <w:rPr>
          <w:color w:val="1F4E79"/>
        </w:rPr>
        <w:t>The six mock samples (two aliquots × three runs) validated ASV inference: all recovered the eight expected species, the eight dominant ASVs matched the ZymoBIOMICS reference at 100 % identity over 251 bp, confidently matching reads (BLASTn, ≥99 % identity over ≥240 aligned bp) represented ~100 % of reads in every mock, and no spurious ASV exceeded 1 % (reference strain set and lot in Supplementary Note S2).</w:t>
      </w:r>
    </w:p>
    <w:p>
      <w:pPr>
        <w:pStyle w:val="Heading1"/>
      </w:pPr>
      <w:r>
        <w:t>8. Downstream ecological analysis</w:t>
      </w:r>
    </w:p>
    <w:p>
      <w:pPr>
        <w:pStyle w:val="Heading2"/>
      </w:pPr>
      <w:r>
        <w:rPr>
          <w:b w:val="0"/>
          <w:i w:val="0"/>
        </w:rPr>
        <w:t>8.1 Decontamination</w:t>
      </w:r>
    </w:p>
    <w:p>
      <w:pPr/>
      <w:r>
        <w:rPr>
          <w:color w:val="1F4E79"/>
        </w:rPr>
        <w:t>Contaminants were identified with decontam v1.30.0 [37] by the prevalence method against the 36 negative controls, batches being defined by sequencing run; DNA concentrations, required by the frequency method, were not available. The default threshold of 0.1 flagged 66 ASVs (0.15 % of ASVs) while retaining 99.76 % of reads, the flagged taxa being typical reagent contaminants; a threshold of 0.5 removed 1.89 points more reads, including ASVs carrying biological signal, and was rejected (Supplementary Note S2).</w:t>
      </w:r>
    </w:p>
    <w:p>
      <w:pPr>
        <w:pStyle w:val="Heading2"/>
      </w:pPr>
      <w:r>
        <w:rPr>
          <w:b w:val="0"/>
          <w:i w:val="0"/>
        </w:rPr>
        <w:t>8.2 Index-hopping assessment</w:t>
      </w:r>
    </w:p>
    <w:p>
      <w:pPr/>
      <w:r>
        <w:rPr>
          <w:color w:val="1F4E79"/>
        </w:rPr>
        <w:t>Index hopping was quantified on the 75 empty-well samples, in which any read represents leakage: they accumulated 41 reads out of 26.8 million (0.0002 %; median 0 reads per well, maximum 13), and no background subtraction was applied.</w:t>
      </w:r>
    </w:p>
    <w:p>
      <w:pPr>
        <w:pStyle w:val="Heading2"/>
      </w:pPr>
      <w:r>
        <w:rPr>
          <w:b w:val="0"/>
          <w:i w:val="0"/>
        </w:rPr>
        <w:t>8.3 Mock-derived sample-level artefacts</w:t>
      </w:r>
    </w:p>
    <w:p>
      <w:pPr/>
      <w:r>
        <w:rPr>
          <w:color w:val="1F4E79"/>
        </w:rPr>
        <w:t>The ten ASVs matching the mock reference strains were used as exogenous tracers. Two nominal individuals, each a single caudal-fin sample dominated by mock ASVs (70 % and 99 % of reads) and placed in the wells and index series of the mock controls, were mislabelled mock wells and were excluded. Nine further individuals carried mock ASVs at 20–65 % in a single well-tissue combination, their other tissues being unaffected, consistent with well-level contamination (Supplementary Note S2). Mock ASVs were removed from all samples, and ASVs left with zero counts were discarded.</w:t>
      </w:r>
    </w:p>
    <w:p>
      <w:pPr>
        <w:pStyle w:val="Heading2"/>
      </w:pPr>
      <w:r>
        <w:rPr>
          <w:b w:val="0"/>
          <w:i w:val="0"/>
        </w:rPr>
        <w:t>8.4 Analysis dataset</w:t>
      </w:r>
    </w:p>
    <w:p>
      <w:pPr/>
      <w:r>
        <w:rPr>
          <w:b w:val="0"/>
          <w:i w:val="0"/>
        </w:rPr>
        <w:t>After decontamination and removal of mock-derived artefacts, the analysis table comprised 44,200 ASVs across 2,180 biological samples (26.1 million reads). Median sequencing depth was 10,129 reads per sample.</w:t>
      </w:r>
    </w:p>
    <w:p>
      <w:pPr>
        <w:pStyle w:val="Heading2"/>
      </w:pPr>
      <w:r>
        <w:rPr>
          <w:b w:val="0"/>
          <w:i w:val="0"/>
        </w:rPr>
        <w:t>8.5 Phylogenetic tree</w:t>
      </w:r>
    </w:p>
    <w:p>
      <w:pPr/>
      <w:r>
        <w:rPr>
          <w:color w:val="1F4E79"/>
        </w:rPr>
        <w:t>A de novo phylogeny of the ASVs was built with QIIME 2 [38] (MAFFT alignment [39], masking of highly variable positions, FastTree 2 [40], midpoint rooting), de novo alignment being appropriate for near-complete V4 amplicons; it supports UniFrac distances [41] and Faith's phylogenetic diversity [42].</w:t>
      </w:r>
    </w:p>
    <w:p>
      <w:pPr>
        <w:pStyle w:val="Heading2"/>
      </w:pPr>
      <w:r>
        <w:rPr>
          <w:b w:val="0"/>
          <w:i w:val="0"/>
        </w:rPr>
        <w:t>8.6 Normalization of sequencing effort</w:t>
      </w:r>
    </w:p>
    <w:p>
      <w:pPr/>
      <w:r>
        <w:rPr>
          <w:color w:val="1F4E79"/>
        </w:rPr>
        <w:t>Sequencing effort was equalised by rarefaction [43]. A depth of 3,000 reads was chosen on three criteria: richness plateaued below it in rarefaction curves; it retained 81.8 % of samples (1,784/2,180), against 72.6 % at 5,000 reads; and retention was balanced across sequencing runs (80.2–83.5 % per run), so that depth is not confounded with batch.</w:t>
      </w:r>
    </w:p>
    <w:p>
      <w:pPr/>
      <w:r>
        <w:rPr>
          <w:color w:val="1F4E79"/>
        </w:rPr>
        <w:t>Rarefaction was repeated rather than drawn once [44], and metrics rather than count tables were averaged, since averaging tables would inflate observed richness above what 3,000 reads can support: alpha indices over 1,000 rarefactions, Bray–Curtis and Jaccard matrices over 400, and unweighted UniFrac, weighted normalized UniFrac and Faith's phylogenetic diversity over 400 draws run as two independent chains. Monte-Carlo error, measured between independent chains, was negligible relative to the technical and biological dissimilarities (Supplementary Table S5; details in Supplementary Note S2).</w:t>
      </w:r>
    </w:p>
    <w:p>
      <w:pPr/>
      <w:r>
        <w:rPr>
          <w:color w:val="1F4E79"/>
        </w:rPr>
        <w:t xml:space="preserve">Because the threshold also decides which samples enter, the two effects were separated. On the samples retained at 3,000 reads, matrices recomputed at 500 reads were nearly invariant for the abundance-weighted metrics (weighted UniFrac r = 0.9994, Bray-Curtis r = 0.9985) but not for the presence-based ones (Jaccard r = 0.9617, unweighted UniFrac r = 0.9373), observed richness falling by 42 %. Retention at 3,000 reads is not random with respect to category: </w:t>
      </w:r>
      <w:r>
        <w:rPr>
          <w:color w:val="1F4E79"/>
        </w:rPr>
        <w:t>in the caudal fin, in sequencing run durance1, 50 % of intermediate hybrids</w:t>
      </w:r>
      <w:r>
        <w:rPr>
          <w:color w:val="1F4E79"/>
        </w:rPr>
        <w:t xml:space="preserve"> passed the threshold against 86 % of </w:t>
      </w:r>
      <w:r>
        <w:rPr>
          <w:i/>
          <w:color w:val="1F4E79"/>
        </w:rPr>
        <w:t>P. toxostoma</w:t>
      </w:r>
      <w:r>
        <w:rPr>
          <w:color w:val="1F4E79"/>
        </w:rPr>
        <w:t xml:space="preserve"> (pass 1), and 67 % of all 42 hybrids (pass 2), a gap of 36 and 20 points respectively. Claims resting on abundance-weighted metrics are therefore accompanied by a sensitivity analysis at 500 reads, where the caudal-fin gap falls to 3.8 points (pass 1) and 5.7 points (pass 2) and 2,067 samples are retained (1,825 in pass 1); claims resting on presence-based metrics are reported at 3,000 reads with the selection declared, the midgut gap (14.0 and 8.9 points) persisting at 500 reads in any case (Supplementary Table S6 and Figure S1).</w:t>
      </w:r>
      <w:r>
        <w:rPr>
          <w:i/>
          <w:color w:val="888888"/>
          <w:sz w:val="18"/>
        </w:rPr>
        <w:t xml:space="preserve"> [Écarts de rétention : valeurs du run durance1 (scripts/43-retention_profondeur.py, results/depth_agreement/retention_par_categorie.tsv, 2026-10-05) ; aucun script ne les produisait auparavant. Sur les trois runs : caudale à 3 000 lectures 29,0–36,4 points (passe 1) et 14,7–19,8 (passe 2) ; à 500 lectures 2,6–3,8 et 3,4–5,7 ; midgut à 500 lectures 5,7–14,0 et 7,8–8,9 (runs confondus : 32,3 / 17,2 ; 3,4 / 4,5 ; 8,5 / 8,2). Le midgut de la passe 1 dépend du run (14,0 dans durance1, 5,7 dans les deux autres). Rapporter la valeur d'un run ou l'étendue : à trancher par JF.]</w:t>
      </w:r>
    </w:p>
    <w:p>
      <w:pPr>
        <w:pStyle w:val="Heading2"/>
      </w:pPr>
      <w:r>
        <w:rPr>
          <w:color w:val="1F4E79"/>
        </w:rPr>
        <w:t>8.7 Statistical framework</w:t>
      </w:r>
    </w:p>
    <w:p>
      <w:pPr/>
      <w:r>
        <w:rPr>
          <w:color w:val="1F4E79"/>
        </w:rPr>
        <w:t>Community composition was analysed by PERMANOVA [45] on the averaged dissimilarity matrices, stratified by tissue, a stratification imposed by the design: 168 of the 180 fish occupy the same plate column across all four tissues, so that plate position is not estimable in a pooled model carrying fish identity. Station, not site code, is the spatial unit, since two site codes each span two Suran stations that share no genotypic category; sequencing run is nested within library preparation (§8.8), and every analysis of category is run in the two passes of §1. Because genotypic category, station and plate position are mutually entangled (Results), each model is fitted in both sequential orderings and the interval between them is reported, the ordering that serves category first bounding it from above and the ordering that serves it last from below. Plate column is not entered in the principal models, but every model testing category is refitted with it as a covariate and reported as a sensitivity analysis. Permutations are constrained within station blocks where the question concerns a within-station contrast. Dispersion was tested with PERMDISP [46], since the transgressive hypothesis concerns the variability of hybrid microbiota and PERMANOVA is itself sensitive to heterogeneous dispersion; distances to group medians were corrected for small-sample bias (bias.adjust = TRUE [48]), hybrids being the smallest category in every stratum. Both analyses were run with vegan 2.7-5 [47]. Four dissimilarities — Bray–Curtis, Jaccard, unweighted and weighted UniFrac — and four alpha indices — observed richness, Shannon, inverse Simpson and Faith's phylogenetic diversity — are reported per tissue. Because resequencing one library recovers only 48 % of the ASVs present at 1–3 reads (Results), a result is stated as established only where at least one abundance-weighted and one presence-based metric support it, and is otherwise reported as metric-dependent with the supporting metrics named; the rule is applied metric by metric, since Bray–Curtis patterns with the two presence-based dissimilarities whereas weighted UniFrac stands apart. Running text quotes Shannon and Bray–Curtis, the remaining metrics being reported alongside.</w:t>
      </w:r>
      <w:r>
        <w:rPr>
          <w:i/>
          <w:color w:val="888888"/>
          <w:sz w:val="18"/>
        </w:rPr>
      </w:r>
      <w:r>
        <w:rPr>
          <w:i/>
          <w:color w:val="888888"/>
          <w:sz w:val="18"/>
        </w:rPr>
        <w:t xml:space="preserve"> [Phrase retirée au resserrement du 2026-10-05 : « The choice of a differential-abundance method remains to be fixed. » Aucune analyse d'abondance différentielle n'est rapportée ; à trancher par JF.]</w:t>
      </w:r>
    </w:p>
    <w:p>
      <w:pPr>
        <w:pStyle w:val="Heading2"/>
      </w:pPr>
      <w:r>
        <w:rPr>
          <w:i w:val="0"/>
          <w:color w:val="1F4E79"/>
        </w:rPr>
        <w:t>8.8 Technical replication structure</w:t>
      </w:r>
    </w:p>
    <w:p>
      <w:pPr/>
      <w:r>
        <w:rPr>
          <w:color w:val="1F4E79"/>
        </w:rPr>
        <w:t>Technical replication was assessed in two ways. Each pair of runs was compared within sample after rarefaction to a common depth, on the 548 samples reaching 3,000 reads in all three runs, so that detection probability is identical by construction; Bray–Curtis and Jaccard dissimilarities and the recapture of rare ASVs (1–3 reads) were contrasted between the pair of runs sharing a library and the two library-crossing pairs with paired Wilcoxon tests. The variance attributable to library preparation and to sequencing run was then estimated by PERMANOVA on Bray–Curtis distances over the 1,784 rarefied samples, with the technical terms entered first so that they absorb the maximum variance a sequential decomposition can assign them, followed by tissue and fish identity.</w:t>
      </w:r>
    </w:p>
    <w:p>
      <w:pPr>
        <w:pStyle w:val="Heading2"/>
      </w:pPr>
      <w:r>
        <w:rPr>
          <w:i w:val="0"/>
          <w:color w:val="1F4E79"/>
        </w:rPr>
        <w:t>8.9 Plate position</w:t>
      </w:r>
      <w:r>
        <w:rPr>
          <w:i w:val="0"/>
        </w:rPr>
      </w:r>
    </w:p>
    <w:p>
      <w:pPr/>
      <w:r/>
      <w:r>
        <w:rPr>
          <w:b w:val="0"/>
          <w:i w:val="0"/>
        </w:rPr>
      </w:r>
      <w:r>
        <w:rPr>
          <w:b w:val="0"/>
          <w:i w:val="0"/>
          <w:color w:val="1F4E79"/>
        </w:rPr>
        <w:t xml:space="preserve">Individuals were numbered in the field in sampling order, which is not random with respect to genotype: the more fragile nases were processed first, except at one station (Saint-Just-d'Ardèche), </w:t>
      </w:r>
      <w:r>
        <w:rPr>
          <w:b w:val="0"/>
          <w:i w:val="0"/>
          <w:color w:val="1F4E79"/>
        </w:rPr>
        <w:t>and plates were loaded in processing order within every fishing campaign (Spearman ρ between individual number and plate column within campaigns, 0.55–0.95)</w:t>
      </w:r>
      <w:r>
        <w:rPr>
          <w:b w:val="0"/>
          <w:i w:val="0"/>
          <w:color w:val="1F4E79"/>
        </w:rPr>
        <w:t>. Genotypic category and plate column are accordingly strongly associated (Cramér's V = 0.53 in pass 1 and 0.48 in pass 2, computed on individuals). Whether plate position affects composition was therefore tested rather than assumed. Rarefaction equalises depth, so a test on read depth would not have answered the question; PERMANOVA was run on composition, stratified by tissue, with permutations constrained within station blocks so that a detected column effect cannot be a station effect, and with each sequencing run analysed separately, plate position being identical across runs.</w:t>
      </w:r>
    </w:p>
    <w:p>
      <w:pPr>
        <w:pStyle w:val="Heading2"/>
      </w:pPr>
      <w:r>
        <w:rPr>
          <w:color w:val="1F4E79"/>
        </w:rPr>
        <w:t>8.10 Alpha diversity</w:t>
      </w:r>
    </w:p>
    <w:p>
      <w:pPr/>
      <w:r>
        <w:rPr>
          <w:color w:val="1F4E79"/>
        </w:rPr>
        <w:t xml:space="preserve">Alpha diversity was summarised per individual and tissue as the mean over the three runs of the four rarefied indices, analysed on the log scale. First, external (caudal fin, gill) and internal (midgut, hindgut) compartments, and midgut and hindgut, were contrasted within individual by paired t-tests on log values, with Wilcoxon signed-rank tests alongside, and expressed as ratios of geometric means with 95 % confidence intervals. Second, the variance of log alpha diversity over the 1,784 rarefied samples was partitioned by a linear model with tissue, site-year, individual, library preparation and sequencing run, reporting sequential and marginal shares. Third, genotypic category was tested per tissue and pass by ordinary least squares, log(index) ~ station + category, with an F test of the category term and the contrasts hybrid − </w:t>
      </w:r>
      <w:r>
        <w:rPr>
          <w:i/>
          <w:color w:val="1F4E79"/>
        </w:rPr>
        <w:t>C. nasus</w:t>
      </w:r>
      <w:r>
        <w:rPr>
          <w:color w:val="1F4E79"/>
        </w:rPr>
        <w:t xml:space="preserve">, hybrid − </w:t>
      </w:r>
      <w:r>
        <w:rPr>
          <w:i/>
          <w:color w:val="1F4E79"/>
        </w:rPr>
        <w:t>P. toxostoma</w:t>
      </w:r>
      <w:r>
        <w:rPr>
          <w:color w:val="1F4E79"/>
        </w:rPr>
        <w:t xml:space="preserve"> and hybrid − parental midpoint with 95 % confidence intervals; plate position was added as a covariate in a sensitivity model. Hybrids were classified as intermediate when their estimate lay between the two parental estimates and did not differ from their midpoint; as dominant when their interval included one parent and excluded the other; as transgressive when their estimate lay beyond the parental range with an interval excluding the nearer parent; and as undetermined when no criterion or more than one was met. This rule, and the controls of §8.12, were declared before computation.</w:t>
      </w:r>
    </w:p>
    <w:p>
      <w:pPr>
        <w:pStyle w:val="Heading2"/>
      </w:pPr>
      <w:r>
        <w:rPr>
          <w:color w:val="1F4E79"/>
        </w:rPr>
        <w:t>8.11 Four-dimensional (4H) index</w:t>
      </w:r>
    </w:p>
    <w:p>
      <w:pPr/>
      <w:r>
        <w:rPr>
          <w:color w:val="1F4E79"/>
        </w:rPr>
        <w:t xml:space="preserve">The 4H index [14] was computed with the R package HybridMicrobiomes 0.1.1 [49] and phyloseq [50] on three host classes — </w:t>
      </w:r>
      <w:r>
        <w:rPr>
          <w:i/>
          <w:color w:val="1F4E79"/>
        </w:rPr>
        <w:t>C. nasus</w:t>
      </w:r>
      <w:r>
        <w:rPr>
          <w:color w:val="1F4E79"/>
        </w:rPr>
        <w:t xml:space="preserve">, hybrids and </w:t>
      </w:r>
      <w:r>
        <w:rPr>
          <w:i/>
          <w:color w:val="1F4E79"/>
        </w:rPr>
        <w:t>P. toxostoma</w:t>
      </w:r>
      <w:r>
        <w:rPr>
          <w:color w:val="1F4E79"/>
        </w:rPr>
        <w:t xml:space="preserve"> — in each pass, tissue and sequencing run. Its parameters and reading rules were fixed in a document committed before any index was computed: core fraction ρ = 0.5 at genus rank, with sensitivity at ρ = 0.3 and 0.7 and at family rank, and no abundance threshold (ϑ = ε = 0); ρ ≥ 0.8 was excluded because the Intersection dimension vanishes there on the published natural hybrid system. Counts were aggregated to genus — 48.6 % of ASVs, carrying 64.1 % of reads, were assigned to a genus (family: 77.9 % and 90.6 %) — and unassigned ASVs were excluded. Samples carrying at least 1,000 genus-assigned reads (1,749 of the 1,784 rarefied samples) were rarefied to that depth at each of 500 bootstraps; on the published natural hybrid system the parental axis varies by at most 0.067 between 1,000 and 10,000 reads [14]. Each bootstrap drew without replacement the same number of hosts N from each class, N being one less than the smallest class of pass 1 in the stratum (9 in the caudal fin, 10–19 elsewhere), and the same N was applied to pass 2; pass 2 was also computed at its own N. The abundance-based version of the index, the pre-analysis of core fractions, the null plane and a null hybrid averaging one randomly drawn individual of each parental species were computed with the same settings. An axis — parental (Union + Intersection) or transgressive (Gain + Loss) — was called dominant when it exceeded 0.5 in all three runs, and robust when the same axis also dominated at ρ = 0.3, at ρ = 0.7, at family rank and in the abundance-based version; two compartments were called different when the 95 % bootstrap intervals of the transgressive axis were disjoint in all three runs. The PERMANOVA comparison of bootstrap sets offered by the package was not used, because its p-value decreases with the arbitrarily chosen number of bootstraps. Preferential retention of the taxa shared by both parents was inferred when more than 95 % of bootstraps lay on the Intersection side of the null plane in all three runs.</w:t>
      </w:r>
    </w:p>
    <w:p>
      <w:pPr>
        <w:pStyle w:val="Heading2"/>
      </w:pPr>
      <w:r>
        <w:rPr>
          <w:color w:val="1F4E79"/>
        </w:rPr>
        <w:t>8.12 Pre-declared controls</w:t>
      </w:r>
    </w:p>
    <w:p>
      <w:pPr/>
      <w:r>
        <w:rPr>
          <w:color w:val="1F4E79"/>
        </w:rPr>
        <w:t xml:space="preserve">Four further controls were declared, with their reading rules, in a document committed before computation, and their verdicts were applied by script. (i) Whether the attenuation of the caudal-fin signal at 500 reads reflects depth or the sample set: the 500-read matrices were restricted to the samples retained at 3,000 reads. (ii) Whether near-parental hybrids dilute the caudal-fin contrast: 19 </w:t>
      </w:r>
      <w:r>
        <w:rPr>
          <w:i/>
          <w:color w:val="1F4E79"/>
        </w:rPr>
        <w:t>P. toxostoma</w:t>
      </w:r>
      <w:r>
        <w:rPr>
          <w:color w:val="1F4E79"/>
        </w:rPr>
        <w:t xml:space="preserve"> and 3 </w:t>
      </w:r>
      <w:r>
        <w:rPr>
          <w:i/>
          <w:color w:val="1F4E79"/>
        </w:rPr>
        <w:t>C. nasus</w:t>
      </w:r>
      <w:r>
        <w:rPr>
          <w:color w:val="1F4E79"/>
        </w:rPr>
        <w:t xml:space="preserve"> drawn from the stations of the near-parental individuals were relabelled as hybrids in pass 1 (20 draws), and near-parental hybrids of </w:t>
      </w:r>
      <w:r>
        <w:rPr>
          <w:i/>
          <w:color w:val="1F4E79"/>
        </w:rPr>
        <w:t>P. toxostoma</w:t>
      </w:r>
      <w:r>
        <w:rPr>
          <w:color w:val="1F4E79"/>
        </w:rPr>
        <w:t xml:space="preserve"> background were compared directly with pure </w:t>
      </w:r>
      <w:r>
        <w:rPr>
          <w:i/>
          <w:color w:val="1F4E79"/>
        </w:rPr>
        <w:t>P. toxostoma</w:t>
      </w:r>
      <w:r>
        <w:rPr>
          <w:color w:val="1F4E79"/>
        </w:rPr>
        <w:t xml:space="preserve"> and with intermediate hybrids. (iii) The classification of hybrid alpha diversity described in §8.10. (iv) Whether plate column and processing order can be separated, by the Spearman correlation between individual number and plate column within each fishing campaign.</w:t>
      </w:r>
    </w:p>
    <w:p>
      <w:pPr>
        <w:pStyle w:val="Heading1"/>
      </w:pPr>
      <w:r>
        <w:t>9. Reproducibility and data availability</w:t>
      </w:r>
    </w:p>
    <w:p>
      <w:r>
        <w:rPr>
          <w:b w:val="0"/>
          <w:i w:val="0"/>
        </w:rPr>
        <w:t>All processing steps are scripted, version-controlled with git and logged (runs.log), with parameter choices justified in the script headers; metadata corrections are traced by explicit flags rather than applied silently.</w:t>
      </w:r>
      <w:r>
        <w:rPr>
          <w:b w:val="0"/>
          <w:i w:val="0"/>
          <w:color w:val="1F4E79"/>
        </w:rPr>
        <w:t xml:space="preserve"> The code is publicly available at https://github.com/martinjfsupagro/microbiome-hybrid.</w:t>
      </w:r>
    </w:p>
    <w:p>
      <w:r>
        <w:rPr>
          <w:color w:val="1F4E79"/>
        </w:rPr>
        <w:t>Raw sequence data have been deposited in the European Nucleotide Archive (ENA) under accession PRJEB124417: 768 samples and 2,304 sequencing runs (4,608 FASTQ files, 11.7 GB), with run titles encoding the nested replication structure of §8.8, sample metadata following the GSC MIxS host-associated checklist (ERC000013), and controls, mock aliquots and empty wells included and identified as such. Per-run accessions, file names and MD5 checksums are given in Supplementary Table S7.</w:t>
      </w:r>
    </w:p>
    <w:p>
      <w:r>
        <w:rPr>
          <w:color w:val="1F4E79"/>
        </w:rPr>
        <w:t>ENA metadata were corrected after the initial deposit to field-record coordinates, exact collection dates and genotype-resolved host identities, without altering any accession, alias or sequence file (Supplementary Note S2); host subject identifiers are reused between years (Supplementary Note S3). Collection dates are given at day resolution for every station except Pertuis, where the two 2014 fishing campaigns are deposited as the interval 2014-07-07/2014-08-20.</w:t>
      </w:r>
    </w:p>
    <w:p>
      <w:pPr/>
      <w:r>
        <w:rPr>
          <w:i/>
          <w:color w:val="888888"/>
          <w:sz w:val="18"/>
        </w:rPr>
        <w:t>[Pertuis : les individus sont désormais assignés à leur campagne (série 1011-1014 au 07/07/2014, série 2011-2015 au 20/08/2014 — André, 2026-09-30). La table de correction ena_deposit/ena_corrections_pertuis_dates.tsv est prête (44 échantillons) mais n'est pas encore soumise ; remplacer l'intervalle par les deux dates ici une fois le MODIFY passé.]</w:t>
      </w:r>
    </w:p>
    <w:p>
      <w:pPr/>
      <w:r>
        <w:rPr>
          <w:i/>
          <w:color w:val="888888"/>
          <w:sz w:val="18"/>
        </w:rPr>
        <w:t>[À COMPLÉTER : DOI Zenodo de la version utilisée pour l'article, le cas échéant (question 2.7, non tranché). Dépôt GitHub public (JF, 2026-10-03) ; vérifier que le miroir public est à jour au moment de la soumission — le 2026-10-03 il s'arrêtait au commit du 2026-09-25.]</w:t>
      </w:r>
    </w:p>
    <w:p>
      <w:pPr>
        <w:pStyle w:val="Title"/>
      </w:pPr>
      <w:r>
        <w:rPr>
          <w:color w:val="1F4E79"/>
        </w:rPr>
        <w:t>Results</w:t>
      </w:r>
    </w:p>
    <w:p>
      <w:pPr>
        <w:pStyle w:val="Heading1"/>
      </w:pPr>
      <w:r>
        <w:rPr>
          <w:color w:val="1F4E79"/>
        </w:rPr>
        <w:t>Genotypic design and its entanglement with station</w:t>
      </w:r>
    </w:p>
    <w:p>
      <w:pPr/>
      <w:r>
        <w:rPr>
          <w:color w:val="1F4E79"/>
        </w:rPr>
        <w:t xml:space="preserve">The 180 fish comprised 59 </w:t>
      </w:r>
      <w:r>
        <w:rPr>
          <w:i/>
          <w:color w:val="1F4E79"/>
        </w:rPr>
        <w:t>C. nasus</w:t>
      </w:r>
      <w:r>
        <w:rPr>
          <w:color w:val="1F4E79"/>
        </w:rPr>
        <w:t xml:space="preserve">, 42 hybrids and 79 </w:t>
      </w:r>
      <w:r>
        <w:rPr>
          <w:i/>
          <w:color w:val="1F4E79"/>
        </w:rPr>
        <w:t>P. toxostoma</w:t>
      </w:r>
      <w:r>
        <w:rPr>
          <w:color w:val="1F4E79"/>
        </w:rPr>
        <w:t xml:space="preserve">, unevenly distributed across the nine stations (Fig. 1a). Near-parental hybrids carry a median hybrid index close to that of one parent but an inter-chromosome discordance D of 0.15–0.60, against at most 0.12 in parental individuals (Fig. 1b); categories were assigned from chromosome-level assignments rather than by thresholding either quantity (§1). Of the 22 near-parental hybrids, 19 have a </w:t>
      </w:r>
      <w:r>
        <w:rPr>
          <w:i/>
          <w:color w:val="1F4E79"/>
        </w:rPr>
        <w:t>P. toxostoma</w:t>
      </w:r>
      <w:r>
        <w:rPr>
          <w:color w:val="1F4E79"/>
        </w:rPr>
        <w:t xml:space="preserve"> background and 3 a </w:t>
      </w:r>
      <w:r>
        <w:rPr>
          <w:i/>
          <w:color w:val="1F4E79"/>
        </w:rPr>
        <w:t>C. nasus</w:t>
      </w:r>
      <w:r>
        <w:rPr>
          <w:color w:val="1F4E79"/>
        </w:rPr>
        <w:t xml:space="preserve"> background.</w:t>
      </w:r>
    </w:p>
    <w:p>
      <w:pPr/>
      <w:r/>
      <w:r>
        <w:rPr>
          <w:b w:val="0"/>
          <w:i w:val="0"/>
        </w:rPr>
      </w:r>
      <w:r>
        <w:rPr>
          <w:b w:val="0"/>
          <w:i w:val="0"/>
          <w:color w:val="1F4E79"/>
        </w:rPr>
      </w:r>
      <w:r>
        <w:rPr>
          <w:b w:val="0"/>
          <w:i w:val="0"/>
          <w:color w:val="1F4E79"/>
        </w:rPr>
      </w:r>
      <w:r>
        <w:rPr>
          <w:b w:val="0"/>
          <w:i w:val="0"/>
          <w:color w:val="1F4E79"/>
        </w:rPr>
      </w:r>
      <w:r>
        <w:rPr>
          <w:b w:val="0"/>
          <w:i w:val="0"/>
        </w:rPr>
      </w:r>
      <w:r>
        <w:rPr>
          <w:b w:val="0"/>
          <w:i w:val="0"/>
        </w:rPr>
      </w:r>
      <w:r>
        <w:rPr>
          <w:b w:val="0"/>
          <w:i w:val="0"/>
          <w:color w:val="1F4E79"/>
        </w:rPr>
        <w:t>Genotypic category is entangled with both the spatial and the technical axes, and the entanglement is a property of the design rather than a caveat of presentation. Between stations, category is confounded with station: of nine stations, three carry all three categories (74 individuals in pass 2, 65 in pass 1, where Saint-Just-d'Ardèche retains a single hybrid), the others one or two. Within those three stations, category and plate column are in turn strongly associated, because field numbering followed sampling order (</w:t>
      </w:r>
      <w:r>
        <w:rPr>
          <w:b w:val="0"/>
          <w:i w:val="0"/>
          <w:color w:val="1F4E79"/>
        </w:rPr>
        <w:t>§8.9</w:t>
      </w:r>
      <w:r>
        <w:rPr>
          <w:b w:val="0"/>
          <w:i w:val="0"/>
          <w:color w:val="1F4E79"/>
        </w:rPr>
        <w:t>). The sub-design in which category and position are fully separable at constant station comprises 31 individuals in pass 1 and 32 in pass 2, too few to carry a principal test. One station, Rosières, carries category and position independently (Cramér's V = 0.18, p = 0.35, in pass 2) and serves as a small clean witness; in pass 1 it retains a single hybrid and cannot witness a category effect.</w:t>
      </w:r>
    </w:p>
    <w:p>
      <w:pPr>
        <w:pStyle w:val="Heading1"/>
      </w:pPr>
      <w:r>
        <w:rPr>
          <w:color w:val="1F4E79"/>
        </w:rPr>
        <w:t>Technical variation is small relative to biological variation</w:t>
      </w:r>
    </w:p>
    <w:p>
      <w:pPr/>
      <w:r>
        <w:rPr>
          <w:color w:val="1F4E79"/>
        </w:rPr>
        <w:t>The two runs sharing a library were markedly more similar to each other (mean Bray–Curtis 0.118, Jaccard 0.445) than either was to the run from the independent library (0.248 and 0.720 respectively; 548 samples reaching 3,000 reads in all three runs, §8.8); the two library-crossing comparisons were statistically indistinguishable from each other (paired Wilcoxon, p = 0.48) and both differed from the within-library comparison (p &lt; 10⁻⁸⁹). Recapture of rare ASVs (1–3 reads) showed the same pattern (0.48 within library vs 0.19 across): library preparation roughly doubles the technical dissimilarity contributed by sequencing alone, with a proportionally larger effect on presence–absence than on relative abundances. Sequencing run was accordingly modelled as nested within library preparation; because each sample is present in every batch, technical and biological factors are crossed rather than confounded, and no batch correction was applied.</w:t>
      </w:r>
    </w:p>
    <w:p>
      <w:pPr/>
      <w:r>
        <w:rPr>
          <w:color w:val="1F4E79"/>
        </w:rPr>
        <w:t>Relative to the biological signal, this technical variation is negligible. With the technical terms entered first, library preparation explained 0.03 % of the Bray–Curtis variance over the 1,784 rarefied samples (R² = 0.0003, p = 0.63) and sequencing run within library 0.005 % (p = 1.00), against 9.2 % for tissue and 37.7 % for fish identity (both p = 0.002); library preparation cannot be tested marginally, being aliased with run label. Mean Bray–Curtis dissimilarity was 0.13 between two sequencing runs of one library and 0.25 across libraries, against 0.88 between different fish of the same tissue and 0.94 across tissues.</w:t>
      </w:r>
    </w:p>
    <w:p>
      <w:pPr>
        <w:pStyle w:val="Heading1"/>
      </w:pPr>
      <w:r>
        <w:rPr>
          <w:color w:val="1F4E79"/>
        </w:rPr>
        <w:t>Plate position</w:t>
      </w:r>
    </w:p>
    <w:p>
      <w:pPr/>
      <w:r>
        <w:rPr>
          <w:color w:val="1F4E79"/>
        </w:rPr>
        <w:t xml:space="preserve">Plate column affected composition. </w:t>
      </w:r>
      <w:r/>
      <w:r>
        <w:rPr>
          <w:b w:val="0"/>
          <w:i w:val="0"/>
        </w:rPr>
      </w:r>
      <w:r>
        <w:rPr>
          <w:b w:val="0"/>
          <w:i w:val="0"/>
          <w:color w:val="1F4E79"/>
        </w:rPr>
      </w:r>
      <w:r>
        <w:rPr>
          <w:b w:val="0"/>
          <w:i w:val="0"/>
          <w:color w:val="1F4E79"/>
        </w:rPr>
        <w:t>The effect is present in all 24 strata (12 tissue × run strata × 2 metrics) in both passes (p ≤ 0.033 in pass 1, p ≤ 0.007 in pass 2), replicated across the three runs; it does not depend on category labels, and the two passes differ only by the 22 individuals excluded from pass 1. Because the terms differ in degrees of freedom, effect sizes are reported relative to their expectation under the null, R2/(df/(n−1)): plate column reaches 1.84 in pass 1 and 1.95 in pass 2 (median R2 = 0.152 and 0.141, 11 df), the same order as genotypic category fitted after column (1.61 and 1.77; median R2 = 0.026 and 0.024, 2 df; significant in 19 and 18 of 24 strata) and below station (3.32 and 3.69; median R2 = 0.204 and 0.196, 8 df). Supplementary Table S</w:t>
      </w:r>
      <w:r>
        <w:rPr>
          <w:b w:val="0"/>
          <w:i w:val="0"/>
          <w:color w:val="1F4E79"/>
        </w:rPr>
        <w:t>8</w:t>
      </w:r>
      <w:r>
        <w:rPr>
          <w:b w:val="0"/>
          <w:i w:val="0"/>
          <w:color w:val="1F4E79"/>
        </w:rPr>
        <w:t xml:space="preserve"> and Figure S2.</w:t>
      </w:r>
      <w:r>
        <w:rPr>
          <w:color w:val="1F4E79"/>
        </w:rPr>
      </w:r>
    </w:p>
    <w:p>
      <w:pPr/>
      <w:r>
        <w:rPr>
          <w:color w:val="1F4E79"/>
        </w:rPr>
        <w:t xml:space="preserve">Three witnesses separate this effect from the biology it could be mistaken for. Within a single genotypic category, where a column effect cannot be a category effect, it persists but more weakly: among </w:t>
      </w:r>
      <w:r>
        <w:rPr>
          <w:i/>
          <w:color w:val="1F4E79"/>
        </w:rPr>
        <w:t>P. toxostoma</w:t>
      </w:r>
      <w:r>
        <w:rPr>
          <w:color w:val="1F4E79"/>
        </w:rPr>
        <w:t xml:space="preserve"> alone in 17 of 24 strata in both passes (ratio 1.65), among </w:t>
      </w:r>
      <w:r>
        <w:rPr>
          <w:i/>
          <w:color w:val="1F4E79"/>
        </w:rPr>
        <w:t>C. nasus</w:t>
      </w:r>
      <w:r>
        <w:rPr>
          <w:color w:val="1F4E79"/>
        </w:rPr>
        <w:t xml:space="preserve"> alone in 6 (pass 1) and 7 (pass 2) of 24 (ratio 1.63); hybrids alone are too few to be tested, and the only single-category station (Chavannes-sur-Suran, 19 </w:t>
      </w:r>
      <w:r>
        <w:rPr>
          <w:i/>
          <w:color w:val="1F4E79"/>
        </w:rPr>
        <w:t>P. toxostoma</w:t>
      </w:r>
      <w:r>
        <w:rPr>
          <w:color w:val="1F4E79"/>
        </w:rPr>
        <w:t>) is too small for a separate witness. In the symmetric ordering with category fitted first, column still contributes (21 and 22 of 24 strata). And plate row is significant in 7 and 6 of 24 strata and plate edge in none, making the effect specific to column, as expected of an effect tracking processing order rather than evaporation or thermal gradients. The mechanism of the column effect is not identified: extraction order, reagent-batch drift within a plate, cross-contamination between adjacent wells and the delay between capture and dissection are not separated by these data, and no negative control isolates any of them.</w:t>
      </w:r>
    </w:p>
    <w:p>
      <w:pPr/>
      <w:r>
        <w:rPr>
          <w:color w:val="1F4E79"/>
        </w:rPr>
        <w:t>Within every fishing campaign, plate column followed the order in which fish were processed (Spearman ρ between individual number and plate column, 0.55–0.95 over 12 station-year campaigns; §8.9 and §8.12), so that in this design the column effect cannot be separated from processing order, and therefore from the time each fish spent in the holding tank before dissection.</w:t>
      </w:r>
      <w:r>
        <w:rPr>
          <w:i/>
          <w:color w:val="888888"/>
          <w:sz w:val="18"/>
        </w:rPr>
        <w:t xml:space="preserve"> [ρ recalculé par scripts/40-verif_article_v2.py (results/verif_article/spearman_toutes_campagnes.tsv) : 0,548–0,950. Les deux campagnes de Pertuis 2014 sont agrégées ; Pont-d'Ain 2014 (moins de 4 poissons) n'est pas calculable.]</w:t>
      </w:r>
    </w:p>
    <w:p>
      <w:pPr/>
      <w:r>
        <w:rPr>
          <w:i/>
          <w:color w:val="888888"/>
          <w:sz w:val="18"/>
        </w:rPr>
        <w:t>[À reformuler après l'arbitrage D2 de JF : « the delay between capture and dissection » ne correspond plus au protocole. Les poissons sont gardés vivants en vivier jusqu'à la dissection, 4–6 min par poisson (André, 2026-10-03) ; le confondant est la durée de séjour en vivier, c'est-à-dire l'ordre de traitement. Dans chaque campagne, la colonne suit cet ordre, et le test du 2026-10-03 ne peut pas séparer les deux (RESULTATS R32, docs/recalcul/note_tests_2026-10-03.md).]</w:t>
      </w:r>
    </w:p>
    <w:p>
      <w:pPr>
        <w:pStyle w:val="Heading1"/>
      </w:pPr>
      <w:r>
        <w:rPr>
          <w:color w:val="1F4E79"/>
        </w:rPr>
        <w:t>Alpha diversity</w:t>
      </w:r>
    </w:p>
    <w:p>
      <w:pPr/>
      <w:r>
        <w:rPr>
          <w:color w:val="1F4E79"/>
        </w:rPr>
        <w:t>Alpha diversity was higher in the external than in the internal compartments on all four indices (Fig. 2): the ratio of geometric means was 1.51 for Shannon (95 % confidence interval 1.40–1.64), 3.00 for inverse Simpson (2.48–3.63), 1.93 for observed richness (1.71–2.18) and 1.62 for Faith's phylogenetic diversity (1.50–1.76; n = 174 individuals; Wilcoxon p ≤ 4.6 × 10⁻¹⁷). The midgut was less diverse than the hindgut on the two unweighted indices only — observed richness, ratio 0.83 (p = 0.009), and Faith's phylogenetic diversity, 0.87 (p = 0.003) — and not on Shannon (0.94, p = 0.18) or inverse Simpson (0.87, p = 0.25; n = 136), so that this contrast is metric-dependent under the rule of §8.7. Tissue was the largest identifiable source of variance in log alpha diversity (marginal share 19–26 % depending on the index), followed by individual (17–21 %) and site-year (10–14 %, sequential share), with technical terms contributing at most 0.3 % and a residual of 38–45 %; the order of the factors was the same on the four indices.</w:t>
      </w:r>
    </w:p>
    <w:p>
      <w:pPr/>
      <w:r>
        <w:rPr>
          <w:color w:val="1F4E79"/>
        </w:rPr>
        <w:t xml:space="preserve">Hybrids were transgressive in none of the 32 combinations of pass, tissue and index (Fig. 2). The only classification supported by both an abundance-weighted and a presence-based index was dominance of </w:t>
      </w:r>
      <w:r>
        <w:rPr>
          <w:i/>
          <w:color w:val="1F4E79"/>
        </w:rPr>
        <w:t>C. nasus</w:t>
      </w:r>
      <w:r>
        <w:rPr>
          <w:color w:val="1F4E79"/>
        </w:rPr>
        <w:t xml:space="preserve"> — hybrids not distinguishable from </w:t>
      </w:r>
      <w:r>
        <w:rPr>
          <w:i/>
          <w:color w:val="1F4E79"/>
        </w:rPr>
        <w:t>C. nasus</w:t>
      </w:r>
      <w:r>
        <w:rPr>
          <w:color w:val="1F4E79"/>
        </w:rPr>
        <w:t xml:space="preserve"> but distinct from </w:t>
      </w:r>
      <w:r>
        <w:rPr>
          <w:i/>
          <w:color w:val="1F4E79"/>
        </w:rPr>
        <w:t>P. toxostoma</w:t>
      </w:r>
      <w:r>
        <w:rPr>
          <w:color w:val="1F4E79"/>
        </w:rPr>
        <w:t xml:space="preserve"> — in the caudal fin in pass 1 (four indices of four; p for category 0.012–0.128) and in the midgut in pass 2 (three of four; p = 0.040–0.111). The first was unchanged with plate position as a covariate; the second was not, two indices becoming intermediate and two undetermined. Five of the 32 principal tests reached p &lt; 0.05, without correction for multiplicity, and dominance denotes here the absence of a detectable difference from </w:t>
      </w:r>
      <w:r>
        <w:rPr>
          <w:i/>
          <w:color w:val="1F4E79"/>
        </w:rPr>
        <w:t>C. nasus</w:t>
      </w:r>
      <w:r>
        <w:rPr>
          <w:color w:val="1F4E79"/>
        </w:rPr>
        <w:t>, not an equality.</w:t>
      </w:r>
      <w:r>
        <w:rPr>
          <w:i/>
          <w:color w:val="888888"/>
          <w:sz w:val="18"/>
        </w:rPr>
        <w:t xml:space="preserve"> [Non testé : C. nasus étant en général traité en premier (§1), le classement « dominant Cn » pourrait refléter l'ordre de traitement (RESULTATS R31). Le contraste femelles/mâles (R27) n'est pas rapporté tant que le code de sexe « X » n'est pas confirmé.]</w:t>
      </w:r>
    </w:p>
    <w:p>
      <w:pPr>
        <w:pStyle w:val="Heading1"/>
      </w:pPr>
      <w:r>
        <w:rPr>
          <w:color w:val="1F4E79"/>
        </w:rPr>
        <w:t>Composition by genotypic category</w:t>
      </w:r>
    </w:p>
    <w:p>
      <w:pPr/>
      <w:r>
        <w:rPr>
          <w:color w:val="1F4E79"/>
        </w:rPr>
        <w:t>Fitted in both orderings without plate position, genotypic category accounted for a median of 1.7 % to 2.8 % of compositional variance across the 48 metric × tissue × run strata in pass 1 and 1.4 % to 3.0 % in pass 2, against a median of 19 % and 18 % for station fitted after category (range across strata 14–36 % in pass 1 and 14–35 % in pass 2) and of 20.9 % and 20.1 % for station fitted first (Fig. 3c; Supplementary Table S9). No tissue is detected by all four metrics in all three runs under both permutation schemes, in either pass, with or without plate position (Fig. 3a, b), so a global statement that hybrids differ is not supportable. One result is robust to every choice made here — both passes, with and without plate position, all three runs and both permutation schemes: the midgut on Jaccard (p ≤ 0.044). The caudal fin on weighted UniFrac is detected in all three runs and both schemes in pass 1 (p = 0.007–0.024), with or without plate position, and in no run in pass 2 (p = 0.073–0.235). Removing 22 randomly chosen individuals from the 158 that are not introgressed, twenty times, never restored the caudal signal in pass 2, which attributes this displacement to the definition of hybrids rather than to sample size. At 500 reads the caudal signal is partial in pass 1 (three runs sequentially, p = 0.022–0.049; one of three with station fixed by blocks) and absent in pass 2; restricted to the samples retained at 3,000 reads, the 500-read matrices give the same result as at 3,000 reads (all three runs, both station-blocked schemes, p = 0.010–0.026), so that the attenuation reflects dilution by the caudal-fin samples that pass the threshold only at 500 reads, not depth. As at 3,000 reads, none of twenty random removals of 22 non-introgressed individuals from pass 2 reproduced the pass-1 pattern at 500 reads. The hindgut is the weakest tissue in pass 1 (only Jaccard is significant, in one run of three with station fixed by blocks) but in pass 2 all four metrics detect it in all three runs with station fixed by blocks; the witness does not resolve whether this difference reflects sample size or the definition of hybrids. The principal and sensitivity models differ in 7 of the 16 metric × tissue cells in each pass, of which 5 (pass 1) and 3 (pass 2) move between robust detection (three runs, both schemes), partial detection and none. The separable sub-design detects category in 3 of 48 tests in pass 1 and 1 of 48 in pass 2 (with plate position), and Rosières, in pass 2, detects it in the gill on Jaccard and unweighted UniFrac in all three runs (p = 0.010–0.030).</w:t>
      </w:r>
    </w:p>
    <w:p>
      <w:pPr/>
      <w:r>
        <w:rPr>
          <w:color w:val="1F4E79"/>
        </w:rPr>
        <w:t>Whether the loss of the caudal-fin signal between passes is produced by dilution of the hybrid–</w:t>
      </w:r>
      <w:r>
        <w:rPr>
          <w:i/>
          <w:color w:val="1F4E79"/>
        </w:rPr>
        <w:t>P. toxostoma</w:t>
      </w:r>
      <w:r>
        <w:rPr>
          <w:color w:val="1F4E79"/>
        </w:rPr>
        <w:t xml:space="preserve"> contrast by the 19 near-parental hybrids of </w:t>
      </w:r>
      <w:r>
        <w:rPr>
          <w:i/>
          <w:color w:val="1F4E79"/>
        </w:rPr>
        <w:t>P. toxostoma</w:t>
      </w:r>
      <w:r>
        <w:rPr>
          <w:color w:val="1F4E79"/>
        </w:rPr>
        <w:t xml:space="preserve"> background was tested (§8.12) and remains undetermined. Relabelling as hybrids 19 </w:t>
      </w:r>
      <w:r>
        <w:rPr>
          <w:i/>
          <w:color w:val="1F4E79"/>
        </w:rPr>
        <w:t>P. toxostoma</w:t>
      </w:r>
      <w:r>
        <w:rPr>
          <w:color w:val="1F4E79"/>
        </w:rPr>
        <w:t xml:space="preserve"> and 3 </w:t>
      </w:r>
      <w:r>
        <w:rPr>
          <w:i/>
          <w:color w:val="1F4E79"/>
        </w:rPr>
        <w:t>C. nasus</w:t>
      </w:r>
      <w:r>
        <w:rPr>
          <w:color w:val="1F4E79"/>
        </w:rPr>
        <w:t xml:space="preserve"> drawn from the stations of the near-parental individuals removed the pass-1 signal in 16 of 20 draws, so that such dilution is sufficient to produce the displacement; but the near-parental hybrids of </w:t>
      </w:r>
      <w:r>
        <w:rPr>
          <w:i/>
          <w:color w:val="1F4E79"/>
        </w:rPr>
        <w:t>P. toxostoma</w:t>
      </w:r>
      <w:r>
        <w:rPr>
          <w:color w:val="1F4E79"/>
        </w:rPr>
        <w:t xml:space="preserve"> background differed neither from pure </w:t>
      </w:r>
      <w:r>
        <w:rPr>
          <w:i/>
          <w:color w:val="1F4E79"/>
        </w:rPr>
        <w:t>P. toxostoma</w:t>
      </w:r>
      <w:r>
        <w:rPr>
          <w:color w:val="1F4E79"/>
        </w:rPr>
        <w:t xml:space="preserve"> (p = 0.28–0.60) nor from intermediate hybrids (p = 0.15–0.26; n = 25–26), so that dilution is not established.</w:t>
      </w:r>
      <w:r>
        <w:rPr>
          <w:i/>
          <w:color w:val="888888"/>
          <w:sz w:val="18"/>
        </w:rPr>
        <w:t xml:space="preserve"> [Médianes de station : 19 % et 18 % lorsque la station est servie après la catégorie (étendue 14–36 % et 14–35 %), 20,9 % et 20,1 % lorsqu'elle est servie en premier. La formulation « not as a result of it » a disparu au resserrement du 2026-10-05.]</w:t>
      </w:r>
    </w:p>
    <w:p>
      <w:pPr>
        <w:pStyle w:val="Heading1"/>
      </w:pPr>
      <w:r>
        <w:rPr>
          <w:color w:val="1F4E79"/>
        </w:rPr>
        <w:t>Dispersion</w:t>
      </w:r>
    </w:p>
    <w:p>
      <w:pPr/>
      <w:r>
        <w:rPr>
          <w:color w:val="1F4E79"/>
        </w:rPr>
        <w:t xml:space="preserve">The transgressive prediction in its dispersion form — hybrids more variable than both parental categories — was not supported in either pass (Fig. 4). With station fixed by blocks, hybrids were the least dispersed of the three categories in 22 of 48 tests in pass 1 and 32 of 48 in pass 2, against the third expected under no ordering (one-sided binomial p = 0.048 and 2.4 × 10⁻⁶), and the most dispersed in 18 and 10 (p = 0.32 and 0.98). Within the stations carrying all three categories, where a dispersion difference cannot be spatial, neither direction departed from chance: hybrids were the least dispersed in 25 of 68 tests in pass 1 and 39 of 120 in pass 2, and the most dispersed in 17 and 45. The lower dispersion of hybrids is therefore a pattern of the station-blocked analysis, clear in pass 2 only and carried mainly by Bray–Curtis (median difference between hybrids and the parental mean −0.068 in pass 2 and −0.008 in pass 1), the other metrics differing by less than 0.013. Significant tests in the transgressive direction numbered 3 in pass 1 (the gill on unweighted UniFrac in two runs and the caudal fin on weighted UniFrac in one) and none in pass 2 with station fixed by blocks, and none and 5 within stations, the five of pass 2 all concerning the gill at Saint-Just-d'Ardèche, where each stratum holds three or four </w:t>
      </w:r>
      <w:r>
        <w:rPr>
          <w:i/>
          <w:color w:val="1F4E79"/>
        </w:rPr>
        <w:t>P. toxostoma</w:t>
      </w:r>
      <w:r>
        <w:rPr>
          <w:color w:val="1F4E79"/>
        </w:rPr>
        <w:t>.</w:t>
      </w:r>
    </w:p>
    <w:p>
      <w:pPr/>
      <w:r>
        <w:rPr>
          <w:color w:val="1F4E79"/>
        </w:rPr>
        <w:t xml:space="preserve">Because PERMANOVA is sensitive to heterogeneous dispersion, this bears on the location results. With station fixed by blocks, dispersion in the caudal fin was homogeneous on all four metrics in pass 2 and in all but one test in pass 1 (weighted UniFrac, one run of three, p = 0.048, hybrids most dispersed), so that the caudal-fin location signal on weighted UniFrac in pass 1 is a difference in composition in two runs and cannot be separated from a dispersion difference in the third. The robust midgut signal on Jaccard was accompanied by homogeneous dispersion in pass 1 and in two runs of three in pass 2. By contrast, dispersion was heterogeneous in all three runs in the midgut on unweighted UniFrac in both passes and, in pass 2, in the midgut and hindgut on Bray–Curtis, </w:t>
      </w:r>
      <w:r>
        <w:rPr>
          <w:i/>
          <w:color w:val="1F4E79"/>
        </w:rPr>
        <w:t>P. toxostoma</w:t>
      </w:r>
      <w:r>
        <w:rPr>
          <w:color w:val="1F4E79"/>
        </w:rPr>
        <w:t xml:space="preserve"> being the most dispersed category there; the location signals on those metrics in those compartments cannot be separated from a dispersion effect. Because betadisper accepts no covariate, the plate-position effect is not adjusted for, and a category whose samples are more spread across plate columns could carry inflated dispersion. Supplementary Table S10 and Figure S3.</w:t>
      </w:r>
      <w:r>
        <w:rPr>
          <w:i/>
          <w:color w:val="888888"/>
          <w:sz w:val="18"/>
        </w:rPr>
        <w:t xml:space="preserve"> [Correction du 2026-10-03 : l'ancienne version de ces deux paragraphes, sans correction de petit effectif, donnait 32/48 (passe 1) et 34/48 (passe 2) en station bloquée, 45/68 intra-station en passe 1 et une dispersion hétérogène en caudale ; elle est retirée (docs/plan_permdisp_biais_2026-10-03.md, scripts 24 et 39). Table S</w:t>
      </w:r>
      <w:r>
        <w:rPr>
          <w:i/>
          <w:color w:val="888888"/>
          <w:sz w:val="18"/>
        </w:rPr>
        <w:t>10</w:t>
      </w:r>
      <w:r>
        <w:rPr>
          <w:i/>
          <w:color w:val="888888"/>
          <w:sz w:val="18"/>
        </w:rPr>
        <w:t xml:space="preserve"> et Figure S3 du supplément régénérées avec les valeurs corrigées le 2026-10-05 (scripts/41-supp_S10_S3.py).]</w:t>
      </w:r>
    </w:p>
    <w:p>
      <w:pPr>
        <w:pStyle w:val="Heading1"/>
      </w:pPr>
      <w:r>
        <w:rPr>
          <w:color w:val="1F4E79"/>
        </w:rPr>
        <w:t>Four-dimensional index</w:t>
      </w:r>
    </w:p>
    <w:p>
      <w:pPr/>
      <w:r>
        <w:rPr>
          <w:color w:val="1F4E79"/>
        </w:rPr>
        <w:t>Under the principal setting, the transgressive axis of the 4H index exceeded 0.5 in all three runs in the caudal fin, midgut and hindgut of both passes (Gain + Loss = 0.58–0.69), carried by the Loss model, whereas the parental axis dominated in the gill (Gain + Loss = 0.41–0.46), carried by Intersection (Fig. 5a). None of these transgressive readings was robust under the pre-declared rule (Fig. 5b): the abundance-based version placed all eight tissue × pass combinations on the parental axis, and at family rank the caudal fin also fell on the parental side. The only robust reading was the parental axis of the gill in pass 2; in pass 1 the gill was undetermined at ρ = 0.7. No pair of compartments was distinguished, the 95 % bootstrap intervals of the transgressive axis overlapping in at least one run for every pair, in both passes. In every tissue and both passes at least 98.4 % of bootstraps lay on the Intersection side of the null plane: hybrids preferentially retain the core taxa shared by both parental species. The core of hybrids represented less than half of the mean parental core in the midgut of pass 1 (two runs of three; ratio 0.45–0.64) and 0.51–1.07 of it elsewhere. Compared at equal N, passes 1 and 2 fell on the same axis in every tissue.</w:t>
      </w:r>
    </w:p>
    <w:p>
      <w:pPr/>
      <w:r>
        <w:rPr>
          <w:color w:val="1F4E79"/>
        </w:rPr>
        <w:t>Two observations lie outside the pre-declared rules and are reported as descriptions only. A null hybrid built by averaging one randomly drawn individual of each parental species already reached a transgressive share of 0.40–0.57; the observed share exceeded it by 0.08–0.15 in the caudal fin, 0.09–0.22 in the midgut and 0.03–0.13 in the hindgut, and differed from it by −0.04 to +0.06 in the gill (Fig. 5). Computed at its own, larger N (26–40 hosts per class), pass 2 moved the caudal fin to the parental axis (Gain + Loss = 0.42–0.47), while the midgut and hindgut remained on the transgressive side.</w:t>
      </w:r>
    </w:p>
    <w:p>
      <w:pPr>
        <w:pStyle w:val="Title"/>
      </w:pPr>
      <w:r>
        <w:rPr>
          <w:color w:val="1F4E79"/>
        </w:rPr>
        <w:t>Discussion</w:t>
      </w:r>
    </w:p>
    <w:p>
      <w:pPr/>
      <w:r>
        <w:rPr>
          <w:color w:val="1F4E79"/>
        </w:rPr>
        <w:t xml:space="preserve">Across alpha diversity, community dispersion and the 4H index, the microbiota of hybrids between </w:t>
      </w:r>
      <w:r>
        <w:rPr>
          <w:i/>
          <w:color w:val="1F4E79"/>
        </w:rPr>
        <w:t>C. nasus</w:t>
      </w:r>
      <w:r>
        <w:rPr>
          <w:color w:val="1F4E79"/>
        </w:rPr>
        <w:t xml:space="preserve"> and </w:t>
      </w:r>
      <w:r>
        <w:rPr>
          <w:i/>
          <w:color w:val="1F4E79"/>
        </w:rPr>
        <w:t>P. toxostoma</w:t>
      </w:r>
      <w:r>
        <w:rPr>
          <w:color w:val="1F4E79"/>
        </w:rPr>
        <w:t xml:space="preserve"> showed no transgressive pattern. Where hybrids could be placed relative to their parents, they fell within the parental range: dominance of </w:t>
      </w:r>
      <w:r>
        <w:rPr>
          <w:i/>
          <w:color w:val="1F4E79"/>
        </w:rPr>
        <w:t>C. nasus</w:t>
      </w:r>
      <w:r>
        <w:rPr>
          <w:color w:val="1F4E79"/>
        </w:rPr>
        <w:t xml:space="preserve"> in caudal-fin alpha diversity in pass 1, a parental, Intersection-dominated 4H index in the gill, and preferential retention of the core taxa shared by both parental species in every compartment. The departures detected in composition were small — genotypic category accounted for a median of 1.4–3.0 % of compositional variance against about a fifth for station — and confined to particular compartments, metrics and definitions of a hybrid. This places the system with natural hybrid zones in which the environmental component dominates [23, 24] rather than with those in which host ancestry does [21, 22], while keeping in view that a small genetic effect is the expected magnitude for a heritable but weakly heritable trait [9], detectable only once the spatial and technical axes have been separated [10].</w:t>
      </w:r>
    </w:p>
    <w:p>
      <w:pPr/>
      <w:r>
        <w:rPr>
          <w:color w:val="1F4E79"/>
        </w:rPr>
        <w:t>The expectation derived from Guivier et al. [31], that a hybrid signal would be most pronounced in the digestive compartments, is partly supported. The only compositional result that withstood every analytical choice concerned the midgut, on a presence-based metric, and in pass 2 both digestive compartments were detected by all four metrics with station fixed by blocks. But the caudal fin carried, in pass 1, a signal on weighted UniFrac that no digestive compartment showed on that metric, the gill was the compartment in which the 4H index was robustly parental, and the 4H index distinguished no pair of compartments. Hybrid status therefore does not matter equally in all compartments, but which compartment carries a difference depends on the metric. Requiring both an abundance-weighted and a presence-based metric makes this dependence explicit rather than resolving it; it also accounts for the 4H index, a presence-based construct in its principal form, departing from its abundance-based version in every compartment but the gill.</w:t>
      </w:r>
    </w:p>
    <w:p>
      <w:pPr/>
      <w:r>
        <w:rPr>
          <w:color w:val="1F4E79"/>
        </w:rPr>
        <w:t xml:space="preserve">How hybrids are defined mattered as much as which compartment is examined. The caudal-fin signal obtained with the 20 intermediate hybrids disappeared when the 22 near-parental individuals were added, and random removals of 22 non-introgressed fish never reproduced the displacement, which is therefore attributable to who is called a hybrid rather than to sample size; whether near-parental hybrids of </w:t>
      </w:r>
      <w:r>
        <w:rPr>
          <w:i/>
          <w:color w:val="1F4E79"/>
        </w:rPr>
        <w:t>P. toxostoma</w:t>
      </w:r>
      <w:r>
        <w:rPr>
          <w:color w:val="1F4E79"/>
        </w:rPr>
        <w:t xml:space="preserve"> background dilute the contrast because their microbiota resembles that of </w:t>
      </w:r>
      <w:r>
        <w:rPr>
          <w:i/>
          <w:color w:val="1F4E79"/>
        </w:rPr>
        <w:t>P. toxostoma</w:t>
      </w:r>
      <w:r>
        <w:rPr>
          <w:color w:val="1F4E79"/>
        </w:rPr>
        <w:t xml:space="preserve"> could not be established at the available sample size. In a mosaic hybrid zone [30] in which most introgressed individuals depart from a parental genome on a single chromosome, a hybrid class is a decision, and we suggest that studies of natural hybrid zones report their results under both definitions.</w:t>
      </w:r>
    </w:p>
    <w:p>
      <w:pPr/>
      <w:r>
        <w:rPr>
          <w:color w:val="1F4E79"/>
        </w:rPr>
        <w:t>That hybrids were not more dispersed than their parents runs against the expectation that genomes combining parental elements in variable proportions carry more variable microbiota. The opposite tendency, hybrids less dispersed than both parents, was clear only in pass 2 with station fixed by blocks, absent within stations and carried mainly by Bray–Curtis, and should not be read as a general property of hybrids here. The analysis also illustrates a pitfall of unbalanced designs: without correction for group size, the distance to the group centre is underestimated in small groups, and because hybrids were the smallest category in every stratum, the uncorrected analysis yielded a strong and apparently replicated reduction of hybrid dispersion — 32 of 48 station-blocked tests in pass 1 and 45 of 68 within stations — that largely disappeared once corrected. Hybrid classes are small in most natural hybrid zones, and the correction should be applied by default in that setting [48].</w:t>
      </w:r>
    </w:p>
    <w:p>
      <w:pPr/>
      <w:r>
        <w:rPr>
          <w:color w:val="1F4E79"/>
        </w:rPr>
        <w:t xml:space="preserve">The 4H index adds two points. First, in its abundance-based version — </w:t>
      </w:r>
      <w:r>
        <w:rPr>
          <w:color w:val="1F4E79"/>
        </w:rPr>
        <w:t>one of the two forms in which the framework's authors compared published systems [14]</w:t>
      </w:r>
      <w:r>
        <w:rPr>
          <w:color w:val="1F4E79"/>
        </w:rPr>
        <w:t xml:space="preserve"> — the index placed every compartment on the parental axis (Gain + Loss = 0.22–0.35), as in the </w:t>
      </w:r>
      <w:r>
        <w:rPr>
          <w:i/>
          <w:color w:val="1F4E79"/>
        </w:rPr>
        <w:t>Neotoma</w:t>
      </w:r>
      <w:r>
        <w:rPr>
          <w:color w:val="1F4E79"/>
        </w:rPr>
        <w:t xml:space="preserve"> woodrat system (0.12) and unlike the </w:t>
      </w:r>
      <w:r>
        <w:rPr>
          <w:i/>
          <w:color w:val="1F4E79"/>
        </w:rPr>
        <w:t>Aspidoscelis</w:t>
      </w:r>
      <w:r>
        <w:rPr>
          <w:color w:val="1F4E79"/>
        </w:rPr>
        <w:t xml:space="preserve"> lizard and </w:t>
      </w:r>
      <w:r>
        <w:rPr>
          <w:i/>
          <w:color w:val="1F4E79"/>
        </w:rPr>
        <w:t>Kikihia</w:t>
      </w:r>
      <w:r>
        <w:rPr>
          <w:color w:val="1F4E79"/>
        </w:rPr>
        <w:t xml:space="preserve"> cicada systems (0.71 and 0.64); since transgression has been associated with ecological success rather than with dysbiosis in a hybrid lizard [15], its absence here carries no implication for hybrid fitness either way. Second, as its authors found for a natural hybrid system, the index was sensitive to its settings: the choice between presence and abundance reversed the reading in three compartments of four, and in the caudal fin so did the number of hosts per class, from 9 to 26–27. A null hybrid built from parental individuals already sits close to the 0.5 boundary between the two axes, which makes that boundary a weak criterion for calling a hybrid microbiota transgressive. We therefore read the 4H index as a description of taxon membership conditional on its settings, not as an independent test of the intermediate, dominant and transgressive hypotheses.</w:t>
      </w:r>
    </w:p>
    <w:p>
      <w:pPr/>
      <w:r>
        <w:rPr>
          <w:color w:val="1F4E79"/>
        </w:rPr>
        <w:t xml:space="preserve">Four limits bound these conclusions. Genotypic category is confounded with station, and the three stations carrying all three categories hold 65–74 individuals, so that category effects are estimated mostly between stations. Plate position affected composition and followed processing order in every campaign; its mechanism — extraction order, reagent drift within a plate, cross-contamination between adjacent wells or time spent in the holding tank — is not identified, and because </w:t>
      </w:r>
      <w:r>
        <w:rPr>
          <w:i/>
          <w:color w:val="1F4E79"/>
        </w:rPr>
        <w:t>C. nasus</w:t>
      </w:r>
      <w:r>
        <w:rPr>
          <w:color w:val="1F4E79"/>
        </w:rPr>
        <w:t xml:space="preserve"> was generally processed first it could contribute to the dominance of </w:t>
      </w:r>
      <w:r>
        <w:rPr>
          <w:i/>
          <w:color w:val="1F4E79"/>
        </w:rPr>
        <w:t>C. nasus</w:t>
      </w:r>
      <w:r>
        <w:rPr>
          <w:color w:val="1F4E79"/>
        </w:rPr>
        <w:t xml:space="preserve"> in caudal-fin alpha diversity, which was not tested. Rarefaction to 3,000 reads retained intermediate hybrids less often than </w:t>
      </w:r>
      <w:r>
        <w:rPr>
          <w:i/>
          <w:color w:val="1F4E79"/>
        </w:rPr>
        <w:t>P. toxostoma</w:t>
      </w:r>
      <w:r>
        <w:rPr>
          <w:color w:val="1F4E79"/>
        </w:rPr>
        <w:t xml:space="preserve"> in the caudal fin, a selection that is declared but cannot be removed for presence-based metrics. And only 64 % of reads could be aggregated to genus for the 4H index, whose genus-level reading therefore rests on the better-assigned part of each community.</w:t>
      </w:r>
    </w:p>
    <w:p>
      <w:pPr>
        <w:pStyle w:val="Title"/>
      </w:pPr>
      <w:r>
        <w:rPr>
          <w:color w:val="1F4E79"/>
        </w:rPr>
        <w:t>Conclusions</w:t>
      </w:r>
    </w:p>
    <w:p>
      <w:pPr/>
      <w:r>
        <w:rPr>
          <w:color w:val="1F4E79"/>
        </w:rPr>
        <w:t xml:space="preserve">In a natural, mosaic hybrid zone between </w:t>
      </w:r>
      <w:r>
        <w:rPr>
          <w:i/>
          <w:color w:val="1F4E79"/>
        </w:rPr>
        <w:t>C. nasus</w:t>
      </w:r>
      <w:r>
        <w:rPr>
          <w:color w:val="1F4E79"/>
        </w:rPr>
        <w:t xml:space="preserve"> and </w:t>
      </w:r>
      <w:r>
        <w:rPr>
          <w:i/>
          <w:color w:val="1F4E79"/>
        </w:rPr>
        <w:t>P. toxostoma</w:t>
      </w:r>
      <w:r>
        <w:rPr>
          <w:color w:val="1F4E79"/>
        </w:rPr>
        <w:t xml:space="preserve">, the bacterial microbiota of hybrids lay within the parental range in four tissue compartments: no transgressive pattern was found in alpha diversity, </w:t>
      </w:r>
      <w:r>
        <w:rPr>
          <w:color w:val="1F4E79"/>
        </w:rPr>
        <w:t>community dispersion</w:t>
      </w:r>
      <w:r>
        <w:rPr>
          <w:color w:val="1F4E79"/>
        </w:rPr>
        <w:t xml:space="preserve"> or the 4H index, and hybrids preferentially retained the core taxa shared by both parents. Departures from the parents were small relative to spatial variation and depended on the compartment, the metric and the definition of a hybrid. Studies of hybrid microbiota in natural populations should therefore report the definition of a hybrid, the metric and the tissue alongside each result, and treat spatial and technical structure as part of the design rather than as noise.</w:t>
      </w:r>
    </w:p>
    <w:p>
      <w:pPr>
        <w:pStyle w:val="Title"/>
      </w:pPr>
      <w:r>
        <w:rPr>
          <w:color w:val="1F4E79"/>
        </w:rPr>
        <w:t>Abbreviations</w:t>
      </w:r>
    </w:p>
    <w:p>
      <w:pPr/>
      <w:r>
        <w:rPr>
          <w:color w:val="1F4E79"/>
        </w:rPr>
        <w:t xml:space="preserve">4H: four-dimensional hybrid microbiome index (Union, Intersection, Gain, Loss); ASV: amplicon sequence variant; Cn: </w:t>
      </w:r>
      <w:r>
        <w:rPr>
          <w:i/>
          <w:color w:val="1F4E79"/>
        </w:rPr>
        <w:t>Chondrostoma nasus</w:t>
      </w:r>
      <w:r>
        <w:rPr>
          <w:color w:val="1F4E79"/>
        </w:rPr>
        <w:t xml:space="preserve">; D: inter-chromosome discordance of the hybrid index; Hy: hybrid; PERMANOVA: permutational multivariate analysis of variance; PERMDISP: permutational analysis of multivariate dispersions; Pt: </w:t>
      </w:r>
      <w:r>
        <w:rPr>
          <w:i/>
          <w:color w:val="1F4E79"/>
        </w:rPr>
        <w:t>Parachondrostoma toxostoma</w:t>
      </w:r>
      <w:r>
        <w:rPr>
          <w:color w:val="1F4E79"/>
        </w:rPr>
        <w:t>; UniFrac: unique fraction metric.</w:t>
      </w:r>
    </w:p>
    <w:p>
      <w:pPr>
        <w:pStyle w:val="Title"/>
      </w:pPr>
      <w:r>
        <w:rPr>
          <w:color w:val="1F4E79"/>
        </w:rPr>
        <w:t>Declarations</w:t>
      </w:r>
    </w:p>
    <w:p>
      <w:pPr>
        <w:pStyle w:val="Heading1"/>
      </w:pPr>
      <w:r>
        <w:rPr>
          <w:color w:val="1F4E79"/>
        </w:rPr>
        <w:t>Ethics approval and consent to participate</w:t>
      </w:r>
    </w:p>
    <w:p>
      <w:pPr/>
      <w:r>
        <w:rPr>
          <w:color w:val="1F4E79"/>
        </w:rPr>
        <w:t>Fish were captured by electrofishing and euthanised before dissection under authorisations n° 2014-156-0001 and n° 2015-1426DDT605, following international guidelines of animal care.</w:t>
      </w:r>
      <w:r>
        <w:rPr>
          <w:i/>
          <w:color w:val="888888"/>
          <w:sz w:val="18"/>
        </w:rPr>
        <w:t xml:space="preserve"> [À compléter (questions de suivi à André, 2026-10-03) : autorités de délivrance — ONEMA et DDT 04, 05 et 84 selon André — et couverture des stations de l'Ain et de l'Ardèche ; méthode d'euthanasie (dislocation cervicale, non confirmée). Consentement : sans objet.]</w:t>
      </w:r>
    </w:p>
    <w:p>
      <w:pPr>
        <w:pStyle w:val="Heading1"/>
      </w:pPr>
      <w:r>
        <w:rPr>
          <w:color w:val="1F4E79"/>
        </w:rPr>
        <w:t>Consent for publication</w:t>
      </w:r>
    </w:p>
    <w:p>
      <w:pPr/>
      <w:r>
        <w:rPr>
          <w:color w:val="1F4E79"/>
        </w:rPr>
        <w:t>Not applicable.</w:t>
      </w:r>
    </w:p>
    <w:p>
      <w:pPr>
        <w:pStyle w:val="Heading1"/>
      </w:pPr>
      <w:r>
        <w:rPr>
          <w:color w:val="1F4E79"/>
        </w:rPr>
        <w:t>Availability of data and materials</w:t>
      </w:r>
    </w:p>
    <w:p>
      <w:pPr/>
      <w:r>
        <w:rPr>
          <w:color w:val="1F4E79"/>
        </w:rPr>
        <w:t>The raw sequence data are available in the European Nucleotide Archive under accession PRJEB124417. The code, the scripts that produced every result and the decision log are available at https://github.com/martinjfsupagro/microbiome-hybrid [51]. Individual genotypes are given in Supplementary Table S</w:t>
      </w:r>
      <w:r>
        <w:rPr>
          <w:color w:val="1F4E79"/>
        </w:rPr>
        <w:t>2</w:t>
      </w:r>
      <w:r>
        <w:rPr>
          <w:color w:val="1F4E79"/>
        </w:rPr>
        <w:t>.</w:t>
      </w:r>
      <w:r>
        <w:rPr>
          <w:i/>
          <w:color w:val="888888"/>
          <w:sz w:val="18"/>
        </w:rPr>
        <w:t xml:space="preserve"> [DOI Zenodo de la version citée : à créer à la soumission (question 2.7, non tranchée).]</w:t>
      </w:r>
    </w:p>
    <w:p>
      <w:pPr>
        <w:pStyle w:val="Heading1"/>
      </w:pPr>
      <w:r>
        <w:rPr>
          <w:color w:val="1F4E79"/>
        </w:rPr>
        <w:t>Competing interests</w:t>
      </w:r>
    </w:p>
    <w:p>
      <w:pPr/>
      <w:r>
        <w:rPr>
          <w:color w:val="1F4E79"/>
        </w:rPr>
        <w:t>The authors declare that they have no competing interests.</w:t>
      </w:r>
      <w:r>
        <w:rPr>
          <w:i/>
          <w:color w:val="888888"/>
          <w:sz w:val="18"/>
        </w:rPr>
        <w:t xml:space="preserve"> [À confirmer par chaque auteur.]</w:t>
      </w:r>
    </w:p>
    <w:p>
      <w:pPr>
        <w:pStyle w:val="Heading1"/>
      </w:pPr>
      <w:r>
        <w:t>Funding</w:t>
      </w:r>
    </w:p>
    <w:p>
      <w:pPr/>
      <w:r>
        <w:rPr>
          <w:i w:val="0"/>
          <w:color w:val="1F4E79"/>
        </w:rPr>
        <w:t>This work was funded by Électricité de France (EDF) through an EDF–CNRS doctoral contract (AGDI 428481) financing the thesis of Arnaud Ungaro, the contract that also funded Guivier et al. [31] within the FACIES project, with the support of the Fédération de l'Ain pour la pêche et la protection des milieux aquatiques.</w:t>
      </w:r>
    </w:p>
    <w:p>
      <w:pPr/>
      <w:r>
        <w:rPr>
          <w:i/>
          <w:color w:val="888888"/>
          <w:sz w:val="18"/>
        </w:rPr>
        <w:t>[Financement : référence du contrat « EDF-CNRS AGDI 428481 » (André, 2026-10-03). Le rattachement de ce contrat de thèse au projet FACIES de Guivier et al. (2017) combine deux réponses d'André (2026-09-30 et 2026-10-03) et n'est pas confirmé explicitement — à vérifier. Section Acknowledgements : à rédiger en fin de manuscrit (André, 2026-10-03).]</w:t>
      </w:r>
    </w:p>
    <w:p>
      <w:pPr>
        <w:pStyle w:val="Heading1"/>
      </w:pPr>
      <w:r>
        <w:rPr>
          <w:color w:val="1F4E79"/>
        </w:rPr>
        <w:t>Authors' contributions</w:t>
      </w:r>
    </w:p>
    <w:p>
      <w:pPr/>
      <w:r>
        <w:rPr>
          <w:i/>
          <w:color w:val="888888"/>
          <w:sz w:val="18"/>
        </w:rPr>
        <w:t>[À rédiger : contributions par initiales (conception, terrain, laboratoire, génotypage, analyse, rédaction), liste des auteurs à fixer.]</w:t>
      </w:r>
    </w:p>
    <w:p>
      <w:pPr>
        <w:pStyle w:val="Heading1"/>
      </w:pPr>
      <w:r>
        <w:rPr>
          <w:color w:val="1F4E79"/>
        </w:rPr>
        <w:t>Acknowledgements</w:t>
      </w:r>
    </w:p>
    <w:p>
      <w:pPr/>
      <w:r>
        <w:rPr>
          <w:i/>
          <w:color w:val="888888"/>
          <w:sz w:val="18"/>
        </w:rPr>
        <w:t>[À rédiger en fin de manuscrit (André, 2026-10-03).]</w:t>
      </w:r>
    </w:p>
    <w:p>
      <w:pPr>
        <w:pStyle w:val="Title"/>
      </w:pPr>
      <w:r>
        <w:rPr>
          <w:color w:val="1F4E79"/>
        </w:rPr>
        <w:t>References</w:t>
      </w:r>
    </w:p>
    <w:p>
      <w:pPr/>
      <w:r>
        <w:rPr>
          <w:color w:val="1F4E79"/>
        </w:rPr>
        <w:t>1. Bordenstein SR, Theis KR. Host Biology in Light of the Microbiome: Ten Principles of Holobionts and Hologenomes. PLoS Biol. 2015;13:e1002226. https://doi.org/10.1371/journal.pbio.1002226.</w:t>
      </w:r>
    </w:p>
    <w:p>
      <w:pPr/>
      <w:r>
        <w:rPr>
          <w:color w:val="1F4E79"/>
        </w:rPr>
        <w:t>2. Shapira M. Gut Microbiotas and Host Evolution: Scaling Up Symbiosis. Trends Ecol Evol. 2016;31:539–549. https://doi.org/10.1016/j.tree.2016.03.006.</w:t>
      </w:r>
    </w:p>
    <w:p>
      <w:pPr/>
      <w:r>
        <w:rPr>
          <w:color w:val="1F4E79"/>
        </w:rPr>
        <w:t>3. Shropshire JD, Bordenstein SR. Speciation by Symbiosis: the Microbiome and Behavior. mBio. 2016;7:e01785–15. https://doi.org/10.1128/mbio.01785-15.</w:t>
      </w:r>
    </w:p>
    <w:p>
      <w:pPr/>
      <w:r>
        <w:rPr>
          <w:color w:val="1F4E79"/>
        </w:rPr>
        <w:t>4. Adair KL, Douglas AE. Making a microbiome: the many determinants of host-associated microbial community composition. Curr Opin Microbiol. 2017;35:23–29. https://doi.org/10.1016/j.mib.2016.11.002.</w:t>
      </w:r>
    </w:p>
    <w:p>
      <w:pPr/>
      <w:r>
        <w:rPr>
          <w:color w:val="1F4E79"/>
        </w:rPr>
        <w:t>5. Llewellyn MS, Boutin S, Hoseinifar SH, Derome N. Teleost microbiomes: the state of the art in their characterization, manipulation and importance in aquaculture and fisheries. Front Microbiol. 2014;5. https://doi.org/10.3389/fmicb.2014.00207.</w:t>
      </w:r>
    </w:p>
    <w:p>
      <w:pPr/>
      <w:r>
        <w:rPr>
          <w:color w:val="1F4E79"/>
        </w:rPr>
        <w:t>6. Sevellec M, Pavey SA, Boutin S, Filteau M, Derome N, Bernatchez L. Microbiome investigation in the ecological speciation context of lake whitefish (Coregonus clupeaformis) using next‐generation sequencing. J Evol Biol. 2014;27:1029–1046. https://doi.org/10.1111/jeb.12374.</w:t>
      </w:r>
    </w:p>
    <w:p>
      <w:pPr/>
      <w:r>
        <w:rPr>
          <w:color w:val="1F4E79"/>
        </w:rPr>
        <w:t>7. Smith CCR, Snowberg LK, Caporaso JG, Knight R, Bolnick DI. Dietary input of microbes and host genetic variation shape among-population differences in stickleback gut microbiota. ISME J. 2015;9:2515–2526. https://doi.org/10.1038/ismej.2015.64.</w:t>
      </w:r>
    </w:p>
    <w:p>
      <w:pPr/>
      <w:r>
        <w:rPr>
          <w:color w:val="1F4E79"/>
        </w:rPr>
        <w:t>8. Chiarello M, Auguet J-C, Bettarel Y, Bouvier C, Claverie T, Graham NAJ, Rieuvilleneuve F, Sucré E, Bouvier T, Villéger S. Skin microbiome of coral reef fish is highly variable and driven by host phylogeny and diet. Microbiome. 2018;6:147. https://doi.org/10.1186/s40168-018-0530-4.</w:t>
      </w:r>
    </w:p>
    <w:p>
      <w:pPr/>
      <w:r>
        <w:rPr>
          <w:color w:val="1F4E79"/>
        </w:rPr>
        <w:t>9. Grieneisen L, Dasari M, Gould TJ, Björk JR, Grenier J-C, Yotova V, Jansen D, Gottel N, Gordon JB, Learn NH, Gesquiere LR, Wango TL, Mututua RS, Warutere JK, Siodi L, Gilbert JA, Barreiro LB, Alberts SC, Tung J, Archie EA, Blekhman R. Gut microbiome heritability is nearly universal but environmentally contingent. Science. 2021;373:181–186. https://doi.org/10.1126/science.aba5483.</w:t>
      </w:r>
    </w:p>
    <w:p>
      <w:pPr/>
      <w:r>
        <w:rPr>
          <w:color w:val="1F4E79"/>
        </w:rPr>
        <w:t>10. Small CM, Currey M, Beck EA, Bassham S, Cresko WA. Highly Reproducible 16S Sequencing Facilitates Measurement of Host Genetic Influences on the Stickleback Gut Microbiome. mSystems. 2019;4:e00331–19. https://doi.org/10.1128/msystems.00331-19.</w:t>
      </w:r>
    </w:p>
    <w:p>
      <w:pPr/>
      <w:r>
        <w:rPr>
          <w:color w:val="1F4E79"/>
        </w:rPr>
        <w:t>11. Wang J, Kalyan S, Steck N, Turner LM, Harr B, Künzel S, Vallier M, Häsler R, Franke A, Oberg H-H, Ibrahim SM, Grassl GA, Kabelitz D, Baines JF. Analysis of intestinal microbiota in hybrid house mice reveals evolutionary divergence in a vertebrate hologenome. Nat Commun. 2015;6:6440. https://doi.org/10.1038/ncomms7440.</w:t>
      </w:r>
    </w:p>
    <w:p>
      <w:pPr/>
      <w:r>
        <w:rPr>
          <w:color w:val="1F4E79"/>
        </w:rPr>
        <w:t>12. Pfennig KS, Kelly AL, Pierce AA. Hybridization as a facilitator of species range expansion. Proc Biol Sci. 2016;283:20161329. https://doi.org/10.1098/rspb.2016.1329.</w:t>
      </w:r>
    </w:p>
    <w:p>
      <w:pPr/>
      <w:r>
        <w:rPr>
          <w:color w:val="1F4E79"/>
        </w:rPr>
        <w:t>13. Schumer M, Xu C, Powell DL, Durvasula A, Skov L, Holland C, Blazier JC, Sankararaman S, Andolfatto P, Rosenthal GG, Przeworski M. Natural selection interacts with recombination to shape the evolution of hybrid genomes. Science. 2018;360:656–660. https://doi.org/10.1126/science.aar3684.</w:t>
      </w:r>
    </w:p>
    <w:p>
      <w:pPr/>
      <w:r>
        <w:rPr>
          <w:color w:val="1F4E79"/>
        </w:rPr>
        <w:t>14. Camper BT, Laughlin Z, Malagon D, Denton R, Bewick S. A conceptual framework for host‐associated microbiomes of hybrid organisms. Methods Ecol Evol. 2024;15:511–529. https://doi.org/10.1111/2041-210x.14279.</w:t>
      </w:r>
    </w:p>
    <w:p>
      <w:pPr/>
      <w:r>
        <w:rPr>
          <w:color w:val="1F4E79"/>
        </w:rPr>
        <w:t>15. Camper BT, Kanes AS, Laughlin ZT, Manuel RT, Bewick SA. Transgressive hybrids as hopeful holobionts. Microbiome. 2025;13:19. https://doi.org/10.1186/s40168-024-01994-8.</w:t>
      </w:r>
    </w:p>
    <w:p>
      <w:pPr/>
      <w:r>
        <w:rPr>
          <w:color w:val="1F4E79"/>
        </w:rPr>
        <w:t>16. Li W, Liu J, Tan H, Yang C, Ren L, Liu Q, Wang S, Hu F, Xiao J, Zhao R, Tao M, Zhang C, Qin Q, Liu S. Genetic Effects on the Gut Microbiota Assemblages of Hybrid Fish From Parents With Different Feeding Habits. Front Microbiol. 2018;9:2972. https://doi.org/10.3389/fmicb.2018.02972.</w:t>
      </w:r>
    </w:p>
    <w:p>
      <w:pPr/>
      <w:r>
        <w:rPr>
          <w:color w:val="1F4E79"/>
        </w:rPr>
        <w:t>17. Jin X, Zhu H, Shi Y, Chen Z, Wang Y, Gui J-F, Zhao Z. Host Hybridization Dominates over Cohabitation in Affecting Gut Microbiota of Intrageneric Hybrid Takifugu Pufferfish. mSystems. 2023;8:e01181–22. https://doi.org/10.1128/msystems.01181-22.</w:t>
      </w:r>
    </w:p>
    <w:p>
      <w:pPr/>
      <w:r>
        <w:rPr>
          <w:color w:val="1F4E79"/>
        </w:rPr>
        <w:t>18. Wang Q, Liu J-H, Wen B, Gao J-Z, Chen Z-Z. Gut microbiota communities of reciprocal hybrids from koi (Cyprinus carpio) and goldfish (Carassius auratus) are more similar to koi than goldfish. J Appl Microbiol. 2022;133:960–971. https://doi.org/10.1111/jam.15616.</w:t>
      </w:r>
    </w:p>
    <w:p>
      <w:pPr/>
      <w:r>
        <w:rPr>
          <w:color w:val="1F4E79"/>
        </w:rPr>
        <w:t>19. Sevellec M, Laporte M, Bernatchez A, Derome N, Bernatchez L. Evidence for host effect on the intestinal microbiota of whitefish (Coregonus sp.) species pairs and their hybrids. Ecol Evol. 2019;9:11762–11774. https://doi.org/10.1002/ece3.5676.</w:t>
      </w:r>
    </w:p>
    <w:p>
      <w:pPr/>
      <w:r>
        <w:rPr>
          <w:color w:val="1F4E79"/>
        </w:rPr>
        <w:t>20. Cui X, Zhang Q, Zhang Q, Zhang Y, Chen H, Liu G, Zhu L. Research Progress of the Gut Microbiome in Hybrid Fish. Microorganisms. 2022;10:891. https://doi.org/10.3390/microorganisms10050891.</w:t>
      </w:r>
    </w:p>
    <w:p>
      <w:pPr/>
      <w:r>
        <w:rPr>
          <w:color w:val="1F4E79"/>
        </w:rPr>
        <w:t>21. Nielsen DP, Harrison JG, Byer NW, Faske TM, Parchman TL, Simison WB, Matocq MD. The gut microbiome reflects ancestry despite dietary shifts across a hybrid zone. Ecol Lett. 2023;26:63–75. https://doi.org/10.1111/ele.14135.</w:t>
      </w:r>
    </w:p>
    <w:p>
      <w:pPr/>
      <w:r>
        <w:rPr>
          <w:color w:val="1F4E79"/>
        </w:rPr>
        <w:t>22. Donohue ME, Stephens J, Weisenbeck DR, Martin KR, Frederick JH, Black AN, Ranaivosolo WJ, Raheimanjato JP, Fahmy M, Bliss M, Wright PC, Weisrock D, Everson KM. Host ancestry outweighs ecology in shaping the gut microbiome of hybridizing brown lemurs. bioRxiv. 2025. https://doi.org/10.64898/2025.12.10.693535.</w:t>
      </w:r>
    </w:p>
    <w:p>
      <w:pPr/>
      <w:r>
        <w:rPr>
          <w:color w:val="1F4E79"/>
        </w:rPr>
        <w:t>23. Grieneisen LE, Charpentier MJE, Alberts SC, Blekhman R, Bradburd G, Tung J, Archie EA. Genes, geology and germs: gut microbiota across a primate hybrid zone are explained by site soil properties, not host species. Proc Biol Sci. 2019;286:20190431. https://doi.org/10.1098/rspb.2019.0431.</w:t>
      </w:r>
    </w:p>
    <w:p>
      <w:pPr/>
      <w:r>
        <w:rPr>
          <w:color w:val="1F4E79"/>
        </w:rPr>
        <w:t>24. Čížková D, Schmiedová L, Kváč M, Sak B, Macholán M, Piálek J, Kreisinger J. The effect of host admixture on wild house mouse gut microbiota is weak when accounting for spatial autocorrelation. Mol Ecol. 2024;33:e17192. https://doi.org/10.1111/mec.17192.</w:t>
      </w:r>
    </w:p>
    <w:p>
      <w:pPr/>
      <w:r>
        <w:rPr>
          <w:color w:val="1F4E79"/>
        </w:rPr>
        <w:t>25. Russell AC, Vohsen SA, Spinelli JMC, Martinez N, Curry RL, Roth TC, Semenov GA, Taylor SA, Rice AM. Environment impacts gut microbiome richness in hybridizing chickadees, while ancestry influences community composition. Ecosphere. 2026;17:e70611. https://doi.org/10.1002/ecs2.70611.</w:t>
      </w:r>
    </w:p>
    <w:p>
      <w:pPr/>
      <w:r>
        <w:rPr>
          <w:color w:val="1F4E79"/>
        </w:rPr>
        <w:t>26. Gilles A. Research on european cyprinids polyspecific complex : systematics, speciation and hybrid zones. Thèse de doctorat. 1998.</w:t>
      </w:r>
    </w:p>
    <w:p>
      <w:pPr/>
      <w:r>
        <w:rPr>
          <w:color w:val="1F4E79"/>
        </w:rPr>
        <w:t>27. COSTEDOAT C, PECH N, SALDUCCI M-D, CHAPPAZ R, GILLES A. Evolution of mosaic hybrid zone between invasive and endemic species of Cyprinidae through space and time. Biol J Linn Soc Lond. 2005;85:135–155. https://doi.org/10.1111/j.1095-8312.2005.00478.x.</w:t>
      </w:r>
    </w:p>
    <w:p>
      <w:pPr/>
      <w:r>
        <w:rPr>
          <w:color w:val="1F4E79"/>
        </w:rPr>
        <w:t>28. Sinama M, Gilles A, Costedoat C, Corse E, Olivier J-M, Chappaz R, Pech N. Non-homogeneous combination of two porous genomes induces complex body shape trajectories in cyprinid hybrids. Front Zool. 2013;10:22. https://doi.org/10.1186/1742-9994-10-22.</w:t>
      </w:r>
    </w:p>
    <w:p>
      <w:pPr/>
      <w:r>
        <w:rPr>
          <w:color w:val="1F4E79"/>
        </w:rPr>
        <w:t>29. Guivier E, Gilles A, Pech N, Duflot N, Tissot L, Chappaz R. Canals as ecological corridors and hybridization zones for two cyprinid species. Hydrobiologia. 2019;830:1–16. https://doi.org/10.1007/s10750-018-3843-1.</w:t>
      </w:r>
    </w:p>
    <w:p>
      <w:pPr/>
      <w:r>
        <w:rPr>
          <w:color w:val="1F4E79"/>
        </w:rPr>
        <w:t>30. SEEHAUSEN O, TAKIMOTO G, ROY D, JOKELA J. Speciation reversal and biodiversity dynamics with hybridization in changing environments. Mol Ecol. 2008;17:30–44. https://doi.org/10.1111/j.1365-294x.2007.03529.x.</w:t>
      </w:r>
    </w:p>
    <w:p>
      <w:pPr/>
      <w:r>
        <w:rPr>
          <w:color w:val="1F4E79"/>
        </w:rPr>
        <w:t>31. Guivier E, Martin J-F, Pech N, Ungaro A, Chappaz R, Gilles A. Microbiota Diversity Within and Between the Tissues of Two Wild Interbreeding Species. Microb Ecol. 2018;75:799–810. https://doi.org/10.1007/s00248-017-1077-9.</w:t>
      </w:r>
    </w:p>
    <w:p>
      <w:pPr/>
      <w:r>
        <w:rPr>
          <w:color w:val="1F4E79"/>
        </w:rPr>
        <w:t>32. Kozich JJ, Westcott SL, Baxter NT, Highlander SK, Schloss PD. Development of a Dual-Index Sequencing Strategy and Curation Pipeline for Analyzing Amplicon Sequence Data on the MiSeq Illumina Sequencing Platform. Appl Environ Microbiol. 2013;79:5112–5120. https://doi.org/10.1128/aem.01043-13.</w:t>
      </w:r>
    </w:p>
    <w:p>
      <w:pPr/>
      <w:r>
        <w:rPr>
          <w:color w:val="1F4E79"/>
        </w:rPr>
        <w:t>33. Galan M, Razzauti M, Bard E, Bernard M, Brouat C, Charbonnel N, Dehne-Garcia A, Loiseau A, Tatard C, Tamisier L, Vayssier-Taussat M, Vignes H, Cosson J-F. 16S rRNA Amplicon Sequencing for Epidemiological Surveys of Bacteria in Wildlife. mSystems. 2016;1:e00032–16. https://doi.org/10.1128/msystems.00032-16.</w:t>
      </w:r>
    </w:p>
    <w:p>
      <w:pPr/>
      <w:r>
        <w:rPr>
          <w:color w:val="1F4E79"/>
        </w:rPr>
        <w:t>34. Martin M. Cutadapt removes adapter sequences from high-throughput sequencing reads. EMBnet J. 2011;17:10. https://doi.org/10.14806/ej.17.1.200.</w:t>
      </w:r>
    </w:p>
    <w:p>
      <w:pPr/>
      <w:r>
        <w:rPr>
          <w:color w:val="1F4E79"/>
        </w:rPr>
        <w:t>35. Callahan BJ, McMurdie PJ, Rosen MJ, Han AW, Johnson AJA, Holmes SP. DADA2: High-resolution sample inference from Illumina amplicon data. Nat Methods. 2016;13:581–583. https://doi.org/10.1038/nmeth.3869.</w:t>
      </w:r>
    </w:p>
    <w:p>
      <w:pPr/>
      <w:r>
        <w:rPr>
          <w:color w:val="1F4E79"/>
        </w:rPr>
        <w:t>36. Quast C, Pruesse E, Yilmaz P, Gerken J, Schweer T, Yarza P, Peplies J, Glöckner FO. The SILVA ribosomal RNA gene database project: improved data processing and web-based tools. Nucleic Acids Res. 2013;41:D590–D596. https://doi.org/10.1093/nar/gks1219.</w:t>
      </w:r>
    </w:p>
    <w:p>
      <w:pPr/>
      <w:r>
        <w:rPr>
          <w:color w:val="1F4E79"/>
        </w:rPr>
        <w:t>37. Davis NM, Proctor DM, Holmes SP, Relman DA, Callahan BJ. Simple statistical identification and removal of contaminant sequences in marker-gene and metagenomics data. Microbiome. 2018;6:226. https://doi.org/10.1186/s40168-018-0605-2.</w:t>
      </w:r>
    </w:p>
    <w:p>
      <w:pPr/>
      <w:r>
        <w:rPr>
          <w:color w:val="1F4E79"/>
        </w:rPr>
        <w:t>38. Bolyen E, Rideout JR, Dillon MR, Bokulich NA, Abnet CC, Al-Ghalith GA, Alexander H, Alm EJ, Arumugam M, Asnicar F, Bai Y, Bisanz JE, Bittinger K, Brejnrod A, Brislawn CJ, Brown CT, Callahan BJ, Caraballo-Rodríguez AM, Chase J, Cope EK, Da Silva R, Diener C, Dorrestein PC, Douglas GM, Durall DM, Duvallet C, Edwardson CF, Ernst M, Estaki M, Fouquier J, et al.. Reproducible, interactive, scalable and extensible microbiome data science using QIIME 2. Nat Biotechnol. 2019;37:852–857. https://doi.org/10.1038/s41587-019-0209-9.</w:t>
      </w:r>
    </w:p>
    <w:p>
      <w:pPr/>
      <w:r>
        <w:rPr>
          <w:color w:val="1F4E79"/>
        </w:rPr>
        <w:t>39. Katoh K, Standley DM. MAFFT Multiple Sequence Alignment Software Version 7: Improvements in Performance and Usability. Mol Biol Evol. 2013;30:772–780. https://doi.org/10.1093/molbev/mst010.</w:t>
      </w:r>
    </w:p>
    <w:p>
      <w:pPr/>
      <w:r>
        <w:rPr>
          <w:color w:val="1F4E79"/>
        </w:rPr>
        <w:t>40. Price MN, Dehal PS, Arkin AP. FastTree 2 – Approximately Maximum-Likelihood Trees for Large Alignments. PLoS One. 2010;5:e9490. https://doi.org/10.1371/journal.pone.0009490.</w:t>
      </w:r>
    </w:p>
    <w:p>
      <w:pPr/>
      <w:r>
        <w:rPr>
          <w:color w:val="1F4E79"/>
        </w:rPr>
        <w:t>41. Lozupone C, Knight R. UniFrac: a New Phylogenetic Method for Comparing Microbial Communities. Appl Environ Microbiol. 2005;71:8228–8235. https://doi.org/10.1128/aem.71.12.8228-8235.2005.</w:t>
      </w:r>
    </w:p>
    <w:p>
      <w:pPr/>
      <w:r>
        <w:rPr>
          <w:color w:val="1F4E79"/>
        </w:rPr>
        <w:t>42. Faith DP. Conservation evaluation and phylogenetic diversity. Biol Conserv. 1992;61:1–10. https://doi.org/10.1016/0006-3207(92)91201-3.</w:t>
      </w:r>
    </w:p>
    <w:p>
      <w:pPr/>
      <w:r>
        <w:rPr>
          <w:color w:val="1F4E79"/>
        </w:rPr>
        <w:t>43. Schloss PD. Rarefaction is currently the best approach to control for uneven sequencing effort in amplicon sequence analyses. mSphere. 2024;9:e00354–23. https://doi.org/10.1128/msphere.00354-23.</w:t>
      </w:r>
    </w:p>
    <w:p>
      <w:pPr/>
      <w:r>
        <w:rPr>
          <w:color w:val="1F4E79"/>
        </w:rPr>
        <w:t>44. Cameron ES, Schmidt PJ, Tremblay BJ-M, Emelko MB, Müller KM. Enhancing diversity analysis by repeatedly rarefying next generation sequencing data describing microbial communities. Sci Rep. 2021;11:22302. https://doi.org/10.1038/s41598-021-01636-1.</w:t>
      </w:r>
    </w:p>
    <w:p>
      <w:pPr/>
      <w:r>
        <w:rPr>
          <w:color w:val="1F4E79"/>
        </w:rPr>
        <w:t>45. Anderson MJ. A new method for non‐parametric multivariate analysis of variance. Austral Ecol. 2001;26:32–46. https://doi.org/10.1111/j.1442-9993.2001.01070.pp.x.</w:t>
      </w:r>
    </w:p>
    <w:p>
      <w:pPr/>
      <w:r>
        <w:rPr>
          <w:color w:val="1F4E79"/>
        </w:rPr>
        <w:t>46. Anderson MJ. Distance‐Based Tests for Homogeneity of Multivariate Dispersions. Biometrics. 2006;62:245–253. https://doi.org/10.1111/j.1541-0420.2005.00440.x.</w:t>
      </w:r>
    </w:p>
    <w:p>
      <w:pPr/>
      <w:r>
        <w:rPr>
          <w:color w:val="1F4E79"/>
        </w:rPr>
        <w:t>47. Oksanen J, Simpson GL, Blanchet FG, Kindt R, Legendre P, Minchin PR, et al. vegan: Community Ecology Package. R package version 2.7-5. https://CRAN.R-project.org/package=vegan.</w:t>
      </w:r>
    </w:p>
    <w:p>
      <w:pPr/>
      <w:r>
        <w:rPr>
          <w:color w:val="1F4E79"/>
        </w:rPr>
        <w:t>48. Stier AC, Geange SW, Hanson KM, Bolker BM. Predator density and timing of arrival affect reef fish community assembly. Ecology. 2013;94:1057–1068. https://doi.org/10.1890/11-1983.1.</w:t>
      </w:r>
    </w:p>
    <w:p>
      <w:pPr/>
      <w:r>
        <w:rPr>
          <w:color w:val="1F4E79"/>
        </w:rPr>
        <w:t>49. Camper B, Bewick S. HybridMicrobiomes: Analysis of Host-Associated Microbiomes from Hybrid Organisms. R package version 0.1.1. 2023. https://doi.org/10.32614/CRAN.package.HybridMicrobiomes.</w:t>
      </w:r>
    </w:p>
    <w:p>
      <w:pPr/>
      <w:r>
        <w:rPr>
          <w:color w:val="1F4E79"/>
        </w:rPr>
        <w:t>50. McMurdie PJ, Holmes S. phyloseq: An R Package for Reproducible Interactive Analysis and Graphics of Microbiome Census Data. PLoS One. 2013;8:e61217. https://doi.org/10.1371/journal.pone.0061217.</w:t>
      </w:r>
    </w:p>
    <w:p>
      <w:pPr/>
      <w:r>
        <w:rPr>
          <w:color w:val="1F4E79"/>
        </w:rPr>
        <w:t>51. microbiome-hybrid: scripts, results registry and decision log. GitHub repository. https://github.com/martinjfsupagro/microbiome-hybrid. Accessed 3 Oct 2026.</w:t>
      </w:r>
    </w:p>
    <w:p>
      <w:pPr/>
      <w:r>
        <w:rPr>
          <w:i/>
          <w:color w:val="888888"/>
          <w:sz w:val="18"/>
        </w:rPr>
        <w:t>[Références : noms de revues abrégés le 2026-10-05 selon le catalogue NLM (MedlineTA, recherche par ISSN ; scripts/44-corrections_mecaniques.py) ; préprint, thèse, logiciels et dépôt non abrégés ; Small et al. et Sevellec et al. cités dans leur version publiée (2019, Crossref) et non dans celle de la .bib ; Sinama et al. 2013 : deux notices possibles (thèse ou Frontiers in Zoology), la seconde retenue — à confirmer ; références logicielles (DADA2, SILVA, cutadapt, QIIME 2, MAFFT, FastTree, UniFrac, Faith, PERMANOVA, PERMDISP, Stier et al., phyloseq, vegan, HybridMicrobiomes) ajoutées le 2026-10-03, vérifiées sur Crossref, absentes de la .bib ; année = année du volume imprimé quand elle existe (Guivier et al. Microb Ecol 2018;75, en ligne 2017 ; Nielsen et al. 2023 ; Čížková et al. 2024 ; Guivier et al. Hydrobiologia 2019) — à confirmer.]</w:t>
      </w:r>
    </w:p>
    <w:p>
      <w:pPr>
        <w:pStyle w:val="Title"/>
      </w:pPr>
      <w:r>
        <w:rPr>
          <w:color w:val="1F4E79"/>
        </w:rPr>
        <w:t>Figure legends</w:t>
      </w:r>
    </w:p>
    <w:p>
      <w:pPr/>
      <w:r>
        <w:rPr>
          <w:b/>
          <w:color w:val="1F4E79"/>
        </w:rPr>
        <w:t xml:space="preserve">Figure 1. Genotypic composition of the nine stations and the two genome types of hybrids. </w:t>
      </w:r>
      <w:r>
        <w:rPr>
          <w:color w:val="1F4E79"/>
        </w:rPr>
        <w:t xml:space="preserve">a Individuals per station and genotypic category from 25-chromosome genotyping (n = 180), stations listed by river. Near-parental hybrids are introgressed on one to six of the 25 chromosomes. b Median hybrid index (0 = </w:t>
      </w:r>
      <w:r>
        <w:rPr>
          <w:i/>
          <w:color w:val="1F4E79"/>
        </w:rPr>
        <w:t>P. toxostoma</w:t>
      </w:r>
      <w:r>
        <w:rPr>
          <w:color w:val="1F4E79"/>
        </w:rPr>
        <w:t xml:space="preserve">, 1 = </w:t>
      </w:r>
      <w:r>
        <w:rPr>
          <w:i/>
          <w:color w:val="1F4E79"/>
        </w:rPr>
        <w:t>C. nasus</w:t>
      </w:r>
      <w:r>
        <w:rPr>
          <w:color w:val="1F4E79"/>
        </w:rPr>
        <w:t>) against the inter-chromosome discordance D for the 175 individuals genotyped from Q-scores on liver tissue; dashed line, D = 0.12. Categories were assigned from chromosome-level assignments, not by thresholding either axis; near-parental hybrids combine a parental median index with D ≥ 0.15.</w:t>
      </w:r>
    </w:p>
    <w:p>
      <w:pPr/>
      <w:r>
        <w:rPr>
          <w:b/>
          <w:color w:val="1F4E79"/>
        </w:rPr>
        <w:t xml:space="preserve">Figure 2. Alpha diversity by tissue and genotypic category. </w:t>
      </w:r>
      <w:r>
        <w:rPr>
          <w:color w:val="1F4E79"/>
        </w:rPr>
        <w:t>Shannon index (a) and Faith's phylogenetic diversity (b) per individual and tissue, as the mean over the three sequencing runs of values averaged over 400 rarefactions at 3,000 reads. Hybrids are shown separately as intermediate (Hy int.) and near-parental (Hy near-p.); pass 1 contrasts intermediate hybrids with the parental species and pass 2 pools both genome types. Numbers above each group: individuals; horizontal bars: medians. Tests are reported in the text; no combination of pass, tissue and index classified hybrids as transgressive.</w:t>
      </w:r>
    </w:p>
    <w:p>
      <w:pPr/>
      <w:r>
        <w:rPr>
          <w:b/>
          <w:color w:val="1F4E79"/>
        </w:rPr>
        <w:t xml:space="preserve">Figure 3. Detection of genotypic category in composition, and variance shares of station and category. </w:t>
      </w:r>
      <w:r>
        <w:rPr>
          <w:color w:val="1F4E79"/>
        </w:rPr>
        <w:t>a, b Number of sequencing runs (of three) in which genotypic category was significant (PERMANOVA, p &lt; 0.05), per metric and tissue, in pass 1 (20 intermediate hybrids, 158 individuals) and pass 2 (all 42 hybrids, 180 individuals), in the principal model (category alone, permutations within station blocks, no plate position). In parentheses: the sensitivity model with plate position fitted first, where it differs. c Variance explained (R², %) in each of the 48 metric × tissue × run strata by station fitted first, and by category fitted first or last, in models without plate position; horizontal bars: medians.</w:t>
      </w:r>
    </w:p>
    <w:p>
      <w:pPr/>
      <w:r>
        <w:rPr>
          <w:b/>
          <w:color w:val="1F4E79"/>
        </w:rPr>
        <w:t xml:space="preserve">Figure 4. Dispersion of hybrids relative to the parental mean, corrected for group size. </w:t>
      </w:r>
      <w:r>
        <w:rPr>
          <w:color w:val="1F4E79"/>
        </w:rPr>
        <w:t xml:space="preserve">Difference between the median distance of hybrids to their group median and the mean of the two parental values, per metric, tissue (symbols) and sequencing run, with permutations constrained within station blocks and distances corrected for small-sample bias. </w:t>
      </w:r>
      <w:r>
        <w:rPr>
          <w:color w:val="1F4E79"/>
        </w:rPr>
        <w:t>Values below 0: hybrids less dispersed than the mean of the two parents; panel titles give the number of tests in which hybrids were less dispersed than both parents, a stricter condition.</w:t>
      </w:r>
      <w:r>
        <w:rPr>
          <w:color w:val="1F4E79"/>
        </w:rPr>
        <w:t xml:space="preserve"> Filled symbols: PERMDISP test of category significant (p &lt; 0.05). a Pass 1; b pass 2.</w:t>
      </w:r>
    </w:p>
    <w:p>
      <w:pPr/>
      <w:r>
        <w:rPr>
          <w:b/>
          <w:color w:val="1F4E79"/>
        </w:rPr>
        <w:t xml:space="preserve">Figure 5. Four-dimensional (4H) index of hybrid microbiota and its sensitivity to settings. </w:t>
      </w:r>
      <w:r>
        <w:rPr>
          <w:color w:val="1F4E79"/>
        </w:rPr>
        <w:t>a Mean over the three runs of the four dimensions of the index — Union, Intersection, Gain and Loss — under the principal setting (incidence-based, genus rank, ρ = 0.5), per tissue and pass, at the common number of hosts per class (9–19); the parental axis is Union + Intersection and the transgressive axis Gain + Loss. Black bars: boundary between the two axes for the null hybrid (average of one randomly drawn individual of each parental species); dashed line, 0.5. b Transgressive axis per run under each setting: principal, ρ = 0.3, ρ = 0.7, family rank, abundance-based (Bray–Curtis) version, and pass 2 at its own number of hosts (26–40). Grey band: range of the null hybrid, computed under the principal setting only. Open symbols, pass 1; filled symbols, pass 2. 500 bootstraps per run, on the 1,749 samples with at least 1,000 genus-assigned 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