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La chimie n'est plus transposée : les fiches de run de durance1 et durance3 donnent ReagentKitVersion=Version3, code-barres MS…-600V3 et des lectures 251/8/8/251, soit le kit v3 600 cycles en 2×251 — l'hypothèse d'un kit v2 500 cycles formulée dans Article_notes_a_trancher.md est écartée. durance2 n'a pas de dossier de run, mais ses lectures mesurent aussi 251 pb.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lien vers le dépôt de code (git) et, le cas échéant, DOI Zenodo de la version utilisée pour l'article.]</w:t>
      </w:r>
    </w:p>
    <w:p>
      <w:pPr>
        <w:pStyle w:val="Heading1"/>
      </w:pPr>
      <w:r>
        <w:t>Funding</w:t>
      </w:r>
    </w:p>
    <w:p>
      <w:pPr/>
      <w:r>
        <w:t>This work was funded by Électricité de France (EDF) through the FACIES project, with the support of the Fédération de l'Ain; the 2014–2015 sampling reported here was carried out under that same contract.</w:t>
      </w:r>
    </w:p>
    <w:p>
      <w:pPr/>
      <w:r>
        <w:rPr>
          <w:i/>
          <w:color w:val="888888"/>
          <w:sz w:val="18"/>
        </w:rPr>
        <w:t>[Financement confirmé par André le 2026-09-30 : « c'est le même contrat qui a servi à cette étude ». À compléter avant soumission : la référence exacte du contrat EDF et le nom légal complet de la Fédération, à reprendre des remerciements de Guivier et al. (2017), que je n'ai pas relus ; et la section Acknowledgements proprement dite (appui de terrain), à rédiger avec les co-auteurs.]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