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17.2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not a threshold on the median hybrid index.</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r>
              <w:rPr>
                <w:b/>
                <w:sz w:val="16"/>
              </w:rPr>
              <w:t>Cn / Hy / Pt</w:t>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r>
              <w:rPr>
                <w:sz w:val="16"/>
              </w:rPr>
              <w:t>20 / 4 / 0</w:t>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r>
              <w:rPr>
                <w:sz w:val="16"/>
              </w:rPr>
              <w:t>8 / 4 / 8</w:t>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r>
              <w:rPr>
                <w:sz w:val="16"/>
              </w:rPr>
              <w:t>0 / 0 / 19</w:t>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r>
              <w:rPr>
                <w:sz w:val="16"/>
              </w:rPr>
              <w:t>11 / 10 / 14</w:t>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r>
              <w:rPr>
                <w:sz w:val="16"/>
              </w:rPr>
              <w:t>0 / 2 / 13</w:t>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r>
              <w:rPr>
                <w:sz w:val="16"/>
              </w:rPr>
              <w:t>0 / 1 / 8</w:t>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r>
              <w:rPr>
                <w:sz w:val="16"/>
              </w:rPr>
              <w:t>12 / 2 / 0</w:t>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r>
              <w:rPr>
                <w:sz w:val="16"/>
              </w:rPr>
              <w:t>0 / 4 / 21</w:t>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r>
              <w:rPr>
                <w:sz w:val="16"/>
              </w:rPr>
              <w:t>8 / 3 / 8</w:t>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r>
              <w:rPr>
                <w:b/>
                <w:sz w:val="16"/>
              </w:rPr>
              <w:t>59 / 30 / 91</w:t>
            </w:r>
          </w:p>
        </w:tc>
        <w:tc>
          <w:tcPr>
            <w:tcW w:type="dxa" w:w="864"/>
          </w:tcPr>
          <w:p>
            <w:r/>
            <w:r>
              <w:rPr>
                <w:b/>
                <w:sz w:val="16"/>
              </w:rPr>
              <w:t>727</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