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r>
      <w:r>
        <w:rPr>
          <w:i w:val="0"/>
          <w:color w:val="1F4E79"/>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17.2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r>
      <w:r>
        <w:rPr>
          <w:i w:val="0"/>
          <w:color w:val="1F4E79"/>
        </w:rPr>
        <w:t>Collection dates, per-station counts and WGS84 coordinates for the nine stations are given in Supplementary Table S1; the site-code ↔ station correspondence is given there as well. Two site codes (Ain, Cab) each span the same two Suran stations, one per year.</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color w:val="1F4E79"/>
        </w:rPr>
        <w:t>[À COMPLÉTER : modèles statistiques — structure des effets aléatoires (séquençage niché dans la préparation de librairie, cf. §8.7), PERMANOVA et PERMDISP, méthode d'abondance différentielle, et contrastes le long du gradient de la zone hybride. Dépend de l'index hybride en cours de génotypage.]</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