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Materials and Methods</w:t>
      </w:r>
    </w:p>
    <w:p>
      <w:r>
        <w:rPr>
          <w:i/>
          <w:color w:val="888888"/>
          <w:sz w:val="18"/>
        </w:rPr>
        <w:t>Projet microbiome-hybrid. Les paramètres bioinformatiques (§5–7) sont extraits des scripts versionnés. Dépôt ENA des lectures brutes : PRJEB124417 (§9). Les passages entre crochets et en gris sont des notes éditoriales à trancher ou compléter avant soumission ; ils ne font pas partie du texte de l'article.</w:t>
      </w:r>
    </w:p>
    <w:p>
      <w:pPr>
        <w:pStyle w:val="Heading1"/>
      </w:pPr>
      <w:r>
        <w:t>1. Study system and sampling</w:t>
      </w:r>
    </w:p>
    <w:p>
      <w:r>
        <w:t>We studied the host-associated bacterial microbiota of two interbreeding cyprinid fishes, the nase Chondrostoma nasus (hotu, code Cn) and the toxostome Parachondrostoma toxostoma (code Pt), together with their hybrids, from a contact zone in the Rhône drainage. Individuals collected in the field as unassigned Chondrostoma sp. (code Ch) were subsequently assigned by microsatellite genotyping. Fish were sampled at nine stations (rivers Durance, Suran, Buech, Beaume and Ardèche, and one canal) over two years, 2014 and 2015, spanning a gradient of hybrid-zone context (allopatry, sympatry with hybridisation, and asymmetric introgression). A total of 181 individual fish are represented in the deposited data (92 P. toxostoma, 59 C. nasus, 30 hybrids), each sampled for four tissues. The design is strongly unbalanced: station and year are largely confounded (only two stations were sampled in both years), as are taxon and station.</w:t>
      </w:r>
    </w:p>
    <w:p>
      <w:r>
        <w:rPr>
          <w:b w:val="0"/>
          <w:i w:val="0"/>
        </w:rPr>
        <w:t>Specimens were captured by electrofishing, euthanised by cervical dislocation, and immediately dissected with sterile material. The study was conducted according to international guidelines of animal care and under national protocol authorisations n° 2014-156-0001 and n° 2015-1426DDT605.</w:t>
      </w:r>
    </w:p>
    <w:p>
      <w:r>
        <w:rPr>
          <w:i/>
          <w:color w:val="888888"/>
          <w:sz w:val="18"/>
        </w:rPr>
        <w:t>[Transposé du manuscrit d'origine — à confirmer pour le lot Durance : mode de capture (pêche électrique), euthanasie par dislocation cervicale et numéros d'autorisation — identiques au manuscrit d'origine ; vérifier qu'ils couvrent bien l'ensemble des 9 sites et les deux années.]</w:t>
      </w:r>
    </w:p>
    <w:p>
      <w:r>
        <w:t>Stations, rivers, WGS84 coordinates from the field records, exact collection dates and the number of libraries per station are given in Supplementary Table S1. Note that the site codes Ain and Cab each span two physically distinct stations on the river Suran, 25.4 km apart.</w:t>
      </w:r>
    </w:p>
    <w:p>
      <w:pPr/>
      <w:r>
        <w:rPr>
          <w:i/>
          <w:color w:val="888888"/>
          <w:sz w:val="18"/>
        </w:rPr>
        <w:t>[RÉSOLU 2026-08-31 : l'écart apparent entre les 181 individus du tableau de génotypage et les 156 comptés dans le dépôt venait d'une collision d'identifiants — 25 valeurs de « host subject id » sont réutilisées entre 2014 et 2015 pour des poissons différents. En désambiguïsant par l'année, le dépôt contient bien 181 individus. Voir Note S2.]</w:t>
      </w:r>
    </w:p>
    <w:p>
      <w:r>
        <w:t>Microsatellite genotyping has since resolved the identity of the individuals collected as Chondrostoma sp. (parental vs hybrid status, code Species = Cn/Pt/Hy). The resolved identities are those reported here and deposited with the ENA metadata; no sample remains recorded as Chondrostoma sp. The assignment does not affect the bioinformatic processing described below.</w:t>
      </w:r>
    </w:p>
    <w:p>
      <w:pPr>
        <w:pStyle w:val="Heading1"/>
      </w:pPr>
      <w:r>
        <w:t>2. Tissue sampling and preservation</w:t>
      </w:r>
    </w:p>
    <w:p>
      <w:r>
        <w:rPr>
          <w:b w:val="0"/>
          <w:i w:val="0"/>
        </w:rPr>
        <w:t>Four tissues were sampled per fish, spanning a gradient of contact with the external environment: caudal fin (code 01), midgut (02), hindgut (03) and gill (05). A piece of each tissue was stored in 95% ethanol at −80 °C until molecular analysis. Nine tissues were re-extracted independently (flagged ‘bis’) and are treated as technical replicates.</w:t>
      </w:r>
    </w:p>
    <w:p>
      <w:r>
        <w:rPr>
          <w:i/>
          <w:color w:val="888888"/>
          <w:sz w:val="18"/>
        </w:rPr>
        <w:t>[Transposé du manuscrit d'origine — à confirmer pour le lot Durance : conservation en éthanol 95% à −80 °C et dissection stérile — repris du manuscrit d'origine (gills/midgut) et étendus ici aux 4 tissus ; confirmer que caudale et hindgut ont suivi le même protocole.]</w:t>
      </w:r>
    </w:p>
    <w:p>
      <w:pPr>
        <w:pStyle w:val="Heading1"/>
      </w:pPr>
      <w:r>
        <w:t>3. DNA extraction, 16S library preparation and sequencing</w:t>
      </w:r>
    </w:p>
    <w:p>
      <w:r>
        <w:rPr>
          <w:b w:val="0"/>
          <w:i w:val="0"/>
        </w:rPr>
        <w:t>Bacterial DNA was extracted from each tissue with the Qiagen Food Mericon kit (Qiagen, Venlo, Netherlands), following a slightly modified protocol detailed in Guivier et al. (2018). A 251 bp fragment of the V4 region of the bacterial 16S rRNA gene was amplified using the dual-index method of Kozich et al. (2013), with forward and reverse primers carrying an 8 bp index and Illumina adapters (Caporaso primers 515F GTGCCAGCMGCCGCGGTAA / 806R GGACTACHVGGGTWTCTAAT). DNA amplification, purification and pooling of PCR products followed Galan et al. (2016). The final library was quantified with the Kapa quantification kit (Kapa Biosystems) and loaded on an Illumina MiSeq flow cell with reagent kit v3 (2 × 300 cycles).</w:t>
      </w:r>
    </w:p>
    <w:p>
      <w:r>
        <w:rPr>
          <w:b w:val="0"/>
          <w:i w:val="0"/>
        </w:rPr>
        <w:t>For the present study the 768 samples were processed through two independent library preparations, each using the one-step dual-index PCR of Kozich et al. (2013), in which the indices are incorporated during amplification. The first amplicon library was sequenced once (run durance1); the second, prepared from an independent PCR of the same samples, was sequenced twice on separate flow cells (runs durance2 and durance3). Plate layout and i7 indices were identical throughout, whereas the i5 index set differs between the two libraries — a direct consequence of the one-step protocol, in which re-indexing an existing amplicon pool is not possible. Each biological sample is therefore represented three times, but with a nested rather than a flat replication structure: two levels of library preparation, and two sequencing runs within the second library. This design separates the variability contributed by library preparation from that contributed by sequencing alone, and neither is confounded with any biological factor.</w:t>
      </w:r>
    </w:p>
    <w:p>
      <w:r>
        <w:rPr>
          <w:i/>
          <w:color w:val="888888"/>
          <w:sz w:val="18"/>
        </w:rPr>
        <w:t>[Transposé du manuscrit d'origine (même équipe, même assay) : kit Qiagen Food Mericon, dual-index Kozich (2013), protocole Galan (2016), quantification Kapa, MiSeq v3 (2×300). Le manuscrit d'origine ne portait que sur une partie des données (branchie et midgut) ; le plan Durance à quatre tissus fait foi — confirmé par les co-auteurs.]</w:t>
      </w:r>
    </w:p>
    <w:p>
      <w:r>
        <w:rPr>
          <w:i w:val="0"/>
          <w:color w:val="1F4E79"/>
        </w:rPr>
        <w:t>Libraries were sequenced on an Illumina MiSeq on 10 July 2017 (durance1), 5 October 2017 (durance2) and 3 November 2017 (durance3), with a 10 % PhiX spike-in. PCR conditions, purification and pooling followed Galan et al. (2016).</w:t>
      </w:r>
      <w:r>
        <w:t xml:space="preserve"> Run labels, flow cells, dates and the mapping of runs to library preparations are given in Supplementary Table S4.</w:t>
      </w:r>
    </w:p>
    <w:p>
      <w:pPr>
        <w:pStyle w:val="Heading1"/>
      </w:pPr>
      <w:r>
        <w:t>4. Controls</w:t>
      </w:r>
    </w:p>
    <w:p>
      <w:r>
        <w:rPr>
          <w:b w:val="0"/>
          <w:i w:val="0"/>
        </w:rPr>
        <w:t>Negative controls comprised extraction blanks and no-template PCR controls; the original sequencing project of this laboratory reports the same two categories (four extraction negative controls and eight amplification negative controls). In the Durance dataset we verified four extraction blanks — one per tissue (Blanc-Caudal, Blanc-Branchie, Blanc-Midgut, Blanc-Hindgut) — and eight no-template PCR controls (T-1 to T-8), each sequenced in all three runs, i.e. 12 and 24 control samples respectively (36 negative controls in total). Two aliquots of a commercial mock community — the ZymoBIOMICS Microbial Community Standard (Zymo Research, Irvine, CA, USA), a defined mixture of eight known bacterial taxa — were processed alongside the samples as positive controls (6 mock samples across runs). In addition, 75 empty wells received no library and were sequenced to monitor index hopping between libraries.</w:t>
      </w:r>
    </w:p>
    <w:p>
      <w:r>
        <w:rPr>
          <w:i/>
          <w:color w:val="888888"/>
          <w:sz w:val="18"/>
        </w:rPr>
        <w:t>[Transposé du manuscrit d'origine — à confirmer pour le lot Durance : standard ZymoBIOMICS (8 taxons bactériens connus) et inclusion de contrôles négatifs/mock — repris du manuscrit d'origine.]</w:t>
      </w:r>
    </w:p>
    <w:p>
      <w:r>
        <w:rPr>
          <w:i w:val="0"/>
          <w:color w:val="1F4E79"/>
        </w:rPr>
        <w:t>The mock community was the ZymoBIOMICS Microbial Community Standard (Zymo Research, cat. D6300).</w:t>
      </w:r>
      <w:r>
        <w:t xml:space="preserve"> The number of biological samples, controls and empty wells actually deposited is given in Supplementary Table S2.</w:t>
      </w:r>
    </w:p>
    <w:p>
      <w:pPr>
        <w:pStyle w:val="Heading1"/>
      </w:pPr>
      <w:r>
        <w:t>5. Sequence processing overview</w:t>
      </w:r>
    </w:p>
    <w:p>
      <w:r>
        <w:rPr>
          <w:b w:val="0"/>
          <w:i w:val="0"/>
        </w:rPr>
        <w:t>Reads were processed with a custom, version-controlled pipeline (git-tracked; each parameter justified in the script headers). The three runs were processed separately through denoising and merged thereafter. Software versions: cutadapt 5.0; R 4.5.3 with DADA2 1.38.0; SILVA reference v138.2 (DADA2 formatted, Zenodo 14169026); BLAST+ 2.13.0; FastQC and MultiQC for quality control. The 16S V4 primers, being also the sequencing primers (Schloss dual-index protocol), are not present in the reads; no 5′ primer trimming was therefore applied.</w:t>
      </w:r>
    </w:p>
    <w:p>
      <w:pPr>
        <w:pStyle w:val="Heading2"/>
      </w:pPr>
      <w:r>
        <w:t>5.1 Quality control</w:t>
      </w:r>
    </w:p>
    <w:p>
      <w:r>
        <w:rPr>
          <w:b w:val="0"/>
          <w:i w:val="0"/>
        </w:rPr>
        <w:t>Per-run read quality was assessed with FastQC and aggregated with MultiQC.</w:t>
      </w:r>
    </w:p>
    <w:p>
      <w:pPr>
        <w:pStyle w:val="Heading2"/>
      </w:pPr>
      <w:r>
        <w:t>5.2 Removal of co-amplified host 12S rRNA</w:t>
      </w:r>
    </w:p>
    <w:p>
      <w:r>
        <w:rPr>
          <w:b w:val="0"/>
          <w:i w:val="0"/>
        </w:rPr>
        <w:t>The 16S V4 primers co-amplify the host mitochondrial 12S rRNA gene (15–67% of reads per sample). Because the host 12S amplicon (~190 bp) is shorter than the bacterial V4 amplicon (~253 bp), host reads were removed upstream by length with cutadapt 5.0: the reverse complements of 806R and 515F were sought at the 3′ end of R1 and R2 respectively (options -a/-A, error rate -e 0.1, minimum overlap -O 10), and read pairs shorter than 240 bp after trimming (--minimum-length 240) were discarded. In a genuine ~253 bp V4 amplicon the opposite primer is never reached within a 251 bp read, so the read stays near full length and is retained; shorter host 12S reads are trimmed below threshold and removed. Discarded reads were kept separately (--too-short-output) as an exploitable host signal.</w:t>
      </w:r>
    </w:p>
    <w:p>
      <w:pPr>
        <w:pStyle w:val="Heading2"/>
      </w:pPr>
      <w:r>
        <w:t>5.3 ASV inference (DADA2, per run)</w:t>
      </w:r>
    </w:p>
    <w:p>
      <w:r>
        <w:rPr>
          <w:b w:val="0"/>
          <w:i w:val="0"/>
        </w:rPr>
        <w:t>Amplicon sequence variants (ASVs) were inferred with DADA2 1.38.0, independently for each run. Reads were quality-filtered and truncated with filterAndTrim (truncLen = 230 for R1 and 190 for R2; maxN = 0; maxEE = c(2, 2); truncQ = 2; rm.phix = TRUE), preserving a large (~167 bp) overlap for the ~253 bp V4 insert with 2×251 bp reads. Error models were learned separately per run (learnErrors), reflecting three distinct MiSeq runs, and reads were denoised (dada) and merged (mergePairs) into per-run sequence tables (makeSequenceTable).</w:t>
      </w:r>
    </w:p>
    <w:p>
      <w:pPr>
        <w:pStyle w:val="Heading2"/>
      </w:pPr>
      <w:r>
        <w:t>5.4 Table merging, chimera removal and taxonomy</w:t>
      </w:r>
    </w:p>
    <w:p>
      <w:r>
        <w:rPr>
          <w:b w:val="0"/>
          <w:i w:val="0"/>
        </w:rPr>
        <w:t>The three per-run sequence tables were combined with mergeSequenceTables, keeping the runs of each library distinct (samples suffixed by run, e.g. __durance1) so that the run effect remains estimable. Chimeras were removed from the merged table with removeBimeraDenovo (method = "consensus"). Taxonomy was assigned against SILVA v138.2 with the naïve Bayesian classifier (assignTaxonomy, tryRC = TRUE) and species-level exact matching (addSpecies). assignTaxonomy replicates the reference per thread and required 256 GB RAM.</w:t>
      </w:r>
    </w:p>
    <w:p>
      <w:pPr>
        <w:pStyle w:val="Heading2"/>
      </w:pPr>
      <w:r>
        <w:t>5.5 Non-target filtering</w:t>
      </w:r>
    </w:p>
    <w:p>
      <w:r>
        <w:rPr>
          <w:b w:val="0"/>
          <w:i w:val="0"/>
        </w:rPr>
        <w:t>ASVs assigned to Eukaryota or unassigned at the domain level, to Chloroplast (Order) or to Mitochondria (Family) were removed; the mitochondrial ASVs correspond to residual full-length host 12S captured by the taxonomic safety net.</w:t>
      </w:r>
    </w:p>
    <w:p>
      <w:pPr>
        <w:pStyle w:val="Heading1"/>
      </w:pPr>
      <w:r>
        <w:t>6. Resulting dataset</w:t>
      </w:r>
    </w:p>
    <w:p>
      <w:r>
        <w:rPr>
          <w:b w:val="0"/>
          <w:i w:val="0"/>
        </w:rPr>
        <w:t>Processing yielded a filtered ASV table of 44,349 ASVs across 2,295 samples (of 2,304 expected; nine empty after filtering: eight controls and one biological sample present in the two other runs). Median read-pair merging was 93–94% and ~98% of reads were retained after chimera removal; ASV length peaked sharply at 251 bp with no residual 12S. The ASV table is joined to the sample metadata (taxon, tissue, site, year, length, weight, sex) by a composite key of the form {sample}__{run}.</w:t>
      </w:r>
    </w:p>
    <w:p>
      <w:pPr>
        <w:pStyle w:val="Heading1"/>
      </w:pPr>
      <w:r>
        <w:t>7. Positive-control validation with the mock community</w:t>
      </w:r>
    </w:p>
    <w:p>
      <w:r>
        <w:rPr>
          <w:b w:val="0"/>
          <w:i w:val="0"/>
        </w:rPr>
        <w:t>The six mock samples (two aliquots × three runs) were used to validate ASV inference. Mock ASVs were compared by BLASTn (BLAST+ 2.13.0) against a reference of the eight bacterial 16S sequences of the ZymoBIOMICS standard. Because Zymo changed five strains from lot ZRC190633 onward, the earlier strain-set reference (archive ZR160406, corresponding to lots predating the 2019 strain change) was used. A confident match required ≥99% identity over ≥240 aligned bp. For each mock we computed the proportion of confidently Zymo-matching reads, the number of the eight expected species recovered, and the number of spurious ASVs (≥1% of sample reads without a confident hit). All six mocks recovered the eight expected species, with the eight dominant ASVs matching the reference at 100% identity over 251 bp; confidently matching reads represented ~100% of reads in every mock and no spurious ASV exceeded 1%, confirming accurate and clean ASV inference. (Escherichia coli and Salmonella enterica each contributed a second divergent ASV at ~99.6%, consistent with their multiple non-identical 16S operons.)</w:t>
      </w:r>
    </w:p>
    <w:p>
      <w:r>
        <w:rPr>
          <w:i w:val="0"/>
          <w:color w:val="C00000"/>
        </w:rPr>
        <w:t>Lot numbers were not recorded for the standard used here; however, sequencing was performed in 2017 (July–November), which predates the ZRC190633 lot from which the five strains were changed, so the earlier strain set applies. This choice does not affect the validation: we verified that over the amplified V4 region the 16S sequences of the two reference sets are identical for all eight species — including Enterococcus faecalis and Staphylococcus aureus, whose full-length 16S differ between lots — so the mock ASVs match either reference equally and the recovery of 8/8 expected species is independent of the lot assignment.</w:t>
      </w:r>
    </w:p>
    <w:p>
      <w:pPr>
        <w:pStyle w:val="Heading1"/>
      </w:pPr>
      <w:r>
        <w:t>8. Downstream ecological analysis</w:t>
      </w:r>
    </w:p>
    <w:p>
      <w:pPr>
        <w:pStyle w:val="Heading2"/>
      </w:pPr>
      <w:r>
        <w:rPr>
          <w:b w:val="0"/>
          <w:i w:val="0"/>
        </w:rPr>
        <w:t>8.1 Decontamination</w:t>
      </w:r>
    </w:p>
    <w:p>
      <w:pPr/>
      <w:r>
        <w:rPr>
          <w:b w:val="0"/>
          <w:i w:val="0"/>
        </w:rPr>
        <w:t>Reagent and laboratory contaminants were identified with decontam v1.30.0 (Davis et al. 2018) using the prevalence method, which contrasts the prevalence of each ASV in true samples against negative controls. DNA concentrations were not available for the Durance libraries, precluding the frequency method. The negative set comprised extraction blanks and PCR (no-template) negative controls, each present in all three sequencing runs (36 control samples in total); mock communities and empty wells were excluded from this step. Batches were defined by sequencing run. Two classification thresholds were compared (0.1, the package default, and 0.5). The default threshold of 0.1 was retained: it flagged 66 ASVs (0.15 % of ASVs) while retaining 99.76 % of reads, and the flagged taxa were taxonomically consistent with common reagent contaminants (Pseudomonadaceae, Moraxellaceae, Micrococcaceae, Propionibacteriaceae, Streptococcaceae). The more aggressive 0.5 threshold additionally removed 2.12 % of reads, including ASVs carrying genuine biological signal — most notably a Candidatus Branchiomonas ASV that was prevalent in gill and external tissues and essentially absent from negative controls — and was therefore rejected.</w:t>
      </w:r>
    </w:p>
    <w:p>
      <w:pPr>
        <w:pStyle w:val="Heading2"/>
      </w:pPr>
      <w:r>
        <w:rPr>
          <w:b w:val="0"/>
          <w:i w:val="0"/>
        </w:rPr>
        <w:t>8.2 Index-hopping assessment</w:t>
      </w:r>
    </w:p>
    <w:p>
      <w:pPr/>
      <w:r>
        <w:rPr>
          <w:b w:val="0"/>
          <w:i w:val="0"/>
        </w:rPr>
        <w:t>Cross-talk between libraries (index hopping) was quantified using the 75 empty wells, which received no library and in which any read therefore represents leakage (67 of them retained at least one read after filtering; the remaining 8 contained none). Across all empty wells these accumulated 41 reads out of 26.8 million (0.0002 %; median 0 reads per well, maximum 13), indicating negligible index hopping. No background-noise subtraction was applied on this basis.</w:t>
      </w:r>
    </w:p>
    <w:p>
      <w:pPr>
        <w:pStyle w:val="Heading2"/>
      </w:pPr>
      <w:r>
        <w:rPr>
          <w:b w:val="0"/>
          <w:i w:val="0"/>
        </w:rPr>
        <w:t>8.3 Mock-derived sample-level artefacts</w:t>
      </w:r>
    </w:p>
    <w:p>
      <w:pPr/>
      <w:r>
        <w:rPr>
          <w:b w:val="0"/>
          <w:i w:val="0"/>
        </w:rPr>
        <w:t>The ten ASVs matching the ZymoBIOMICS reference strains were used as exogenous tracers to screen biological samples. Two nominal individuals consisted of a single caudal-fin sample dominated by mock ASVs (70 % and 99 % of reads) and were positioned in the wells and index series of the mock controls; they were confirmed as mislabelled mock wells and excluded from the biological dataset. A further nine complete individuals showed mock ASVs at 20–65 % in a single well-tissue combination, with their remaining tissues unaffected, consistent with well-level contamination rather than sample-wide carry-over. The affected wells were mostly external tissues (13 caudal fin, 3 gill) but also included four digestive-tissue wells (3 hindgut, 1 midgut). For these samples the mock ASVs were removed and the remaining, legitimate ASVs retained. Mock ASVs were removed from all samples, and ASVs left with zero counts were discarded.</w:t>
      </w:r>
    </w:p>
    <w:p>
      <w:pPr>
        <w:pStyle w:val="Heading2"/>
      </w:pPr>
      <w:r>
        <w:rPr>
          <w:b w:val="0"/>
          <w:i w:val="0"/>
        </w:rPr>
        <w:t>8.4 Analysis dataset</w:t>
      </w:r>
    </w:p>
    <w:p>
      <w:pPr/>
      <w:r>
        <w:rPr>
          <w:b w:val="0"/>
          <w:i w:val="0"/>
        </w:rPr>
        <w:t>After decontamination and removal of mock-derived artefacts, the analysis table comprised 44,200 ASVs across 2,180 biological samples (26.1 million reads). Median sequencing depth was 10,129 reads per sample.</w:t>
      </w:r>
    </w:p>
    <w:p>
      <w:pPr>
        <w:pStyle w:val="Heading2"/>
      </w:pPr>
      <w:r>
        <w:rPr>
          <w:b w:val="0"/>
          <w:i w:val="0"/>
        </w:rPr>
        <w:t>8.5 Phylogenetic tree</w:t>
      </w:r>
    </w:p>
    <w:p>
      <w:pPr/>
      <w:r>
        <w:rPr>
          <w:b w:val="0"/>
          <w:i w:val="0"/>
        </w:rPr>
        <w:t>A de novo phylogeny was built from the ASV sequences with QIIME 2 (align-to-tree-mafft-fasttree): multiple alignment with MAFFT, masking of highly variable positions, tree inference with FastTree 2, and midpoint rooting. Fragment insertion into a reference backbone (SEPP) was not used because the ASVs are near-complete V4 amplicons (~251 bp) for which de novo alignment is appropriate. The resulting rooted tree covers all ASVs of the analysis table and supports UniFrac distances and Faith's phylogenetic diversity.</w:t>
      </w:r>
    </w:p>
    <w:p>
      <w:pPr>
        <w:pStyle w:val="Heading2"/>
      </w:pPr>
      <w:r>
        <w:rPr>
          <w:b w:val="0"/>
          <w:i w:val="0"/>
        </w:rPr>
        <w:t>8.6 Normalization of sequencing effort</w:t>
      </w:r>
    </w:p>
    <w:p>
      <w:pPr/>
      <w:r>
        <w:rPr>
          <w:b w:val="0"/>
          <w:i w:val="0"/>
        </w:rPr>
        <w:t>Uneven sequencing effort was controlled by rarefaction, currently the most robust approach for alpha- and beta-diversity metrics (Schloss 2024). No universal threshold exists; the depth was therefore chosen on the data using three criteria. First, richness plateaued below 3,000 reads in rarefaction curves, so this depth captures the recoverable diversity. Second, a threshold of 3,000 reads retained 81.8 % of samples (1,784/2,180), against 72.6 % at 5,000 reads. Third — and decisively — sample retention at 3,000 reads was balanced across sequencing runs (80.2–83.5 % per run), the main technical batch factor, so rarefaction does not confound depth with batch. A higher threshold was rejected because it increased uneven sample loss across sites and taxa without improving coverage.</w:t>
      </w:r>
    </w:p>
    <w:p>
      <w:pPr/>
      <w:r>
        <w:rPr>
          <w:i w:val="0"/>
        </w:rPr>
        <w:t>Rarefaction was applied repeatedly rather than as a single draw (Cameron et al. 2021). Alpha-diversity indices (observed richness, Shannon, inverse Simpson) were averaged over 1,000 independent rarefactions, and Bray–Curtis and Jaccard dissimilarity matrices over 400. Metrics were averaged rather than count tables: averaging tables would populate each cell with the union of detections across draws and inflate observed richness above what 3,000 reads can support, reintroducing the very depth dependence that rarefaction removes.</w:t>
      </w:r>
    </w:p>
    <w:p>
      <w:pPr/>
      <w:r>
        <w:rPr>
          <w:i w:val="0"/>
        </w:rPr>
        <w:t>Monte-Carlo error was quantified rather than assumed. Because a cumulative mean at N draws and one at 2N share their first N draws and are therefore autocorrelated, convergence was assessed by running two independent chains with disjoint seeds and comparing their means at matched iteration counts, the standard error of a single chain being sd(chain₁ − chain₂)/√2. This error decreased as N^−0.49 (Bray–Curtis) and N^−0.51 (Jaccard), matching the N^−0.5 expected for an average of independent draws. At 100 iterations it stood at 0.04 % of the mean dissimilarity (0.0004 in absolute terms), three orders of magnitude below both the technical (0.118–0.248) and the biological (0.880) dissimilarity scales reported in §8.7, so 100 iterations would have sufficed for the beta-diversity matrices. Median Monte-Carlo standard deviations for the alpha indices were 0.023 for Shannon (0.8 % of the median value), 2.37 for observed richness (1.9 %) and 0.21 for inverse Simpson (2.5 %); the abundance-weighted indices were thus the more stable, consistent with the limited reproducibility of rare ASVs (§8.7).</w:t>
      </w:r>
    </w:p>
    <w:p>
      <w:pPr/>
      <w:r>
        <w:rPr>
          <w:i w:val="0"/>
        </w:rPr>
        <w:t>Note that an averaged dissimilarity matrix is not guaranteed to satisfy the triangle inequality. This does not affect PERMANOVA or principal coordinates analysis, both of which accept semi-metrics, but the averaged matrices were not used in any method requiring a true metric.</w:t>
      </w:r>
    </w:p>
    <w:p>
      <w:pPr/>
      <w:r>
        <w:rPr>
          <w:i/>
          <w:color w:val="888888"/>
          <w:sz w:val="18"/>
        </w:rPr>
        <w:t>[À COMPLÉTER : modèles statistiques — structure des effets aléatoires (séquençage niché dans la préparation de librairie, cf. §8.7), PERMANOVA et PERMDISP, méthode d'abondance différentielle, et contrastes le long du gradient de la zone hybride. Dépend de l'index hybride en cours de génotypage.]</w:t>
      </w:r>
    </w:p>
    <w:p>
      <w:pPr>
        <w:pStyle w:val="Heading2"/>
      </w:pPr>
      <w:r>
        <w:rPr>
          <w:i w:val="0"/>
        </w:rPr>
        <w:t>8.7 Technical replication structure</w:t>
      </w:r>
    </w:p>
    <w:p>
      <w:pPr/>
      <w:r>
        <w:t>The nested replication structure was verified directly from the data. Each pair of runs was compared within sample after rarefaction to a common depth, so that detection probability is identical by construction (548 samples reaching 3,000 reads in all three runs). The two runs sharing a library were markedly more similar to each other (mean Bray–Curtis 0.118, Jaccard 0.445) than either was to the run from the independent library (0.248 and 0.719 respectively); the two library-crossing comparisons were statistically indistinguishable from each other (paired Wilcoxon, p = 0.48) and both differed from the within-library comparison (p &lt; 10⁻⁸⁹). Recapture of rare ASVs (1–3 reads) showed the same pattern (0.48 within library vs 0.19 across).</w:t>
      </w:r>
    </w:p>
    <w:p>
      <w:pPr/>
      <w:r>
        <w:t>Library preparation therefore roughly doubles the technical dissimilarity contributed by sequencing alone, with a proportionally larger effect on presence–absence than on relative abundances. Sequencing run was accordingly modelled as nested within library preparation rather than as a three-level factor with interchangeable levels. Because each sample is present in every batch, technical and biological factors are crossed rather than confounded, so batch-correction methods designed for confounded meta-analyses were not applied.</w:t>
      </w:r>
      <w:r>
        <w:t xml:space="preserve"> Index assignment across preparations and the verification of sample-to-file matching are detailed in Supplementary Table S4 and Note S1.</w:t>
      </w:r>
    </w:p>
    <w:p>
      <w:pPr>
        <w:pStyle w:val="Heading1"/>
      </w:pPr>
      <w:r>
        <w:t>9. Reproducibility and data availability</w:t>
      </w:r>
    </w:p>
    <w:p>
      <w:r>
        <w:rPr>
          <w:b w:val="0"/>
          <w:i w:val="0"/>
        </w:rPr>
        <w:t>All processing steps are scripted, version-controlled with git and logged (runs.log), with parameter choices justified in the script headers; metadata corrections are traced by explicit flags rather than applied silently.</w:t>
      </w:r>
    </w:p>
    <w:p>
      <w:r>
        <w:t>Raw sequence data have been deposited in the European Nucleotide Archive (ENA) at EMBL-EBI under accession number PRJEB124417. The submission comprises 768 samples and 2,304 sequencing runs (4,608 FASTQ files, 11.7 GB). Each sample was processed through two independent one-step dual-index PCR library preparations: the first library was sequenced once (run label durance1) and the second was sequenced twice on separate flow cells (durance2, durance3). Runs are named accordingly, so that the nested replication structure described in §8.7 — sequencing replication nested within library preparation — can be recovered directly from the run titles. Sample metadata follow the GSC MIxS host-associated checklist (ERC000013) and report the exact collection date, station coordinates taken from the field records, host species as resolved by microsatellite genotyping, and sampled tissue. Extraction blanks, no-template PCR controls and mock community aliquots are included in the submission and are identified as such in the sample titles; the 25 empty wells used to quantify index hopping (§8.2) are likewise deposited. Per-run accessions, file names and MD5 checksums for all 4,608 files are given in Supplementary Table S3.</w:t>
      </w:r>
    </w:p>
    <w:p>
      <w:pPr/>
      <w:r>
        <w:rPr>
          <w:i w:val="0"/>
        </w:rPr>
        <w:t>Metadata completeness. Sampling-site coordinates and environmental context terms were obtained from the field records and are reported per site in Supplementary Table S1. Collection dates are given at year resolution, the precision at which sampling was recorded for this dataset; ENA accepts year-only collection dates.</w:t>
      </w:r>
    </w:p>
    <w:p>
      <w:pPr/>
      <w:r>
        <w:rPr>
          <w:i/>
          <w:color w:val="888888"/>
          <w:sz w:val="18"/>
        </w:rPr>
        <w:t>[À COMPLÉTER : lien vers le dépôt de code (git) et, le cas échéant, DOI Zenodo. — Note : les métadonnées ENA ont été corrigées le 2026-08-31 (coordonnées de terrain, dates exactes, identités génotypiques) ; PRJEB124417 est à jour.]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