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microbiome-hybrid — questions en suspens</w:t>
      </w:r>
    </w:p>
    <w:p>
      <w:r>
        <w:rPr>
          <w:b/>
        </w:rPr>
        <w:t xml:space="preserve">État au </w:t>
      </w:r>
      <w:r>
        <w:t>3 octobre 2026. Établi depuis le dépôt du projet sur le cluster MESO@LR (branche main, dernier commit 7f7ab2c du 30 septembre 2026), à partir des registres d'état, des notes éditoriales présentes dans Article.docx et Supplementary_Data.docx, et des notes de décision.</w:t>
      </w:r>
    </w:p>
    <w:p>
      <w:r>
        <w:rPr>
          <w:b/>
        </w:rPr>
        <w:t xml:space="preserve">Mode d'emploi. </w:t>
      </w:r>
      <w:r>
        <w:t>La section 1 regroupe les questions qui ne peuvent être tranchées que par André, parce qu'elles portent sur le terrain, le laboratoire ou le financement. La section 2 regroupe les arbitrages qui reviennent à Jean-François. Chaque question indique son contexte, ce qui en dépend et une zone de réponse.</w:t>
      </w:r>
    </w:p>
    <w:p>
      <w:pPr>
        <w:pStyle w:val="Heading2"/>
      </w:pPr>
      <w:r>
        <w:t>Ce qui est clos et ne doit plus être redemandé</w:t>
      </w:r>
    </w:p>
    <w:p>
      <w:pPr>
        <w:pStyle w:val="ListBullet"/>
      </w:pPr>
      <w:r>
        <w:rPr>
          <w:b/>
        </w:rPr>
        <w:t>Structure de l'article.</w:t>
      </w:r>
      <w:r>
        <w:t xml:space="preserve"> André valide la structure de l'article telle que présentée dans l'introduction (accord transmis par JF le 3 octobre 2026).</w:t>
      </w:r>
    </w:p>
    <w:p>
      <w:pPr>
        <w:pStyle w:val="ListBullet"/>
      </w:pPr>
      <w:r>
        <w:rPr>
          <w:b/>
        </w:rPr>
        <w:t>Les cinq individus sans foie.</w:t>
      </w:r>
      <w:r>
        <w:t xml:space="preserve"> Trois individus sont ajustés sur midgut et caudale, avec des ajustements concordants (Pt par les deux voies) ; deux individus sont passés à NA. JF a arbitré le 30/09 : les deux ajustements sont publiés en nommant le tissu.</w:t>
      </w:r>
    </w:p>
    <w:p>
      <w:pPr>
        <w:pStyle w:val="ListBullet"/>
      </w:pPr>
      <w:r>
        <w:rPr>
          <w:b/>
        </w:rPr>
        <w:t>Dates de pêche de Pertuis.</w:t>
      </w:r>
      <w:r>
        <w:t xml:space="preserve"> La série 1011-1014 correspond au 07/07/2014 et la série 2011-2015 au 20/08/2014. Les séries 1036+ de l'Ain et d'Avignon s'expliquent par des chevesnes intercalés et gardent une date unique.</w:t>
      </w:r>
    </w:p>
    <w:p>
      <w:pPr>
        <w:pStyle w:val="ListBullet"/>
      </w:pPr>
      <w:r>
        <w:rPr>
          <w:b/>
        </w:rPr>
        <w:t>Blocs de numérotation.</w:t>
      </w:r>
      <w:r>
        <w:t xml:space="preserve"> Les numéros suivent l'ordre de prélèvement, les hotus étant prélevés en priorité ; il n'y a pas de facteur spatial supplémentaire (réponse du 25/09). La conséquence sur le délai de dissection reste ouverte (question 1.5).</w:t>
      </w:r>
    </w:p>
    <w:p>
      <w:pPr>
        <w:pStyle w:val="ListBullet"/>
      </w:pPr>
      <w:r>
        <w:rPr>
          <w:b/>
        </w:rPr>
        <w:t>Principe du financement.</w:t>
      </w:r>
      <w:r>
        <w:t xml:space="preserve"> Le contrat est le même qu'en 2017 (EDF, projet FACIES, appui de la Fédération de l'Ain) ; il ne manque que des références précises (question 1.6).</w:t>
      </w:r>
    </w:p>
    <w:p>
      <w:pPr>
        <w:pStyle w:val="ListBullet"/>
      </w:pPr>
      <w:r>
        <w:rPr>
          <w:b/>
        </w:rPr>
        <w:t>Chimie MiSeq.</w:t>
      </w:r>
      <w:r>
        <w:t xml:space="preserve"> Les fiches de run donnent un kit v3 600 cycles lancé en 2 × 251 ; le §3 est corrigé, sans question à poser.</w:t>
      </w:r>
    </w:p>
    <w:p>
      <w:pPr>
        <w:pStyle w:val="Heading1"/>
      </w:pPr>
      <w:r>
        <w:t>Section 1 — Questions pour André</w:t>
      </w:r>
    </w:p>
    <w:p>
      <w:r>
        <w:t>Les §1 à §4 du Materials and Methods sont repris d'un manuscrit antérieur de l'équipe sur le même protocole. Ils sont probablement exacts, mais aucun n'a été confirmé pour le lot Durance 2014-2015 : ce sont des opérations de terrain et de laboratoire que seul un participant peut valider. Ils ne bloquent pas l'analyse, mais ils bloquent la soumission. Les numéros de section ci-dessous sont ceux d'Article.docx.</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907"/>
            <w:shd w:val="clear" w:fill="1565C0"/>
          </w:tcPr>
          <w:p>
            <w:pPr>
              <w:spacing w:line="276" w:lineRule="auto"/>
            </w:pPr>
            <w:r>
              <w:rPr>
                <w:sz w:val="22"/>
              </w:rPr>
            </w:r>
            <w:r>
              <w:rPr>
                <w:b/>
                <w:color w:val="FFFFFF"/>
                <w:sz w:val="22"/>
              </w:rPr>
              <w:t>N°</w:t>
            </w:r>
          </w:p>
        </w:tc>
        <w:tc>
          <w:tcPr>
            <w:tcW w:type="dxa" w:w="4762"/>
            <w:shd w:val="clear" w:fill="1565C0"/>
          </w:tcPr>
          <w:p>
            <w:pPr>
              <w:spacing w:line="276" w:lineRule="auto"/>
            </w:pPr>
            <w:r>
              <w:rPr>
                <w:sz w:val="22"/>
              </w:rPr>
            </w:r>
            <w:r>
              <w:rPr>
                <w:b/>
                <w:color w:val="FFFFFF"/>
                <w:sz w:val="22"/>
              </w:rPr>
              <w:t>Objet</w:t>
            </w:r>
          </w:p>
        </w:tc>
        <w:tc>
          <w:tcPr>
            <w:tcW w:type="dxa" w:w="2381"/>
            <w:shd w:val="clear" w:fill="1565C0"/>
          </w:tcPr>
          <w:p>
            <w:pPr>
              <w:spacing w:line="276" w:lineRule="auto"/>
            </w:pPr>
            <w:r>
              <w:rPr>
                <w:sz w:val="22"/>
              </w:rPr>
            </w:r>
            <w:r>
              <w:rPr>
                <w:b/>
                <w:color w:val="FFFFFF"/>
                <w:sz w:val="22"/>
              </w:rPr>
              <w:t>Bloque</w:t>
            </w:r>
          </w:p>
        </w:tc>
        <w:tc>
          <w:tcPr>
            <w:tcW w:type="dxa" w:w="1361"/>
            <w:shd w:val="clear" w:fill="1565C0"/>
          </w:tcPr>
          <w:p>
            <w:pPr>
              <w:spacing w:line="276" w:lineRule="auto"/>
            </w:pPr>
            <w:r>
              <w:rPr>
                <w:sz w:val="22"/>
              </w:rPr>
            </w:r>
            <w:r>
              <w:rPr>
                <w:b/>
                <w:color w:val="FFFFFF"/>
                <w:sz w:val="22"/>
              </w:rPr>
              <w:t>Priorité</w:t>
            </w:r>
          </w:p>
        </w:tc>
      </w:tr>
      <w:tr>
        <w:tc>
          <w:tcPr>
            <w:tcW w:type="dxa" w:w="907"/>
          </w:tcPr>
          <w:p>
            <w:pPr>
              <w:spacing w:line="276" w:lineRule="auto"/>
            </w:pPr>
            <w:r>
              <w:rPr>
                <w:sz w:val="22"/>
              </w:rPr>
              <w:t>1.1</w:t>
            </w:r>
          </w:p>
        </w:tc>
        <w:tc>
          <w:tcPr>
            <w:tcW w:type="dxa" w:w="4762"/>
          </w:tcPr>
          <w:p>
            <w:pPr>
              <w:spacing w:line="276" w:lineRule="auto"/>
            </w:pPr>
            <w:r>
              <w:rPr>
                <w:sz w:val="22"/>
              </w:rPr>
              <w:t>§1 — capture, euthanasie, autorisations</w:t>
            </w:r>
          </w:p>
        </w:tc>
        <w:tc>
          <w:tcPr>
            <w:tcW w:type="dxa" w:w="2381"/>
          </w:tcPr>
          <w:p>
            <w:pPr>
              <w:spacing w:line="276" w:lineRule="auto"/>
            </w:pPr>
            <w:r>
              <w:rPr>
                <w:sz w:val="22"/>
              </w:rPr>
              <w:t>Soumission</w:t>
            </w:r>
          </w:p>
        </w:tc>
        <w:tc>
          <w:tcPr>
            <w:tcW w:type="dxa" w:w="1361"/>
          </w:tcPr>
          <w:p>
            <w:pPr>
              <w:spacing w:line="276" w:lineRule="auto"/>
            </w:pPr>
            <w:r>
              <w:rPr>
                <w:sz w:val="22"/>
              </w:rPr>
              <w:t>Haute</w:t>
            </w:r>
          </w:p>
        </w:tc>
      </w:tr>
      <w:tr>
        <w:tc>
          <w:tcPr>
            <w:tcW w:type="dxa" w:w="907"/>
          </w:tcPr>
          <w:p>
            <w:pPr>
              <w:spacing w:line="276" w:lineRule="auto"/>
            </w:pPr>
            <w:r>
              <w:rPr>
                <w:sz w:val="22"/>
              </w:rPr>
              <w:t>1.2</w:t>
            </w:r>
          </w:p>
        </w:tc>
        <w:tc>
          <w:tcPr>
            <w:tcW w:type="dxa" w:w="4762"/>
          </w:tcPr>
          <w:p>
            <w:pPr>
              <w:spacing w:line="276" w:lineRule="auto"/>
            </w:pPr>
            <w:r>
              <w:rPr>
                <w:sz w:val="22"/>
              </w:rPr>
              <w:t>§2 — conservation, dissection, identité du tissu 01</w:t>
            </w:r>
          </w:p>
        </w:tc>
        <w:tc>
          <w:tcPr>
            <w:tcW w:type="dxa" w:w="2381"/>
          </w:tcPr>
          <w:p>
            <w:pPr>
              <w:spacing w:line="276" w:lineRule="auto"/>
            </w:pPr>
            <w:r>
              <w:rPr>
                <w:sz w:val="22"/>
              </w:rPr>
              <w:t>Soumission</w:t>
            </w:r>
          </w:p>
        </w:tc>
        <w:tc>
          <w:tcPr>
            <w:tcW w:type="dxa" w:w="1361"/>
          </w:tcPr>
          <w:p>
            <w:pPr>
              <w:spacing w:line="276" w:lineRule="auto"/>
            </w:pPr>
            <w:r>
              <w:rPr>
                <w:sz w:val="22"/>
              </w:rPr>
              <w:t>Haute</w:t>
            </w:r>
          </w:p>
        </w:tc>
      </w:tr>
      <w:tr>
        <w:tc>
          <w:tcPr>
            <w:tcW w:type="dxa" w:w="907"/>
          </w:tcPr>
          <w:p>
            <w:pPr>
              <w:spacing w:line="276" w:lineRule="auto"/>
            </w:pPr>
            <w:r>
              <w:rPr>
                <w:sz w:val="22"/>
              </w:rPr>
              <w:t>1.3</w:t>
            </w:r>
          </w:p>
        </w:tc>
        <w:tc>
          <w:tcPr>
            <w:tcW w:type="dxa" w:w="4762"/>
          </w:tcPr>
          <w:p>
            <w:pPr>
              <w:spacing w:line="276" w:lineRule="auto"/>
            </w:pPr>
            <w:r>
              <w:rPr>
                <w:sz w:val="22"/>
              </w:rPr>
              <w:t>§3 — extraction et préparation des librairies</w:t>
            </w:r>
          </w:p>
        </w:tc>
        <w:tc>
          <w:tcPr>
            <w:tcW w:type="dxa" w:w="2381"/>
          </w:tcPr>
          <w:p>
            <w:pPr>
              <w:spacing w:line="276" w:lineRule="auto"/>
            </w:pPr>
            <w:r>
              <w:rPr>
                <w:sz w:val="22"/>
              </w:rPr>
              <w:t>Soumission</w:t>
            </w:r>
          </w:p>
        </w:tc>
        <w:tc>
          <w:tcPr>
            <w:tcW w:type="dxa" w:w="1361"/>
          </w:tcPr>
          <w:p>
            <w:pPr>
              <w:spacing w:line="276" w:lineRule="auto"/>
            </w:pPr>
            <w:r>
              <w:rPr>
                <w:sz w:val="22"/>
              </w:rPr>
              <w:t>Haute</w:t>
            </w:r>
          </w:p>
        </w:tc>
      </w:tr>
      <w:tr>
        <w:tc>
          <w:tcPr>
            <w:tcW w:type="dxa" w:w="907"/>
          </w:tcPr>
          <w:p>
            <w:pPr>
              <w:spacing w:line="276" w:lineRule="auto"/>
            </w:pPr>
            <w:r>
              <w:rPr>
                <w:sz w:val="22"/>
              </w:rPr>
              <w:t>1.4</w:t>
            </w:r>
          </w:p>
        </w:tc>
        <w:tc>
          <w:tcPr>
            <w:tcW w:type="dxa" w:w="4762"/>
          </w:tcPr>
          <w:p>
            <w:pPr>
              <w:spacing w:line="276" w:lineRule="auto"/>
            </w:pPr>
            <w:r>
              <w:rPr>
                <w:sz w:val="22"/>
              </w:rPr>
              <w:t>§4 — témoins négatifs et mock ; contamination de puits caudale</w:t>
            </w:r>
          </w:p>
        </w:tc>
        <w:tc>
          <w:tcPr>
            <w:tcW w:type="dxa" w:w="2381"/>
          </w:tcPr>
          <w:p>
            <w:pPr>
              <w:spacing w:line="276" w:lineRule="auto"/>
            </w:pPr>
            <w:r>
              <w:rPr>
                <w:sz w:val="22"/>
              </w:rPr>
              <w:t>Soumission</w:t>
            </w:r>
          </w:p>
        </w:tc>
        <w:tc>
          <w:tcPr>
            <w:tcW w:type="dxa" w:w="1361"/>
          </w:tcPr>
          <w:p>
            <w:pPr>
              <w:spacing w:line="276" w:lineRule="auto"/>
            </w:pPr>
            <w:r>
              <w:rPr>
                <w:sz w:val="22"/>
              </w:rPr>
              <w:t>Haute</w:t>
            </w:r>
          </w:p>
        </w:tc>
      </w:tr>
      <w:tr>
        <w:tc>
          <w:tcPr>
            <w:tcW w:type="dxa" w:w="907"/>
          </w:tcPr>
          <w:p>
            <w:pPr>
              <w:spacing w:line="276" w:lineRule="auto"/>
            </w:pPr>
            <w:r>
              <w:rPr>
                <w:sz w:val="22"/>
              </w:rPr>
              <w:t>1.5</w:t>
            </w:r>
          </w:p>
        </w:tc>
        <w:tc>
          <w:tcPr>
            <w:tcW w:type="dxa" w:w="4762"/>
          </w:tcPr>
          <w:p>
            <w:pPr>
              <w:spacing w:line="276" w:lineRule="auto"/>
            </w:pPr>
            <w:r>
              <w:rPr>
                <w:sz w:val="22"/>
              </w:rPr>
              <w:t>Délai capture–dissection et ordre de prélèvement des tissus</w:t>
            </w:r>
          </w:p>
        </w:tc>
        <w:tc>
          <w:tcPr>
            <w:tcW w:type="dxa" w:w="2381"/>
          </w:tcPr>
          <w:p>
            <w:pPr>
              <w:spacing w:line="276" w:lineRule="auto"/>
            </w:pPr>
            <w:r>
              <w:rPr>
                <w:sz w:val="22"/>
              </w:rPr>
              <w:t>Interprétation des effets digestifs</w:t>
            </w:r>
          </w:p>
        </w:tc>
        <w:tc>
          <w:tcPr>
            <w:tcW w:type="dxa" w:w="1361"/>
          </w:tcPr>
          <w:p>
            <w:pPr>
              <w:spacing w:line="276" w:lineRule="auto"/>
            </w:pPr>
            <w:r>
              <w:rPr>
                <w:sz w:val="22"/>
              </w:rPr>
              <w:t>Haute</w:t>
            </w:r>
          </w:p>
        </w:tc>
      </w:tr>
      <w:tr>
        <w:tc>
          <w:tcPr>
            <w:tcW w:type="dxa" w:w="907"/>
          </w:tcPr>
          <w:p>
            <w:pPr>
              <w:spacing w:line="276" w:lineRule="auto"/>
            </w:pPr>
            <w:r>
              <w:rPr>
                <w:sz w:val="22"/>
              </w:rPr>
              <w:t>1.6</w:t>
            </w:r>
          </w:p>
        </w:tc>
        <w:tc>
          <w:tcPr>
            <w:tcW w:type="dxa" w:w="4762"/>
          </w:tcPr>
          <w:p>
            <w:pPr>
              <w:spacing w:line="276" w:lineRule="auto"/>
            </w:pPr>
            <w:r>
              <w:rPr>
                <w:sz w:val="22"/>
              </w:rPr>
              <w:t>Financement : référence du contrat EDF, nom légal de la Fédération</w:t>
            </w:r>
          </w:p>
        </w:tc>
        <w:tc>
          <w:tcPr>
            <w:tcW w:type="dxa" w:w="2381"/>
          </w:tcPr>
          <w:p>
            <w:pPr>
              <w:spacing w:line="276" w:lineRule="auto"/>
            </w:pPr>
            <w:r>
              <w:rPr>
                <w:sz w:val="22"/>
              </w:rPr>
              <w:t>Soumission</w:t>
            </w:r>
          </w:p>
        </w:tc>
        <w:tc>
          <w:tcPr>
            <w:tcW w:type="dxa" w:w="1361"/>
          </w:tcPr>
          <w:p>
            <w:pPr>
              <w:spacing w:line="276" w:lineRule="auto"/>
            </w:pPr>
            <w:r>
              <w:rPr>
                <w:sz w:val="22"/>
              </w:rPr>
              <w:t>Moyenne</w:t>
            </w:r>
          </w:p>
        </w:tc>
      </w:tr>
      <w:tr>
        <w:tc>
          <w:tcPr>
            <w:tcW w:type="dxa" w:w="907"/>
          </w:tcPr>
          <w:p>
            <w:pPr>
              <w:spacing w:line="276" w:lineRule="auto"/>
            </w:pPr>
            <w:r>
              <w:rPr>
                <w:sz w:val="22"/>
              </w:rPr>
              <w:t>1.7</w:t>
            </w:r>
          </w:p>
        </w:tc>
        <w:tc>
          <w:tcPr>
            <w:tcW w:type="dxa" w:w="4762"/>
          </w:tcPr>
          <w:p>
            <w:pPr>
              <w:spacing w:line="276" w:lineRule="auto"/>
            </w:pPr>
            <w:r>
              <w:rPr>
                <w:sz w:val="22"/>
              </w:rPr>
              <w:t>Remerciements : appui de terrain et de laboratoire</w:t>
            </w:r>
          </w:p>
        </w:tc>
        <w:tc>
          <w:tcPr>
            <w:tcW w:type="dxa" w:w="2381"/>
          </w:tcPr>
          <w:p>
            <w:pPr>
              <w:spacing w:line="276" w:lineRule="auto"/>
            </w:pPr>
            <w:r>
              <w:rPr>
                <w:sz w:val="22"/>
              </w:rPr>
              <w:t>Soumission</w:t>
            </w:r>
          </w:p>
        </w:tc>
        <w:tc>
          <w:tcPr>
            <w:tcW w:type="dxa" w:w="1361"/>
          </w:tcPr>
          <w:p>
            <w:pPr>
              <w:spacing w:line="276" w:lineRule="auto"/>
            </w:pPr>
            <w:r>
              <w:rPr>
                <w:sz w:val="22"/>
              </w:rPr>
              <w:t>Basse</w:t>
            </w:r>
          </w:p>
        </w:tc>
      </w:tr>
    </w:tbl>
    <w:p/>
    <w:p>
      <w:pPr>
        <w:pStyle w:val="Heading2"/>
      </w:pPr>
      <w:r>
        <w:t>Protocoles de terrain et de laboratoire</w:t>
      </w:r>
    </w:p>
    <w:p>
      <w:pPr>
        <w:pStyle w:val="Heading3"/>
      </w:pPr>
      <w:r>
        <w:t>1.1 — Capture, euthanasie et autorisations (§1)</w:t>
      </w:r>
    </w:p>
    <w:p>
      <w:r>
        <w:rPr>
          <w:b/>
        </w:rPr>
        <w:t xml:space="preserve">Priorité : </w:t>
      </w:r>
      <w:r>
        <w:t>haute — bloque la soumission</w:t>
      </w:r>
    </w:p>
    <w:p>
      <w:r>
        <w:rPr>
          <w:b/>
        </w:rPr>
        <w:t xml:space="preserve">Contexte. </w:t>
      </w:r>
      <w:r>
        <w:t>Le texte actuel décrit une capture par pêche électrique, une euthanasie par dislocation cervicale et des numéros d'autorisation repris du manuscrit d'origine.</w:t>
      </w:r>
    </w:p>
    <w:p>
      <w:r>
        <w:rPr>
          <w:b/>
        </w:rPr>
        <w:t xml:space="preserve">Question. </w:t>
      </w:r>
      <w:r>
        <w:t>Ces trois éléments valent-ils pour les 9 sites et pour les deux campagnes, 2014 et 2015 ? Quels numéros d'autorisation (arrêtés préfectoraux de pêche scientifique, autorisation d'expérimentation le cas échéant) couvrent ces campagnes ?</w:t>
      </w:r>
    </w:p>
    <w:p>
      <w:r>
        <w:rPr>
          <w:b/>
        </w:rPr>
        <w:t xml:space="preserve">Ce qui en dépend. </w:t>
      </w:r>
      <w:r>
        <w:t>La déclaration éthique et le §1. Sans numéros d'autorisation, l'article ne peut pas être soumis.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1.2 — Conservation, dissection et identité du tissu 01 (§2)</w:t>
      </w:r>
    </w:p>
    <w:p>
      <w:r>
        <w:rPr>
          <w:b/>
        </w:rPr>
        <w:t xml:space="preserve">Priorité : </w:t>
      </w:r>
      <w:r>
        <w:t>haute — bloque la soumission</w:t>
      </w:r>
    </w:p>
    <w:p>
      <w:r>
        <w:rPr>
          <w:b/>
        </w:rPr>
        <w:t xml:space="preserve">Contexte. </w:t>
      </w:r>
      <w:r>
        <w:t>Le texte décrit une dissection stérile et une conservation en éthanol 95 % à −80 °C. Le manuscrit d'origine ne décrivait ce protocole que pour la branchie et le midgut ; le texte l'étend aux quatre tissus. Par ailleurs, les notes du projet désignent le tissu 01 tantôt comme « nageoire caudale », tantôt comme « peau ». Guivier et al. (2017) écrivent « caudal fin ».</w:t>
      </w:r>
    </w:p>
    <w:p>
      <w:r>
        <w:rPr>
          <w:b/>
        </w:rPr>
        <w:t xml:space="preserve">Question. </w:t>
      </w:r>
      <w:r>
        <w:t>(a) La caudale et le hindgut ont-ils suivi exactement le même protocole de dissection et de conservation que la branchie et le midgut ? (b) Le tissu 01 est-il un fragment de nageoire caudale, ou de la peau (pédoncule caudal, flanc) ?</w:t>
      </w:r>
    </w:p>
    <w:p>
      <w:r>
        <w:rPr>
          <w:b/>
        </w:rPr>
        <w:t xml:space="preserve">Ce qui en dépend. </w:t>
      </w:r>
      <w:r>
        <w:t>Le §2, et le vocabulaire de tout l'article : le gradient externe → interne a pour pôle externe ce tissu.</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1.3 — Extraction d'ADN et préparation des librairies (§3)</w:t>
      </w:r>
    </w:p>
    <w:p>
      <w:r>
        <w:rPr>
          <w:b/>
        </w:rPr>
        <w:t xml:space="preserve">Priorité : </w:t>
      </w:r>
      <w:r>
        <w:t>haute — bloque la soumission</w:t>
      </w:r>
    </w:p>
    <w:p>
      <w:r>
        <w:rPr>
          <w:b/>
        </w:rPr>
        <w:t xml:space="preserve">Contexte. </w:t>
      </w:r>
      <w:r>
        <w:t>Le texte décrit, d'après le manuscrit d'origine, l'extraction au kit Qiagen Food Mericon, l'indexation dual-index de Kozich et al. (2013), le protocole de Galan et al. (2016) et une quantification Kapa. La chimie de séquençage est désormais établie d'après les fiches de run (kit v3 600 cycles, lectures 2 × 251). Pour information : les données montrent que l'attribution des index aux puits a changé entre les deux préparations de librairies (l'index i7 diffère pour 384 des 768 librairies), contrairement à la phrase « identical throughout » du texte transposé. Nous la corrigeons.</w:t>
      </w:r>
    </w:p>
    <w:p>
      <w:r>
        <w:rPr>
          <w:b/>
        </w:rPr>
        <w:t xml:space="preserve">Question. </w:t>
      </w:r>
      <w:r>
        <w:t>Le kit d'extraction, le protocole d'indexation et la méthode de quantification sont-ils bien ceux utilisés pour le lot Durance (séquencé en 2017) ? Une modification du protocole d'extraction (masse de tissu, durée de lyse) est-elle à signaler ?</w:t>
      </w:r>
    </w:p>
    <w:p>
      <w:r>
        <w:rPr>
          <w:b/>
        </w:rPr>
        <w:t xml:space="preserve">Ce qui en dépend. </w:t>
      </w:r>
      <w:r>
        <w:t>Le §3.</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1.4 — Témoins négatifs, mock et contamination de puits (§4)</w:t>
      </w:r>
    </w:p>
    <w:p>
      <w:r>
        <w:rPr>
          <w:b/>
        </w:rPr>
        <w:t xml:space="preserve">Priorité : </w:t>
      </w:r>
      <w:r>
        <w:t>haute pour (a), basse pour (b) et (c)</w:t>
      </w:r>
    </w:p>
    <w:p>
      <w:r>
        <w:rPr>
          <w:b/>
        </w:rPr>
        <w:t xml:space="preserve">Contexte. </w:t>
      </w:r>
      <w:r>
        <w:t>Les données confirment le standard ZymoBIOMICS : les 8 espèces attendues sont retrouvées, à 100 %. Ce qui n'est pas établi, c'est la nature des témoins négatifs. Par ailleurs, 20 échantillons de poisson portent de l'ADN du mock. Ce sont presque tous des caudales (séries Bue, Ain1043, Caa1018), plus une branchie (14Man1022) ; aucun tissu intestinal n'est touché. Les séquences du mock ont été retirées, mais l'origine de la fuite n'est pas connue.</w:t>
      </w:r>
    </w:p>
    <w:p>
      <w:r>
        <w:rPr>
          <w:b/>
        </w:rPr>
        <w:t xml:space="preserve">Question. </w:t>
      </w:r>
      <w:r>
        <w:t>(a) Quels témoins négatifs ont été inclus pour ce lot (blancs d'extraction, blancs de PCR, puits vides), combien, et à quelle étape ? (b) Le numéro de lot du standard Zymo a-t-il été noté quelque part ? Le texte est rédigé pour s'en passer, mais il serait préférable de le citer. (c) Un débordement de puits lors de la préparation de la plaque est-il plausible pour les puits de caudale contaminés ?</w:t>
      </w:r>
    </w:p>
    <w:p>
      <w:r>
        <w:rPr>
          <w:b/>
        </w:rPr>
        <w:t xml:space="preserve">Ce qui en dépend. </w:t>
      </w:r>
      <w:r>
        <w:t>Le §4 et la description de la décontamination.</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2"/>
      </w:pPr>
      <w:r>
        <w:t>Précision qui conditionne l'interprétation</w:t>
      </w:r>
    </w:p>
    <w:p>
      <w:pPr>
        <w:pStyle w:val="Heading3"/>
      </w:pPr>
      <w:r>
        <w:t>1.5 — Délai entre capture et dissection, ordre de prélèvement des tissus</w:t>
      </w:r>
    </w:p>
    <w:p>
      <w:r>
        <w:rPr>
          <w:b/>
        </w:rPr>
        <w:t xml:space="preserve">Priorité : </w:t>
      </w:r>
      <w:r>
        <w:t>haute — conditionne la discussion</w:t>
      </w:r>
    </w:p>
    <w:p>
      <w:r>
        <w:rPr>
          <w:b/>
        </w:rPr>
        <w:t xml:space="preserve">Contexte. </w:t>
      </w:r>
      <w:r>
        <w:t>Vous avez indiqué le 25/09 que les hotus, plus fragiles, sont prélevés en priorité. Le délai entre capture et dissection est donc confondu avec l'espèce par construction du protocole. Or la plaque a été chargée dans l'ordre d'échantillonnage à cinq stations sur neuf (corrélation de Spearman entre numéro d'individu et colonne de plaque de 0,87 à 0,95). Un délai de manipulation affecterait d'abord les compartiments digestifs, tandis qu'un effet de la température de l'eau toucherait les quatre compartiments.</w:t>
      </w:r>
    </w:p>
    <w:p>
      <w:r>
        <w:rPr>
          <w:b/>
        </w:rPr>
        <w:t xml:space="preserve">Question. </w:t>
      </w:r>
      <w:r>
        <w:t>(a) Quel est l'ordre de grandeur du délai entre capture et dissection, et son étendue entre le premier et le dernier poisson d'une station ? (b) Comment les poissons étaient-ils gardés pendant ce délai (vivier, glace, déjà euthanasiés) ? (c) Dans quel ordre les quatre tissus étaient-ils prélevés sur un même poisson ?</w:t>
      </w:r>
    </w:p>
    <w:p>
      <w:r>
        <w:rPr>
          <w:b/>
        </w:rPr>
        <w:t xml:space="preserve">Ce qui en dépend. </w:t>
      </w:r>
      <w:r>
        <w:t>L'interprétation de tout effet de catégorie limité au midgut et au hindgut, qui sont précisément les compartiments où des signaux sont détectés. La prédiction correspondante doit être écrite avant l'analyse par compartiment.</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2"/>
      </w:pPr>
      <w:r>
        <w:t>Financement et remerciements</w:t>
      </w:r>
    </w:p>
    <w:p>
      <w:pPr>
        <w:pStyle w:val="Heading3"/>
      </w:pPr>
      <w:r>
        <w:t>1.6 — Référence du contrat et nom légal de la Fédération</w:t>
      </w:r>
    </w:p>
    <w:p>
      <w:r>
        <w:rPr>
          <w:b/>
        </w:rPr>
        <w:t xml:space="preserve">Priorité : </w:t>
      </w:r>
      <w:r>
        <w:t>moyenne</w:t>
      </w:r>
    </w:p>
    <w:p>
      <w:r>
        <w:rPr>
          <w:b/>
        </w:rPr>
        <w:t xml:space="preserve">Contexte. </w:t>
      </w:r>
      <w:r>
        <w:t>Guivier et al. (2017) écrivent : « Electricité de France within the project FACIES », et remercient la « Fédération de l'Ain pour la pêche et la protection des milieux aquatiques ». Aucun numéro de contrat n'y figure.</w:t>
      </w:r>
    </w:p>
    <w:p>
      <w:r>
        <w:rPr>
          <w:b/>
        </w:rPr>
        <w:t xml:space="preserve">Question. </w:t>
      </w:r>
      <w:r>
        <w:t>(a) Quel est le numéro ou la référence du contrat EDF / FACIES ? (b) L'intitulé ci-dessus est-il le nom légal exact de la Fédération ? (c) D'autres fédérations départementales ont-elles contribué aux pêches de la Durance, du Buëch, du Largue ou de la Beaume ?</w:t>
      </w:r>
    </w:p>
    <w:p>
      <w:r>
        <w:rPr>
          <w:b/>
        </w:rPr>
        <w:t xml:space="preserve">Ce qui en dépend. </w:t>
      </w:r>
      <w:r>
        <w:t>La section Funding.</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1.7 — Remerciements</w:t>
      </w:r>
    </w:p>
    <w:p>
      <w:r>
        <w:rPr>
          <w:b/>
        </w:rPr>
        <w:t xml:space="preserve">Priorité : </w:t>
      </w:r>
      <w:r>
        <w:t>basse</w:t>
      </w:r>
    </w:p>
    <w:p>
      <w:r>
        <w:rPr>
          <w:b/>
        </w:rPr>
        <w:t xml:space="preserve">Contexte. </w:t>
      </w:r>
      <w:r>
        <w:t>La section Acknowledgements n'est pas rédigée.</w:t>
      </w:r>
    </w:p>
    <w:p>
      <w:r>
        <w:rPr>
          <w:b/>
        </w:rPr>
        <w:t xml:space="preserve">Question. </w:t>
      </w:r>
      <w:r>
        <w:t>Qui faut-il remercier pour l'appui de terrain en 2014-2015 et pour le travail de laboratoire (plateforme de séquençage, personnes)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1"/>
      </w:pPr>
      <w:r>
        <w:t>Section 2 — Questions pour Jean-François</w:t>
      </w:r>
    </w:p>
    <w:p>
      <w:r>
        <w:t>Ces arbitrages ne demandent aucun calcul préalable : les chiffres qui les éclairent sont déjà produits. Les chemins indiqués sont relatifs à la racine du projet sur le cluster.</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907"/>
            <w:shd w:val="clear" w:fill="1565C0"/>
          </w:tcPr>
          <w:p>
            <w:pPr>
              <w:spacing w:line="276" w:lineRule="auto"/>
            </w:pPr>
            <w:r>
              <w:rPr>
                <w:sz w:val="22"/>
              </w:rPr>
            </w:r>
            <w:r>
              <w:rPr>
                <w:b/>
                <w:color w:val="FFFFFF"/>
                <w:sz w:val="22"/>
              </w:rPr>
              <w:t>N°</w:t>
            </w:r>
          </w:p>
        </w:tc>
        <w:tc>
          <w:tcPr>
            <w:tcW w:type="dxa" w:w="4762"/>
            <w:shd w:val="clear" w:fill="1565C0"/>
          </w:tcPr>
          <w:p>
            <w:pPr>
              <w:spacing w:line="276" w:lineRule="auto"/>
            </w:pPr>
            <w:r>
              <w:rPr>
                <w:sz w:val="22"/>
              </w:rPr>
            </w:r>
            <w:r>
              <w:rPr>
                <w:b/>
                <w:color w:val="FFFFFF"/>
                <w:sz w:val="22"/>
              </w:rPr>
              <w:t>Objet</w:t>
            </w:r>
          </w:p>
        </w:tc>
        <w:tc>
          <w:tcPr>
            <w:tcW w:type="dxa" w:w="2381"/>
            <w:shd w:val="clear" w:fill="1565C0"/>
          </w:tcPr>
          <w:p>
            <w:pPr>
              <w:spacing w:line="276" w:lineRule="auto"/>
            </w:pPr>
            <w:r>
              <w:rPr>
                <w:sz w:val="22"/>
              </w:rPr>
            </w:r>
            <w:r>
              <w:rPr>
                <w:b/>
                <w:color w:val="FFFFFF"/>
                <w:sz w:val="22"/>
              </w:rPr>
              <w:t>Bloque</w:t>
            </w:r>
          </w:p>
        </w:tc>
        <w:tc>
          <w:tcPr>
            <w:tcW w:type="dxa" w:w="1361"/>
            <w:shd w:val="clear" w:fill="1565C0"/>
          </w:tcPr>
          <w:p>
            <w:pPr>
              <w:spacing w:line="276" w:lineRule="auto"/>
            </w:pPr>
            <w:r>
              <w:rPr>
                <w:sz w:val="22"/>
              </w:rPr>
            </w:r>
            <w:r>
              <w:rPr>
                <w:b/>
                <w:color w:val="FFFFFF"/>
                <w:sz w:val="22"/>
              </w:rPr>
              <w:t>Priorité</w:t>
            </w:r>
          </w:p>
        </w:tc>
      </w:tr>
      <w:tr>
        <w:tc>
          <w:tcPr>
            <w:tcW w:type="dxa" w:w="907"/>
          </w:tcPr>
          <w:p>
            <w:pPr>
              <w:spacing w:line="276" w:lineRule="auto"/>
            </w:pPr>
            <w:r>
              <w:rPr>
                <w:sz w:val="22"/>
              </w:rPr>
              <w:t>2.1</w:t>
            </w:r>
          </w:p>
        </w:tc>
        <w:tc>
          <w:tcPr>
            <w:tcW w:type="dxa" w:w="4762"/>
          </w:tcPr>
          <w:p>
            <w:pPr>
              <w:spacing w:line="276" w:lineRule="auto"/>
            </w:pPr>
            <w:r>
              <w:rPr>
                <w:sz w:val="22"/>
              </w:rPr>
              <w:t>D2 — ce que le texte affirme de l'effet de position</w:t>
            </w:r>
          </w:p>
        </w:tc>
        <w:tc>
          <w:tcPr>
            <w:tcW w:type="dxa" w:w="2381"/>
          </w:tcPr>
          <w:p>
            <w:pPr>
              <w:spacing w:line="276" w:lineRule="auto"/>
            </w:pPr>
            <w:r>
              <w:rPr>
                <w:sz w:val="22"/>
              </w:rPr>
              <w:t>Results, §8.8–8.9</w:t>
            </w:r>
          </w:p>
        </w:tc>
        <w:tc>
          <w:tcPr>
            <w:tcW w:type="dxa" w:w="1361"/>
          </w:tcPr>
          <w:p>
            <w:pPr>
              <w:spacing w:line="276" w:lineRule="auto"/>
            </w:pPr>
            <w:r>
              <w:rPr>
                <w:sz w:val="22"/>
              </w:rPr>
              <w:t>Haute</w:t>
            </w:r>
          </w:p>
        </w:tc>
      </w:tr>
      <w:tr>
        <w:tc>
          <w:tcPr>
            <w:tcW w:type="dxa" w:w="907"/>
          </w:tcPr>
          <w:p>
            <w:pPr>
              <w:spacing w:line="276" w:lineRule="auto"/>
            </w:pPr>
            <w:r>
              <w:rPr>
                <w:sz w:val="22"/>
              </w:rPr>
              <w:t>2.2</w:t>
            </w:r>
          </w:p>
        </w:tc>
        <w:tc>
          <w:tcPr>
            <w:tcW w:type="dxa" w:w="4762"/>
          </w:tcPr>
          <w:p>
            <w:pPr>
              <w:spacing w:line="276" w:lineRule="auto"/>
            </w:pPr>
            <w:r>
              <w:rPr>
                <w:sz w:val="22"/>
              </w:rPr>
              <w:t>Prédiction délai de dissection contre température</w:t>
            </w:r>
          </w:p>
        </w:tc>
        <w:tc>
          <w:tcPr>
            <w:tcW w:type="dxa" w:w="2381"/>
          </w:tcPr>
          <w:p>
            <w:pPr>
              <w:spacing w:line="276" w:lineRule="auto"/>
            </w:pPr>
            <w:r>
              <w:rPr>
                <w:sz w:val="22"/>
              </w:rPr>
              <w:t>Analyse par compartiment</w:t>
            </w:r>
          </w:p>
        </w:tc>
        <w:tc>
          <w:tcPr>
            <w:tcW w:type="dxa" w:w="1361"/>
          </w:tcPr>
          <w:p>
            <w:pPr>
              <w:spacing w:line="276" w:lineRule="auto"/>
            </w:pPr>
            <w:r>
              <w:rPr>
                <w:sz w:val="22"/>
              </w:rPr>
              <w:t>Haute</w:t>
            </w:r>
          </w:p>
        </w:tc>
      </w:tr>
      <w:tr>
        <w:tc>
          <w:tcPr>
            <w:tcW w:type="dxa" w:w="907"/>
          </w:tcPr>
          <w:p>
            <w:pPr>
              <w:spacing w:line="276" w:lineRule="auto"/>
            </w:pPr>
            <w:r>
              <w:rPr>
                <w:sz w:val="22"/>
              </w:rPr>
              <w:t>2.3</w:t>
            </w:r>
          </w:p>
        </w:tc>
        <w:tc>
          <w:tcPr>
            <w:tcW w:type="dxa" w:w="4762"/>
          </w:tcPr>
          <w:p>
            <w:pPr>
              <w:spacing w:line="276" w:lineRule="auto"/>
            </w:pPr>
            <w:r>
              <w:rPr>
                <w:sz w:val="22"/>
              </w:rPr>
              <w:t>Analyses complémentaires à lancer ou non</w:t>
            </w:r>
          </w:p>
        </w:tc>
        <w:tc>
          <w:tcPr>
            <w:tcW w:type="dxa" w:w="2381"/>
          </w:tcPr>
          <w:p>
            <w:pPr>
              <w:spacing w:line="276" w:lineRule="auto"/>
            </w:pPr>
            <w:r>
              <w:rPr>
                <w:sz w:val="22"/>
              </w:rPr>
              <w:t>Results</w:t>
            </w:r>
          </w:p>
        </w:tc>
        <w:tc>
          <w:tcPr>
            <w:tcW w:type="dxa" w:w="1361"/>
          </w:tcPr>
          <w:p>
            <w:pPr>
              <w:spacing w:line="276" w:lineRule="auto"/>
            </w:pPr>
            <w:r>
              <w:rPr>
                <w:sz w:val="22"/>
              </w:rPr>
              <w:t>Moyenne</w:t>
            </w:r>
          </w:p>
        </w:tc>
      </w:tr>
      <w:tr>
        <w:tc>
          <w:tcPr>
            <w:tcW w:type="dxa" w:w="907"/>
          </w:tcPr>
          <w:p>
            <w:pPr>
              <w:spacing w:line="276" w:lineRule="auto"/>
            </w:pPr>
            <w:r>
              <w:rPr>
                <w:sz w:val="22"/>
              </w:rPr>
              <w:t>2.4</w:t>
            </w:r>
          </w:p>
        </w:tc>
        <w:tc>
          <w:tcPr>
            <w:tcW w:type="dxa" w:w="4762"/>
          </w:tcPr>
          <w:p>
            <w:pPr>
              <w:spacing w:line="276" w:lineRule="auto"/>
            </w:pPr>
            <w:r>
              <w:rPr>
                <w:sz w:val="22"/>
              </w:rPr>
              <w:t>Abondance différentielle : inclure, et avec quelle méthode</w:t>
            </w:r>
          </w:p>
        </w:tc>
        <w:tc>
          <w:tcPr>
            <w:tcW w:type="dxa" w:w="2381"/>
          </w:tcPr>
          <w:p>
            <w:pPr>
              <w:spacing w:line="276" w:lineRule="auto"/>
            </w:pPr>
            <w:r>
              <w:rPr>
                <w:sz w:val="22"/>
              </w:rPr>
              <w:t>§8.6, Results</w:t>
            </w:r>
          </w:p>
        </w:tc>
        <w:tc>
          <w:tcPr>
            <w:tcW w:type="dxa" w:w="1361"/>
          </w:tcPr>
          <w:p>
            <w:pPr>
              <w:spacing w:line="276" w:lineRule="auto"/>
            </w:pPr>
            <w:r>
              <w:rPr>
                <w:sz w:val="22"/>
              </w:rPr>
              <w:t>Moyenne</w:t>
            </w:r>
          </w:p>
        </w:tc>
      </w:tr>
      <w:tr>
        <w:tc>
          <w:tcPr>
            <w:tcW w:type="dxa" w:w="907"/>
          </w:tcPr>
          <w:p>
            <w:pPr>
              <w:spacing w:line="276" w:lineRule="auto"/>
            </w:pPr>
            <w:r>
              <w:rPr>
                <w:sz w:val="22"/>
              </w:rPr>
              <w:t>2.5</w:t>
            </w:r>
          </w:p>
        </w:tc>
        <w:tc>
          <w:tcPr>
            <w:tcW w:type="dxa" w:w="4762"/>
          </w:tcPr>
          <w:p>
            <w:pPr>
              <w:spacing w:line="276" w:lineRule="auto"/>
            </w:pPr>
            <w:r>
              <w:rPr>
                <w:sz w:val="22"/>
              </w:rPr>
              <w:t>Titre de l'article</w:t>
            </w:r>
          </w:p>
        </w:tc>
        <w:tc>
          <w:tcPr>
            <w:tcW w:type="dxa" w:w="2381"/>
          </w:tcPr>
          <w:p>
            <w:pPr>
              <w:spacing w:line="276" w:lineRule="auto"/>
            </w:pPr>
            <w:r>
              <w:rPr>
                <w:sz w:val="22"/>
              </w:rPr>
              <w:t>Soumission</w:t>
            </w:r>
          </w:p>
        </w:tc>
        <w:tc>
          <w:tcPr>
            <w:tcW w:type="dxa" w:w="1361"/>
          </w:tcPr>
          <w:p>
            <w:pPr>
              <w:spacing w:line="276" w:lineRule="auto"/>
            </w:pPr>
            <w:r>
              <w:rPr>
                <w:sz w:val="22"/>
              </w:rPr>
              <w:t>Moyenne</w:t>
            </w:r>
          </w:p>
        </w:tc>
      </w:tr>
      <w:tr>
        <w:tc>
          <w:tcPr>
            <w:tcW w:type="dxa" w:w="907"/>
          </w:tcPr>
          <w:p>
            <w:pPr>
              <w:spacing w:line="276" w:lineRule="auto"/>
            </w:pPr>
            <w:r>
              <w:rPr>
                <w:sz w:val="22"/>
              </w:rPr>
              <w:t>2.6</w:t>
            </w:r>
          </w:p>
        </w:tc>
        <w:tc>
          <w:tcPr>
            <w:tcW w:type="dxa" w:w="4762"/>
          </w:tcPr>
          <w:p>
            <w:pPr>
              <w:spacing w:line="276" w:lineRule="auto"/>
            </w:pPr>
            <w:r>
              <w:rPr>
                <w:sz w:val="22"/>
              </w:rPr>
              <w:t>Revue cible</w:t>
            </w:r>
          </w:p>
        </w:tc>
        <w:tc>
          <w:tcPr>
            <w:tcW w:type="dxa" w:w="2381"/>
          </w:tcPr>
          <w:p>
            <w:pPr>
              <w:spacing w:line="276" w:lineRule="auto"/>
            </w:pPr>
            <w:r>
              <w:rPr>
                <w:sz w:val="22"/>
              </w:rPr>
              <w:t>Mise en forme, longueur</w:t>
            </w:r>
          </w:p>
        </w:tc>
        <w:tc>
          <w:tcPr>
            <w:tcW w:type="dxa" w:w="1361"/>
          </w:tcPr>
          <w:p>
            <w:pPr>
              <w:spacing w:line="276" w:lineRule="auto"/>
            </w:pPr>
            <w:r>
              <w:rPr>
                <w:sz w:val="22"/>
              </w:rPr>
              <w:t>Moyenne</w:t>
            </w:r>
          </w:p>
        </w:tc>
      </w:tr>
      <w:tr>
        <w:tc>
          <w:tcPr>
            <w:tcW w:type="dxa" w:w="907"/>
          </w:tcPr>
          <w:p>
            <w:pPr>
              <w:spacing w:line="276" w:lineRule="auto"/>
            </w:pPr>
            <w:r>
              <w:rPr>
                <w:sz w:val="22"/>
              </w:rPr>
              <w:t>2.7</w:t>
            </w:r>
          </w:p>
        </w:tc>
        <w:tc>
          <w:tcPr>
            <w:tcW w:type="dxa" w:w="4762"/>
          </w:tcPr>
          <w:p>
            <w:pPr>
              <w:spacing w:line="276" w:lineRule="auto"/>
            </w:pPr>
            <w:r>
              <w:rPr>
                <w:sz w:val="22"/>
              </w:rPr>
              <w:t>Dépôt de code et DOI Zenodo (§9)</w:t>
            </w:r>
          </w:p>
        </w:tc>
        <w:tc>
          <w:tcPr>
            <w:tcW w:type="dxa" w:w="2381"/>
          </w:tcPr>
          <w:p>
            <w:pPr>
              <w:spacing w:line="276" w:lineRule="auto"/>
            </w:pPr>
            <w:r>
              <w:rPr>
                <w:sz w:val="22"/>
              </w:rPr>
              <w:t>Soumission</w:t>
            </w:r>
          </w:p>
        </w:tc>
        <w:tc>
          <w:tcPr>
            <w:tcW w:type="dxa" w:w="1361"/>
          </w:tcPr>
          <w:p>
            <w:pPr>
              <w:spacing w:line="276" w:lineRule="auto"/>
            </w:pPr>
            <w:r>
              <w:rPr>
                <w:sz w:val="22"/>
              </w:rPr>
              <w:t>Moyenne</w:t>
            </w:r>
          </w:p>
        </w:tc>
      </w:tr>
      <w:tr>
        <w:tc>
          <w:tcPr>
            <w:tcW w:type="dxa" w:w="907"/>
          </w:tcPr>
          <w:p>
            <w:pPr>
              <w:spacing w:line="276" w:lineRule="auto"/>
            </w:pPr>
            <w:r>
              <w:rPr>
                <w:sz w:val="22"/>
              </w:rPr>
              <w:t>2.8</w:t>
            </w:r>
          </w:p>
        </w:tc>
        <w:tc>
          <w:tcPr>
            <w:tcW w:type="dxa" w:w="4762"/>
          </w:tcPr>
          <w:p>
            <w:pPr>
              <w:spacing w:line="276" w:lineRule="auto"/>
            </w:pPr>
            <w:r>
              <w:rPr>
                <w:sz w:val="22"/>
              </w:rPr>
              <w:t>Pertinence de Wang et al. 2015 et Sevellec et al. 2014</w:t>
            </w:r>
          </w:p>
        </w:tc>
        <w:tc>
          <w:tcPr>
            <w:tcW w:type="dxa" w:w="2381"/>
          </w:tcPr>
          <w:p>
            <w:pPr>
              <w:spacing w:line="276" w:lineRule="auto"/>
            </w:pPr>
            <w:r>
              <w:rPr>
                <w:sz w:val="22"/>
              </w:rPr>
              <w:t>Introduction</w:t>
            </w:r>
          </w:p>
        </w:tc>
        <w:tc>
          <w:tcPr>
            <w:tcW w:type="dxa" w:w="1361"/>
          </w:tcPr>
          <w:p>
            <w:pPr>
              <w:spacing w:line="276" w:lineRule="auto"/>
            </w:pPr>
            <w:r>
              <w:rPr>
                <w:sz w:val="22"/>
              </w:rPr>
              <w:t>Basse</w:t>
            </w:r>
          </w:p>
        </w:tc>
      </w:tr>
      <w:tr>
        <w:tc>
          <w:tcPr>
            <w:tcW w:type="dxa" w:w="907"/>
          </w:tcPr>
          <w:p>
            <w:pPr>
              <w:spacing w:line="276" w:lineRule="auto"/>
            </w:pPr>
            <w:r>
              <w:rPr>
                <w:sz w:val="22"/>
              </w:rPr>
              <w:t>2.9</w:t>
            </w:r>
          </w:p>
        </w:tc>
        <w:tc>
          <w:tcPr>
            <w:tcW w:type="dxa" w:w="4762"/>
          </w:tcPr>
          <w:p>
            <w:pPr>
              <w:spacing w:line="276" w:lineRule="auto"/>
            </w:pPr>
            <w:r>
              <w:rPr>
                <w:sz w:val="22"/>
              </w:rPr>
              <w:t>Table de génotypage individuel : numéro et place</w:t>
            </w:r>
          </w:p>
        </w:tc>
        <w:tc>
          <w:tcPr>
            <w:tcW w:type="dxa" w:w="2381"/>
          </w:tcPr>
          <w:p>
            <w:pPr>
              <w:spacing w:line="276" w:lineRule="auto"/>
            </w:pPr>
            <w:r>
              <w:rPr>
                <w:sz w:val="22"/>
              </w:rPr>
              <w:t>Supplément</w:t>
            </w:r>
          </w:p>
        </w:tc>
        <w:tc>
          <w:tcPr>
            <w:tcW w:type="dxa" w:w="1361"/>
          </w:tcPr>
          <w:p>
            <w:pPr>
              <w:spacing w:line="276" w:lineRule="auto"/>
            </w:pPr>
            <w:r>
              <w:rPr>
                <w:sz w:val="22"/>
              </w:rPr>
              <w:t>Basse</w:t>
            </w:r>
          </w:p>
        </w:tc>
      </w:tr>
      <w:tr>
        <w:tc>
          <w:tcPr>
            <w:tcW w:type="dxa" w:w="907"/>
          </w:tcPr>
          <w:p>
            <w:pPr>
              <w:spacing w:line="276" w:lineRule="auto"/>
            </w:pPr>
            <w:r>
              <w:rPr>
                <w:sz w:val="22"/>
              </w:rPr>
              <w:t>2.10</w:t>
            </w:r>
          </w:p>
        </w:tc>
        <w:tc>
          <w:tcPr>
            <w:tcW w:type="dxa" w:w="4762"/>
          </w:tcPr>
          <w:p>
            <w:pPr>
              <w:spacing w:line="276" w:lineRule="auto"/>
            </w:pPr>
            <w:r>
              <w:rPr>
                <w:sz w:val="22"/>
              </w:rPr>
              <w:t>ENA : soumettre les dates de Pertuis et le host subject id</w:t>
            </w:r>
          </w:p>
        </w:tc>
        <w:tc>
          <w:tcPr>
            <w:tcW w:type="dxa" w:w="2381"/>
          </w:tcPr>
          <w:p>
            <w:pPr>
              <w:spacing w:line="276" w:lineRule="auto"/>
            </w:pPr>
            <w:r>
              <w:rPr>
                <w:sz w:val="22"/>
              </w:rPr>
              <w:t>Dépôt, §9, Note S2</w:t>
            </w:r>
          </w:p>
        </w:tc>
        <w:tc>
          <w:tcPr>
            <w:tcW w:type="dxa" w:w="1361"/>
          </w:tcPr>
          <w:p>
            <w:pPr>
              <w:spacing w:line="276" w:lineRule="auto"/>
            </w:pPr>
            <w:r>
              <w:rPr>
                <w:sz w:val="22"/>
              </w:rPr>
              <w:t>Haute</w:t>
            </w:r>
          </w:p>
        </w:tc>
      </w:tr>
      <w:tr>
        <w:tc>
          <w:tcPr>
            <w:tcW w:type="dxa" w:w="907"/>
          </w:tcPr>
          <w:p>
            <w:pPr>
              <w:spacing w:line="276" w:lineRule="auto"/>
            </w:pPr>
            <w:r>
              <w:rPr>
                <w:sz w:val="22"/>
              </w:rPr>
              <w:t>2.11</w:t>
            </w:r>
          </w:p>
        </w:tc>
        <w:tc>
          <w:tcPr>
            <w:tcW w:type="dxa" w:w="4762"/>
          </w:tcPr>
          <w:p>
            <w:pPr>
              <w:spacing w:line="276" w:lineRule="auto"/>
            </w:pPr>
            <w:r>
              <w:rPr>
                <w:sz w:val="22"/>
              </w:rPr>
              <w:t>ENA : restructurer 2 304 experiments en 1 536</w:t>
            </w:r>
          </w:p>
        </w:tc>
        <w:tc>
          <w:tcPr>
            <w:tcW w:type="dxa" w:w="2381"/>
          </w:tcPr>
          <w:p>
            <w:pPr>
              <w:spacing w:line="276" w:lineRule="auto"/>
            </w:pPr>
            <w:r>
              <w:rPr>
                <w:sz w:val="22"/>
              </w:rPr>
              <w:t>Dépôt</w:t>
            </w:r>
          </w:p>
        </w:tc>
        <w:tc>
          <w:tcPr>
            <w:tcW w:type="dxa" w:w="1361"/>
          </w:tcPr>
          <w:p>
            <w:pPr>
              <w:spacing w:line="276" w:lineRule="auto"/>
            </w:pPr>
            <w:r>
              <w:rPr>
                <w:sz w:val="22"/>
              </w:rPr>
              <w:t>Basse</w:t>
            </w:r>
          </w:p>
        </w:tc>
      </w:tr>
      <w:tr>
        <w:tc>
          <w:tcPr>
            <w:tcW w:type="dxa" w:w="907"/>
          </w:tcPr>
          <w:p>
            <w:pPr>
              <w:spacing w:line="276" w:lineRule="auto"/>
            </w:pPr>
            <w:r>
              <w:rPr>
                <w:sz w:val="22"/>
              </w:rPr>
              <w:t>2.12</w:t>
            </w:r>
          </w:p>
        </w:tc>
        <w:tc>
          <w:tcPr>
            <w:tcW w:type="dxa" w:w="4762"/>
          </w:tcPr>
          <w:p>
            <w:pPr>
              <w:spacing w:line="276" w:lineRule="auto"/>
            </w:pPr>
            <w:r>
              <w:rPr>
                <w:sz w:val="22"/>
              </w:rPr>
              <w:t>ENA : date d'ouverture publique</w:t>
            </w:r>
          </w:p>
        </w:tc>
        <w:tc>
          <w:tcPr>
            <w:tcW w:type="dxa" w:w="2381"/>
          </w:tcPr>
          <w:p>
            <w:pPr>
              <w:spacing w:line="276" w:lineRule="auto"/>
            </w:pPr>
            <w:r>
              <w:rPr>
                <w:sz w:val="22"/>
              </w:rPr>
              <w:t>Dépôt</w:t>
            </w:r>
          </w:p>
        </w:tc>
        <w:tc>
          <w:tcPr>
            <w:tcW w:type="dxa" w:w="1361"/>
          </w:tcPr>
          <w:p>
            <w:pPr>
              <w:spacing w:line="276" w:lineRule="auto"/>
            </w:pPr>
            <w:r>
              <w:rPr>
                <w:sz w:val="22"/>
              </w:rPr>
              <w:t>Basse</w:t>
            </w:r>
          </w:p>
        </w:tc>
      </w:tr>
    </w:tbl>
    <w:p/>
    <w:p>
      <w:pPr>
        <w:pStyle w:val="Heading2"/>
      </w:pPr>
      <w:r>
        <w:t>Analyse et contenu des Results</w:t>
      </w:r>
    </w:p>
    <w:p>
      <w:pPr>
        <w:pStyle w:val="Heading3"/>
      </w:pPr>
      <w:r>
        <w:t>2.1 — D2 : ce que le texte affirme de l'effet de position</w:t>
      </w:r>
    </w:p>
    <w:p>
      <w:r>
        <w:rPr>
          <w:b/>
        </w:rPr>
        <w:t xml:space="preserve">Priorité : </w:t>
      </w:r>
      <w:r>
        <w:t>haute</w:t>
      </w:r>
    </w:p>
    <w:p>
      <w:r>
        <w:rPr>
          <w:b/>
        </w:rPr>
        <w:t xml:space="preserve">Contexte. </w:t>
      </w:r>
      <w:r>
        <w:t>Avec D2, la colonne de plaque est sortie du modèle principal et conservée en sensibilité. Mais sur les 32 cellules de la Table S8, 14 diffèrent entre modèles avec et sans position, dont 8 changent de classe (robuste ↔ partiel ↔ aucun) : 5 en passe 1, 3 en passe 2. En passe 2 par exemple, Jaccard/hindgut et UniFrac non pondéré/midgut perdent leur robustesse sans position. Le résultat caudal en UniFrac pondéré ne dépend pas de ce choix. Référence : docs/recalcul/note_recalcul_2passes.md §5 et d2_avec_vs_sans_position.csv.</w:t>
      </w:r>
    </w:p>
    <w:p>
      <w:r>
        <w:rPr>
          <w:b/>
        </w:rPr>
        <w:t xml:space="preserve">Question. </w:t>
      </w:r>
      <w:r>
        <w:t>Que doit énoncer le texte ? Trois options : (a) le modèle sans position fait foi, et le texte signale chaque conclusion qui change avec la position ; (b) par analogie avec la règle D7, seules les conclusions stables dans les deux modèles sont énoncées comme établies, les autres étant rapportées comme dépendantes de la position ; (c) les deux versions de la Table S8 sont présentées à égalité, sans hiérarchie.</w:t>
      </w:r>
    </w:p>
    <w:p>
      <w:r>
        <w:rPr>
          <w:b/>
        </w:rPr>
        <w:t xml:space="preserve">Ce qui en dépend. </w:t>
      </w:r>
      <w:r>
        <w:t>Les §8.8 et §8.9 et la formulation des résultats par compartiment. C'est le dernier arbitrage d'analyse avant l'indice 4H.</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2.2 — Prédiction délai de dissection contre température</w:t>
      </w:r>
    </w:p>
    <w:p>
      <w:r>
        <w:rPr>
          <w:b/>
        </w:rPr>
        <w:t xml:space="preserve">Priorité : </w:t>
      </w:r>
      <w:r>
        <w:t>haute</w:t>
      </w:r>
    </w:p>
    <w:p>
      <w:r>
        <w:rPr>
          <w:b/>
        </w:rPr>
        <w:t xml:space="preserve">Contexte. </w:t>
      </w:r>
      <w:r>
        <w:t>Si un effet de catégorie apparaît dans le midgut et le hindgut sans équivalent dans la caudale et la branchie, le délai de manipulation est l'explication la plus simple. S'il est présent partout, l'explication environnementale tient. Cette prédiction n'a de valeur que si elle est écrite avant l'analyse par compartiment (docs/point_etape_25sept.md). Les détections actuelles portent sur les compartiments digestifs : midgut en Jaccard (R21), midgut et hindgut en passe 2 (R27).</w:t>
      </w:r>
    </w:p>
    <w:p>
      <w:r>
        <w:rPr>
          <w:b/>
        </w:rPr>
        <w:t xml:space="preserve">Question. </w:t>
      </w:r>
      <w:r>
        <w:t>Valides-tu cette formulation comme prédiction déclarée a priori, et faut-il la consigner dans DECISIONS.md avant la réponse d'André à la question 1.5 ?</w:t>
      </w:r>
    </w:p>
    <w:p>
      <w:r>
        <w:rPr>
          <w:b/>
        </w:rPr>
        <w:t xml:space="preserve">Ce qui en dépend. </w:t>
      </w:r>
      <w:r>
        <w:t>La discussion, et ce que l'on peut dire de la cause des effets digestifs.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2.3 — Analyses complémentaires : lesquelles lancer</w:t>
      </w:r>
    </w:p>
    <w:p>
      <w:r>
        <w:rPr>
          <w:b/>
        </w:rPr>
        <w:t xml:space="preserve">Priorité : </w:t>
      </w:r>
      <w:r>
        <w:t>moyenne</w:t>
      </w:r>
    </w:p>
    <w:p>
      <w:r>
        <w:rPr>
          <w:b/>
        </w:rPr>
        <w:t xml:space="preserve">Contexte. </w:t>
      </w:r>
      <w:r>
        <w:t>Quatre points d'analyse restent ouverts, indépendamment de l'indice 4H dont les paramètres sont figés (D5).</w:t>
      </w:r>
    </w:p>
    <w:p>
      <w:r>
        <w:rPr>
          <w:b/>
        </w:rPr>
        <w:t xml:space="preserve">Question. </w:t>
      </w:r>
      <w:r>
        <w:t>Lesquelles faut-il lancer ? (a) Le témoin d'effectif à 500 lectures, pour établir la cause de l'affaiblissement du signal caudal. (b) Un test isolant le mécanisme de dilution du contraste Hy–Pt par les quasi-purs ; à défaut, il sera présenté comme une hypothèse. (c) L'exploitation de Faith PD, déjà calculé. (d) Une nouvelle partition de variance (R8) sous la règle D7, sinon R8 est retiré du texte.</w:t>
      </w:r>
    </w:p>
    <w:p>
      <w:r>
        <w:rPr>
          <w:b/>
        </w:rPr>
        <w:t xml:space="preserve">Ce qui en dépend. </w:t>
      </w:r>
      <w:r>
        <w:t>Le volume de calcul restant et la longueur des Results.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2.4 — Abondance différentielle</w:t>
      </w:r>
    </w:p>
    <w:p>
      <w:r>
        <w:rPr>
          <w:b/>
        </w:rPr>
        <w:t xml:space="preserve">Priorité : </w:t>
      </w:r>
      <w:r>
        <w:t>moyenne</w:t>
      </w:r>
    </w:p>
    <w:p>
      <w:r>
        <w:rPr>
          <w:b/>
        </w:rPr>
        <w:t xml:space="preserve">Contexte. </w:t>
      </w:r>
      <w:r>
        <w:t>L'abondance différentielle figure dans le plan d'analyse comme « méthode à choisir » (registre A_FAIRE) ; aucune méthode n'est retenue et la règle D7 ne couvre pas ce cas (docs/decision_D7_metrique.md).</w:t>
      </w:r>
    </w:p>
    <w:p>
      <w:r>
        <w:rPr>
          <w:b/>
        </w:rPr>
        <w:t xml:space="preserve">Question. </w:t>
      </w:r>
      <w:r>
        <w:t>L'article doit-il comporter une analyse d'abondance différentielle ? Si oui, avec quelle méthode compositionnelle (par exemple ANCOM-BC2, ALDEx2 ou MaAsLin2), et à quel rang taxonomique ?</w:t>
      </w:r>
    </w:p>
    <w:p>
      <w:r>
        <w:rPr>
          <w:b/>
        </w:rPr>
        <w:t xml:space="preserve">Ce qui en dépend. </w:t>
      </w:r>
      <w:r>
        <w:t>Le §8.6 et une section des Results.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2"/>
      </w:pPr>
      <w:r>
        <w:t>Manuscrit</w:t>
      </w:r>
    </w:p>
    <w:p>
      <w:pPr>
        <w:pStyle w:val="Heading3"/>
      </w:pPr>
      <w:r>
        <w:t>2.5 — Titre de l'article</w:t>
      </w:r>
    </w:p>
    <w:p>
      <w:r>
        <w:rPr>
          <w:b/>
        </w:rPr>
        <w:t xml:space="preserve">Priorité : </w:t>
      </w:r>
      <w:r>
        <w:t>moyenne</w:t>
      </w:r>
    </w:p>
    <w:p>
      <w:r>
        <w:rPr>
          <w:b/>
        </w:rPr>
        <w:t xml:space="preserve">Contexte. </w:t>
      </w:r>
      <w:r>
        <w:t>Le document n'a pas de titre : « Introduction » et « Materials and Methods » sont deux titres de même niveau (note éditoriale i). Le supplément porte déjà le sous-titre « Host-associated bacterial microbiota of hybridising cyprinid fishes ».</w:t>
      </w:r>
    </w:p>
    <w:p>
      <w:r>
        <w:rPr>
          <w:b/>
        </w:rPr>
        <w:t xml:space="preserve">Question. </w:t>
      </w:r>
      <w:r>
        <w:t>Quel titre retiens-tu ? Faut-il le dériver de ce sous-titre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2.6 — Revue cible</w:t>
      </w:r>
    </w:p>
    <w:p>
      <w:r>
        <w:rPr>
          <w:b/>
        </w:rPr>
        <w:t xml:space="preserve">Priorité : </w:t>
      </w:r>
      <w:r>
        <w:t>moyenne</w:t>
      </w:r>
    </w:p>
    <w:p>
      <w:r>
        <w:rPr>
          <w:b/>
        </w:rPr>
        <w:t xml:space="preserve">Contexte. </w:t>
      </w:r>
      <w:r>
        <w:t>La présélection docs/manuscrit_animal_microbiome/journal_shortlist.csv classe en premier rang Animal Microbiome, FEMS Microbiology Ecology et Microbial Ecology, et en second rang Molecular Ecology, Environmental Microbiology et The ISME Journal. Le dossier porte le nom d'Animal Microbiome, mais la cible n'est consignée nulle part comme décision.</w:t>
      </w:r>
    </w:p>
    <w:p>
      <w:r>
        <w:rPr>
          <w:b/>
        </w:rPr>
        <w:t xml:space="preserve">Question. </w:t>
      </w:r>
      <w:r>
        <w:t>Quelle revue vises-tu en premier, et laquelle en repli ?</w:t>
      </w:r>
    </w:p>
    <w:p>
      <w:r>
        <w:rPr>
          <w:b/>
        </w:rPr>
        <w:t xml:space="preserve">Ce qui en dépend. </w:t>
      </w:r>
      <w:r>
        <w:t>La longueur, le format des références et la forme du supplément.</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2.7 — Dépôt de code et DOI Zenodo (§9)</w:t>
      </w:r>
    </w:p>
    <w:p>
      <w:r>
        <w:rPr>
          <w:b/>
        </w:rPr>
        <w:t xml:space="preserve">Priorité : </w:t>
      </w:r>
      <w:r>
        <w:t>moyenne</w:t>
      </w:r>
    </w:p>
    <w:p>
      <w:r>
        <w:rPr>
          <w:b/>
        </w:rPr>
        <w:t xml:space="preserve">Contexte. </w:t>
      </w:r>
      <w:r>
        <w:t>Le §9 porte une note « À COMPLÉTER » : lien vers le dépôt de code et DOI Zenodo. Le miroir GitHub du projet est actuellement privé.</w:t>
      </w:r>
    </w:p>
    <w:p>
      <w:r>
        <w:rPr>
          <w:b/>
        </w:rPr>
        <w:t xml:space="preserve">Question. </w:t>
      </w:r>
      <w:r>
        <w:t>Le dépôt sera-t-il rendu public à la soumission ? Faut-il archiver une version sur Zenodo pour obtenir un DOI, et laquelle (le commit de soumission) ?</w:t>
      </w:r>
    </w:p>
    <w:p>
      <w:r>
        <w:rPr>
          <w:b/>
        </w:rPr>
        <w:t xml:space="preserve">Ce qui en dépend. </w:t>
      </w:r>
      <w:r>
        <w:t>Le §9 (Reproducibility and data availability).</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2.8 — Références Wang et al. (2015) et Sevellec et al. (2014)</w:t>
      </w:r>
    </w:p>
    <w:p>
      <w:r>
        <w:rPr>
          <w:b/>
        </w:rPr>
        <w:t xml:space="preserve">Priorité : </w:t>
      </w:r>
      <w:r>
        <w:t>basse</w:t>
      </w:r>
    </w:p>
    <w:p>
      <w:r>
        <w:rPr>
          <w:b/>
        </w:rPr>
        <w:t xml:space="preserve">Contexte. </w:t>
      </w:r>
      <w:r>
        <w:t>Ces deux références viennent de la liste du manuscrit d'origine et n'ont pas été relues en texte intégral (note éditoriale ii).</w:t>
      </w:r>
    </w:p>
    <w:p>
      <w:r>
        <w:rPr>
          <w:b/>
        </w:rPr>
        <w:t xml:space="preserve">Question. </w:t>
      </w:r>
      <w:r>
        <w:t>Restent-elles pertinentes à l'endroit où elles sont citées dans l'introduction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2.9 — Table de génotypage individuel</w:t>
      </w:r>
    </w:p>
    <w:p>
      <w:r>
        <w:rPr>
          <w:b/>
        </w:rPr>
        <w:t xml:space="preserve">Priorité : </w:t>
      </w:r>
      <w:r>
        <w:t>basse</w:t>
      </w:r>
    </w:p>
    <w:p>
      <w:r>
        <w:rPr>
          <w:b/>
        </w:rPr>
        <w:t xml:space="preserve">Contexte. </w:t>
      </w:r>
      <w:r>
        <w:t>La table docs/manuscrit/table_genotypes_individuels.csv (180 lignes, 17 colonnes) est prête, avec ton arbitrage du 30/09 appliqué. Elle n'est pas encore insérée dans le supplément.</w:t>
      </w:r>
    </w:p>
    <w:p>
      <w:r>
        <w:rPr>
          <w:b/>
        </w:rPr>
        <w:t xml:space="preserve">Question. </w:t>
      </w:r>
      <w:r>
        <w:t>Sous quel numéro l'insérer (nouvelle Table S10, ou insertion après la Table S1)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2"/>
      </w:pPr>
      <w:r>
        <w:t>Dépôt ENA PRJEB124417</w:t>
      </w:r>
    </w:p>
    <w:p>
      <w:pPr>
        <w:pStyle w:val="Heading3"/>
      </w:pPr>
      <w:r>
        <w:t>2.10 — Soumettre les deux corrections prêtes</w:t>
      </w:r>
    </w:p>
    <w:p>
      <w:r>
        <w:rPr>
          <w:b/>
        </w:rPr>
        <w:t xml:space="preserve">Priorité : </w:t>
      </w:r>
      <w:r>
        <w:t>haute — seule action en attente sur le dépôt</w:t>
      </w:r>
    </w:p>
    <w:p>
      <w:r>
        <w:rPr>
          <w:b/>
        </w:rPr>
        <w:t xml:space="preserve">Contexte. </w:t>
      </w:r>
      <w:r>
        <w:t>Deux tables de correction sont prêtes et ne se recouvrent pas : ena_corrections_pertuis_dates.tsv (44 échantillons, dates décidées par André) et ena_corrections_subject_id.tsv (727 lignes : 156 identifiants actuels deviennent 180 sujets, préfixés par la campagne, comme 14Bue1004 / 15Bue1004). La construction du MODIFY est testée (771 corrections) et une seule soumission suffit. Le préfixage correspond à la note « À TRANCHER » de la Note S2 du supplément.</w:t>
      </w:r>
    </w:p>
    <w:p>
      <w:r>
        <w:rPr>
          <w:b/>
        </w:rPr>
        <w:t xml:space="preserve">Question. </w:t>
      </w:r>
      <w:r>
        <w:t>(a) Donnes-tu ton accord pour soumettre les dates de Pertuis ? (b) Veux-tu rendre le host subject id unique par préfixage de la campagne ? (c) Si oui aux deux, préfères-tu une seule soumission ? Dans tous les cas, c'est toi qui lances le script, puisque les identifiants Webin sont saisis au clavier.</w:t>
      </w:r>
    </w:p>
    <w:p>
      <w:r>
        <w:rPr>
          <w:b/>
        </w:rPr>
        <w:t xml:space="preserve">Ce qui en dépend. </w:t>
      </w:r>
      <w:r>
        <w:t>Le §9 de l'article et la Note S2 du supplément, qui doivent être mis à jour après soumission. Le vérificateur 7_verifier_exhaustif.sh devra intégrer les tables soumises.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2.11 — Restructuration du modèle de dépôt</w:t>
      </w:r>
    </w:p>
    <w:p>
      <w:r>
        <w:rPr>
          <w:b/>
        </w:rPr>
        <w:t xml:space="preserve">Priorité : </w:t>
      </w:r>
      <w:r>
        <w:t>basse</w:t>
      </w:r>
    </w:p>
    <w:p>
      <w:r>
        <w:rPr>
          <w:b/>
        </w:rPr>
        <w:t xml:space="preserve">Contexte. </w:t>
      </w:r>
      <w:r>
        <w:t>Le dépôt déclare 2 304 experiments, alors que durance2 et durance3 sont deux séquençages d'une même préparation de librairies. Le modèle cohérent compte 1 536 experiments pour 2 304 runs. Il s'agit d'une restructuration (fusionner des objets, repointer des runs) et non d'un MODIFY. C'est aussi la structure nichée que le §8.7 décrit.</w:t>
      </w:r>
    </w:p>
    <w:p>
      <w:r>
        <w:rPr>
          <w:b/>
        </w:rPr>
        <w:t xml:space="preserve">Question. </w:t>
      </w:r>
      <w:r>
        <w:t>Faut-il l'entreprendre, éventuellement avec l'assistance de l'ENA, et à quel moment par rapport à la soumission de l'article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2.12 — Ouverture publique du dépôt</w:t>
      </w:r>
    </w:p>
    <w:p>
      <w:r>
        <w:rPr>
          <w:b/>
        </w:rPr>
        <w:t xml:space="preserve">Priorité : </w:t>
      </w:r>
      <w:r>
        <w:t>basse</w:t>
      </w:r>
    </w:p>
    <w:p>
      <w:r>
        <w:rPr>
          <w:b/>
        </w:rPr>
        <w:t xml:space="preserve">Contexte. </w:t>
      </w:r>
      <w:r>
        <w:t>Le dépôt est en ligne mais non public.</w:t>
      </w:r>
    </w:p>
    <w:p>
      <w:r>
        <w:rPr>
          <w:b/>
        </w:rPr>
        <w:t xml:space="preserve">Question. </w:t>
      </w:r>
      <w:r>
        <w:t>Confirmes-tu une ouverture à la soumission de l'article, ou préfères-tu à l'acceptation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Calibri" w:hAnsi="Calibri"/>
      <w:color w:val="212121"/>
      <w:sz w:val="24"/>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76" w:lineRule="auto"/>
      <w:outlineLvl w:val="0"/>
    </w:pPr>
    <w:rPr>
      <w:rFonts w:asciiTheme="majorHAnsi" w:eastAsiaTheme="majorEastAsia" w:hAnsiTheme="majorHAnsi" w:cstheme="majorBidi" w:ascii="Calibri" w:hAnsi="Calibri" w:cs="Calibri" w:eastAsia="Calibri"/>
      <w:b/>
      <w:bCs/>
      <w:i w:val="0"/>
      <w:color w:val="1565C0"/>
      <w:sz w:val="34"/>
      <w:szCs w:val="28"/>
      <w:lang w:val="fr-FR" w:eastAsia="fr-FR"/>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Calibri" w:hAnsi="Calibri" w:cs="Calibri" w:eastAsia="Calibri"/>
      <w:b/>
      <w:bCs/>
      <w:i w:val="0"/>
      <w:color w:val="1565C0"/>
      <w:sz w:val="28"/>
      <w:szCs w:val="26"/>
      <w:lang w:val="fr-FR" w:eastAsia="fr-FR"/>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eastAsia="Calibri"/>
      <w:b/>
      <w:bCs/>
      <w:i w:val="0"/>
      <w:color w:val="212121"/>
      <w:sz w:val="25"/>
      <w:lang w:val="fr-FR" w:eastAsia="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76" w:lineRule="auto" w:before="280"/>
      <w:contextualSpacing/>
    </w:pPr>
    <w:rPr>
      <w:rFonts w:asciiTheme="majorHAnsi" w:eastAsiaTheme="majorEastAsia" w:hAnsiTheme="majorHAnsi" w:cstheme="majorBidi" w:ascii="Calibri" w:hAnsi="Calibri" w:cs="Calibri" w:eastAsia="Calibri"/>
      <w:b/>
      <w:i w:val="0"/>
      <w:color w:val="1565C0"/>
      <w:spacing w:val="5"/>
      <w:kern w:val="28"/>
      <w:sz w:val="44"/>
      <w:szCs w:val="52"/>
      <w:lang w:val="fr-FR" w:eastAsia="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microbiome-hybrid — questions en suspens au 3 octobre 2026</dc:title>
  <dc:subject>Questions ouvertes adressées à André (section 1) et à Jean-François Martin (section 2)</dc:subject>
  <dc:creator>Projet microbiome-hybrid</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