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1955" w14:textId="77777777" w:rsidR="00664B4F" w:rsidRDefault="00664B4F" w:rsidP="00664B4F">
      <w:pPr>
        <w:numPr>
          <w:ilvl w:val="0"/>
          <w:numId w:val="1"/>
        </w:numPr>
      </w:pPr>
      <w:r w:rsidRPr="00664B4F">
        <w:t>Plan name and term</w:t>
      </w:r>
    </w:p>
    <w:p w14:paraId="22AA55BC" w14:textId="38605AEB" w:rsidR="00664B4F" w:rsidRPr="00664B4F" w:rsidRDefault="00664B4F" w:rsidP="00664B4F">
      <w:pPr>
        <w:numPr>
          <w:ilvl w:val="1"/>
          <w:numId w:val="1"/>
        </w:numPr>
      </w:pPr>
      <w:r>
        <w:rPr>
          <w:rFonts w:hint="eastAsia"/>
        </w:rPr>
        <w:t>Company: New Start Inc.</w:t>
      </w:r>
    </w:p>
    <w:p w14:paraId="496898FC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Name: FY2026 New Logo and Expansion Sales Commission Plan (AE/AM)</w:t>
      </w:r>
    </w:p>
    <w:p w14:paraId="4CC1E3D9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Effective period: 1/1/2026–12/31/2026</w:t>
      </w:r>
    </w:p>
    <w:p w14:paraId="2D8E8715" w14:textId="4A55E898" w:rsidR="00664B4F" w:rsidRPr="00664B4F" w:rsidRDefault="00664B4F" w:rsidP="00664B4F">
      <w:pPr>
        <w:numPr>
          <w:ilvl w:val="1"/>
          <w:numId w:val="1"/>
        </w:numPr>
      </w:pPr>
      <w:r w:rsidRPr="00664B4F">
        <w:t>Participants: Account Executives (AEs), Account Managers (AMs), first-line Sales Managers (override only)</w:t>
      </w:r>
    </w:p>
    <w:p w14:paraId="7B820380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Covered products and geographies</w:t>
      </w:r>
    </w:p>
    <w:p w14:paraId="45CD35AB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Products: Company’s subscription SaaS offerings and standard professional services</w:t>
      </w:r>
    </w:p>
    <w:p w14:paraId="6C90B7D0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Geography: Global, subject to assigned territory in offer letter or territory memo</w:t>
      </w:r>
    </w:p>
    <w:p w14:paraId="06E88679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Key definitions</w:t>
      </w:r>
    </w:p>
    <w:p w14:paraId="217B969E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 xml:space="preserve">ACV: Annual contract value at list price </w:t>
      </w:r>
      <w:proofErr w:type="gramStart"/>
      <w:r w:rsidRPr="00664B4F">
        <w:t>less</w:t>
      </w:r>
      <w:proofErr w:type="gramEnd"/>
      <w:r w:rsidRPr="00664B4F">
        <w:t xml:space="preserve"> standard discounts, excluding usage overages and taxes</w:t>
      </w:r>
    </w:p>
    <w:p w14:paraId="1D4DE9E4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TCV: Total contract value over the legally binding term, excluding optional renewals</w:t>
      </w:r>
    </w:p>
    <w:p w14:paraId="51129609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New logo: First-time sale to a legal entity (no active contract in past 24 months)</w:t>
      </w:r>
    </w:p>
    <w:p w14:paraId="5112B8AD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Renewal: Contractually committed continuation of services at or after end of prior term</w:t>
      </w:r>
    </w:p>
    <w:p w14:paraId="5643A3C8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Expansion/Upsell: Increase in ACV during an active term (seats, modules, or price)</w:t>
      </w:r>
    </w:p>
    <w:p w14:paraId="7BEF0ED0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Booked date: Date the order form is fully executed by customer and Company</w:t>
      </w:r>
    </w:p>
    <w:p w14:paraId="1D1835A1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Collected: Initial invoice is paid by customer</w:t>
      </w:r>
    </w:p>
    <w:p w14:paraId="44CE22E7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Commissionable transactions and rates</w:t>
      </w:r>
    </w:p>
    <w:p w14:paraId="331DC159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New logo initial term:</w:t>
      </w:r>
    </w:p>
    <w:p w14:paraId="178F4D79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1-year term: 10% of first-year ACV</w:t>
      </w:r>
    </w:p>
    <w:p w14:paraId="6F9BE223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2-year term: 12% of first-year ACV</w:t>
      </w:r>
    </w:p>
    <w:p w14:paraId="4A3F47FC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lastRenderedPageBreak/>
        <w:t>3+ year term: 14% of first-year ACV</w:t>
      </w:r>
    </w:p>
    <w:p w14:paraId="78B95E58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Expansion/Upsell during term: 6% of incremental ACV</w:t>
      </w:r>
    </w:p>
    <w:p w14:paraId="7A6540F7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Renewals:</w:t>
      </w:r>
    </w:p>
    <w:p w14:paraId="197A2C42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Standard renewal at or above prior-year ACV: 2% of renewal ACV</w:t>
      </w:r>
    </w:p>
    <w:p w14:paraId="7F00A26F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Price uplift portion only (if uplift &gt;5%): additional 1% on uplift delta</w:t>
      </w:r>
    </w:p>
    <w:p w14:paraId="566480F2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Professional services (standard packages only): 3% of services TCV, capped at $10,000 per deal</w:t>
      </w:r>
    </w:p>
    <w:p w14:paraId="68B3B13B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Manager override: First-line manager receives 2% of AE’s commissionable ACV amounts (mirrors AE’s eligible transactions)</w:t>
      </w:r>
    </w:p>
    <w:p w14:paraId="50A32529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Quotas, accelerators, and caps</w:t>
      </w:r>
    </w:p>
    <w:p w14:paraId="1DD571FC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Quarterly ACV quota defined in comp letter</w:t>
      </w:r>
    </w:p>
    <w:p w14:paraId="20828D17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Accelerators on New logo + Expansion ACV each quarter:</w:t>
      </w:r>
    </w:p>
    <w:p w14:paraId="4B6B7C34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0–99% of quota: base rates</w:t>
      </w:r>
    </w:p>
    <w:p w14:paraId="7588B05A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100–119%: add 2 percentage points to the applicable rate</w:t>
      </w:r>
    </w:p>
    <w:p w14:paraId="17E26841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120%</w:t>
      </w:r>
      <w:proofErr w:type="gramStart"/>
      <w:r w:rsidRPr="00664B4F">
        <w:t>+ :</w:t>
      </w:r>
      <w:proofErr w:type="gramEnd"/>
      <w:r w:rsidRPr="00664B4F">
        <w:t xml:space="preserve"> add 4 percentage points</w:t>
      </w:r>
    </w:p>
    <w:p w14:paraId="63C64D51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No overall plan cap; Company may restrict accelerators on discounts &gt;30% (see “Discount guardrails”)</w:t>
      </w:r>
    </w:p>
    <w:p w14:paraId="4991161C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Earning and payment timing</w:t>
      </w:r>
    </w:p>
    <w:p w14:paraId="5E0A0969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Earning event: Commission is earned upon fully executed, non-cancelable order form and Company acceptance, subject to credit approval</w:t>
      </w:r>
    </w:p>
    <w:p w14:paraId="4217E7CC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Payment timing:</w:t>
      </w:r>
    </w:p>
    <w:p w14:paraId="2A24511B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50% paid in the first payroll after initial invoice is collected</w:t>
      </w:r>
    </w:p>
    <w:p w14:paraId="4E484409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50% paid after 90 days of continuous service without customer delinquency (&gt;30 days past due) or termination for convenience</w:t>
      </w:r>
    </w:p>
    <w:p w14:paraId="4566F532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Multi-year deals billed annually: Payment schedule follows first annual invoice collection as above; no prepayment for future periods</w:t>
      </w:r>
    </w:p>
    <w:p w14:paraId="19D95688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For expansions, the same timing applies based on incremental invoice collection</w:t>
      </w:r>
    </w:p>
    <w:p w14:paraId="41D9714E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lastRenderedPageBreak/>
        <w:t xml:space="preserve">Adjustments, </w:t>
      </w:r>
      <w:proofErr w:type="spellStart"/>
      <w:r w:rsidRPr="00664B4F">
        <w:t>clawbacks</w:t>
      </w:r>
      <w:proofErr w:type="spellEnd"/>
      <w:r w:rsidRPr="00664B4F">
        <w:t>, and chargebacks</w:t>
      </w:r>
    </w:p>
    <w:p w14:paraId="4DDC8544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Cancellation/termination:</w:t>
      </w:r>
    </w:p>
    <w:p w14:paraId="1FF169EE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If customer cancels for convenience or non-payment within first 12 months, previously paid commission is clawed back pro rata for the unused portion of the 12 months</w:t>
      </w:r>
    </w:p>
    <w:p w14:paraId="0B799C57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Downsize/credits within 180 days: Commission adjusted based on the revised ACV/TCV; overpayments are clawed back</w:t>
      </w:r>
    </w:p>
    <w:p w14:paraId="536F7704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Bad debt: If initial invoice not collected within 120 days of invoice date, commission is reversed</w:t>
      </w:r>
    </w:p>
    <w:p w14:paraId="7635C43E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Returns for services not rendered are not commissionable</w:t>
      </w:r>
    </w:p>
    <w:p w14:paraId="07B67F07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Non-standard discounts &gt;30% off list require CFO approval; if not approved, Company may reduce commission rate by 2 percentage points on the affected deal</w:t>
      </w:r>
    </w:p>
    <w:p w14:paraId="7F33F6CC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Special cases</w:t>
      </w:r>
    </w:p>
    <w:p w14:paraId="078FE65A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Channel sales: If partner-sourced, apply rates to net ACV to Company after partner margin</w:t>
      </w:r>
    </w:p>
    <w:p w14:paraId="3684B016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Split credit: Splits must be pre-approved in CRM; commissions prorated by split %</w:t>
      </w:r>
    </w:p>
    <w:p w14:paraId="1B6407F9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Territory disputes: Sales Ops resolves; Company’s records control payout</w:t>
      </w:r>
    </w:p>
    <w:p w14:paraId="679295F9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Change of role/termination: Commissions on signed deals before last working day are honored per normal timing; no commissions for deals signed post-termination</w:t>
      </w:r>
    </w:p>
    <w:p w14:paraId="7D906C56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Compliance and documentation</w:t>
      </w:r>
    </w:p>
    <w:p w14:paraId="28991B40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Deals must be entered in CRM with approved pricing, executed order forms, and billing setup completed to be commissionable</w:t>
      </w:r>
    </w:p>
    <w:p w14:paraId="14B73168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All payouts subject to tax withholdings and Company policy</w:t>
      </w:r>
    </w:p>
    <w:p w14:paraId="52EF1D60" w14:textId="77777777" w:rsidR="00664B4F" w:rsidRPr="00664B4F" w:rsidRDefault="00664B4F" w:rsidP="00664B4F">
      <w:pPr>
        <w:numPr>
          <w:ilvl w:val="0"/>
          <w:numId w:val="1"/>
        </w:numPr>
      </w:pPr>
      <w:r w:rsidRPr="00664B4F">
        <w:t>Accounting notes (for testing)</w:t>
      </w:r>
    </w:p>
    <w:p w14:paraId="3A46C75D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Classification under ASC 340-40: Capitalize</w:t>
      </w:r>
    </w:p>
    <w:p w14:paraId="485B0C4F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Rationale:</w:t>
      </w:r>
    </w:p>
    <w:p w14:paraId="67F3FE26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lastRenderedPageBreak/>
        <w:t>Costs are incremental to obtaining a specific contract (would not be incurred if the contract were not obtained)</w:t>
      </w:r>
    </w:p>
    <w:p w14:paraId="1669F4A3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Expected to be recoverable via the economics of the contracts</w:t>
      </w:r>
    </w:p>
    <w:p w14:paraId="79DADC37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Amortization period:</w:t>
      </w:r>
    </w:p>
    <w:p w14:paraId="5C3F235D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New logo initial commissions: Amortize over expected period of benefit of 36 months (customer life), because renewal commissions are paid at rates not commensurate with initial rates (2% vs 10–14%)</w:t>
      </w:r>
    </w:p>
    <w:p w14:paraId="7D3C8A83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>Renewal and expansion commissions: Amortize over the related contractual service period (typically 12 months for renewal; remaining term for in-term expansions)</w:t>
      </w:r>
    </w:p>
    <w:p w14:paraId="169ABABB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Impairment/adjustments:</w:t>
      </w:r>
    </w:p>
    <w:p w14:paraId="48FA4437" w14:textId="77777777" w:rsidR="00664B4F" w:rsidRPr="00664B4F" w:rsidRDefault="00664B4F" w:rsidP="00664B4F">
      <w:pPr>
        <w:numPr>
          <w:ilvl w:val="2"/>
          <w:numId w:val="1"/>
        </w:numPr>
      </w:pPr>
      <w:r w:rsidRPr="00664B4F">
        <w:t xml:space="preserve">Reduce the deferred commission asset if </w:t>
      </w:r>
      <w:proofErr w:type="spellStart"/>
      <w:r w:rsidRPr="00664B4F">
        <w:t>clawbacks</w:t>
      </w:r>
      <w:proofErr w:type="spellEnd"/>
      <w:r w:rsidRPr="00664B4F">
        <w:t xml:space="preserve"> occur or if impairment indicators suggest </w:t>
      </w:r>
      <w:proofErr w:type="spellStart"/>
      <w:r w:rsidRPr="00664B4F">
        <w:t>uncollectibility</w:t>
      </w:r>
      <w:proofErr w:type="spellEnd"/>
      <w:r w:rsidRPr="00664B4F">
        <w:t>/not recoverable</w:t>
      </w:r>
    </w:p>
    <w:p w14:paraId="4417D93B" w14:textId="77777777" w:rsidR="00664B4F" w:rsidRPr="00664B4F" w:rsidRDefault="00664B4F" w:rsidP="00664B4F">
      <w:pPr>
        <w:numPr>
          <w:ilvl w:val="1"/>
          <w:numId w:val="1"/>
        </w:numPr>
      </w:pPr>
      <w:r w:rsidRPr="00664B4F">
        <w:t>Practical expedient: Not elected for this plan (assume capitalization even if some amortization periods could be 12 months)</w:t>
      </w:r>
    </w:p>
    <w:p w14:paraId="2C0556A5" w14:textId="77777777" w:rsidR="00664B4F" w:rsidRPr="00664B4F" w:rsidRDefault="00664B4F" w:rsidP="00664B4F"/>
    <w:sectPr w:rsidR="00664B4F" w:rsidRPr="0066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4FA9"/>
    <w:multiLevelType w:val="multilevel"/>
    <w:tmpl w:val="AD7A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95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4F"/>
    <w:rsid w:val="00664B4F"/>
    <w:rsid w:val="00D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4DE1"/>
  <w15:chartTrackingRefBased/>
  <w15:docId w15:val="{817EC097-EF73-4804-ABCB-B7F6A108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Martin Lee</cp:lastModifiedBy>
  <cp:revision>1</cp:revision>
  <dcterms:created xsi:type="dcterms:W3CDTF">2025-08-26T20:04:00Z</dcterms:created>
  <dcterms:modified xsi:type="dcterms:W3CDTF">2025-08-26T20:11:00Z</dcterms:modified>
</cp:coreProperties>
</file>