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t>Pauta Documentativa: Proyecto Gateway de Automatización de Pagos</w:t>
      </w:r>
    </w:p>
    <w:p>
      <w:pPr>
        <w:pStyle w:val="CustomBody"/>
        <w:jc w:val="center"/>
      </w:pPr>
      <w:r>
        <w:t>Documentación Inicial y Modelo de Negocio para Kobra</w:t>
      </w:r>
    </w:p>
    <w:p/>
    <w:p>
      <w:pPr>
        <w:pStyle w:val="CustomH1"/>
      </w:pPr>
      <w:r>
        <w:t>1. Contexto del Proyecto y Visión General</w:t>
      </w:r>
    </w:p>
    <w:p>
      <w:pPr>
        <w:pStyle w:val="CustomBody"/>
      </w:pPr>
      <w:r>
        <w:t>Kobra es una startup especializada en la automatización de cobranza conversacional mediante inteligencia artificial a través de WhatsApp. El sistema está diseñado para contactar deudores, negociar pagos con tono adaptativo y gestionar acuerdos sin intervención humana, operando dentro de los marcos legales y de seguridad.</w:t>
      </w:r>
    </w:p>
    <w:p>
      <w:pPr>
        <w:pStyle w:val="CustomBody"/>
      </w:pPr>
      <w:r>
        <w:t>El presente proyecto nace de una necesidad crítica en la operativa actual: Kobra depende de las pasarelas de pago de sus clientes (ej. Zafepay, Webpay) sin contar con una integración profunda (API). Esto genera un 'punto ciego' operativo cuando los métodos de pago automático de los deudores fallan, derivando en procesos manuales de recuperación que dañan la experiencia del usuario y la imagen de la empresa cliente. La visión de este proyecto es desarrollar un 'Gateway' o puente propio de Kobra que controle el flujo de pago de principio a fin.</w:t>
      </w:r>
    </w:p>
    <w:p>
      <w:pPr>
        <w:pStyle w:val="CustomH1"/>
      </w:pPr>
      <w:r>
        <w:t>2. Modelo de Negocio y Stakeholders</w:t>
      </w:r>
    </w:p>
    <w:p>
      <w:pPr>
        <w:pStyle w:val="CustomH2"/>
      </w:pPr>
      <w:r>
        <w:t>Dueños de la Empresa (Kobra):</w:t>
      </w:r>
    </w:p>
    <w:p>
      <w:pPr>
        <w:pStyle w:val="CustomBody"/>
      </w:pPr>
      <w:r>
        <w:t>El objetivo de la startup es consolidar un modelo SaaS escalable, que no solo notifique, sino que cierre el ciclo de recaudación. El reto es posicionar este gateway propio sin depender de soluciones que los clientes ya utilizan (como Toku o Fintoc), manteniendo el ecosistema bajo el control de Kobra.</w:t>
      </w:r>
    </w:p>
    <w:p>
      <w:pPr>
        <w:pStyle w:val="CustomH2"/>
      </w:pPr>
      <w:r>
        <w:t>Clientes Objetivo (B2B):</w:t>
      </w:r>
    </w:p>
    <w:p>
      <w:pPr>
        <w:pStyle w:val="CustomBody"/>
      </w:pPr>
      <w:r>
        <w:t>Empresas de cobranza, instituciones financieras prestamistas, inmobiliarias (ej. gestión de activos inmobiliarios y parcelaciones como Sur Profundo) y cualquier entidad con carteras de cuotas mensuales o suscripciones. Estos clientes buscan externalizar el desgaste del cobro, requiriendo un servicio transparente que no modifique radicalmente sus sistemas contables o pasarelas de pago subyacentes.</w:t>
      </w:r>
    </w:p>
    <w:p>
      <w:pPr>
        <w:pStyle w:val="CustomH2"/>
      </w:pPr>
      <w:r>
        <w:t>Usuarios Finales (Deudores):</w:t>
      </w:r>
    </w:p>
    <w:p>
      <w:pPr>
        <w:pStyle w:val="CustomBody"/>
      </w:pPr>
      <w:r>
        <w:t>Personas con necesidades financieras o compromisos de pago. Requieren una experiencia libre de fricción. Si un pago falla, el sistema debe facilitar la solución inmediatamente mediante un enlace directo y claro, sin burocracia ni interacciones manuales tediosas.</w:t>
      </w:r>
    </w:p>
    <w:p>
      <w:pPr>
        <w:pStyle w:val="CustomH1"/>
      </w:pPr>
      <w:r>
        <w:t>3. El Problema Actual: Fallas en los 8 Pasos de Recaudación</w:t>
      </w:r>
    </w:p>
    <w:p>
      <w:pPr>
        <w:pStyle w:val="CustomBody"/>
      </w:pPr>
      <w:r>
        <w:t>De acuerdo con la documentación de operaciones de Kobra, el proceso de recaudación consta de 8 pasos fundamentales: Definir, Localizar, Preparar, Confirmar, Ejecutar, Monitorear, Modificar y Concluir.</w:t>
      </w:r>
    </w:p>
    <w:p>
      <w:pPr>
        <w:pStyle w:val="CustomBody"/>
      </w:pPr>
      <w:r>
        <w:t>Actualmente, el sistema se quiebra en las etapas de Confirmación y Monitoreo. Al no existir integración con la pasarela del cliente, cuando una tarjeta guardada pierde validez, ocurren las siguientes fallas sistémicas:</w:t>
      </w:r>
    </w:p>
    <w:p>
      <w:pPr>
        <w:pStyle w:val="CustomList"/>
      </w:pPr>
      <w:r>
        <w:rPr>
          <w:b/>
        </w:rPr>
        <w:t xml:space="preserve">1. Falsa categorización de morosidad: </w:t>
      </w:r>
      <w:r>
        <w:t>Al fallar el cobro automático, Kobra asume que el usuario es un deudor, activando pautas de cobranza agresivas erróneas.</w:t>
      </w:r>
    </w:p>
    <w:p>
      <w:pPr>
        <w:pStyle w:val="CustomList"/>
      </w:pPr>
      <w:r>
        <w:rPr>
          <w:b/>
        </w:rPr>
        <w:t xml:space="preserve">2. Punto ciego de monitoreo (Silencio Operativo): </w:t>
      </w:r>
      <w:r>
        <w:t>Kobra no recibe notificaciones de fallas (webhooks). El problema se descubre semanas después mediante intervención humana (apertura manual de fichas).</w:t>
      </w:r>
    </w:p>
    <w:p>
      <w:pPr>
        <w:pStyle w:val="CustomList"/>
      </w:pPr>
      <w:r>
        <w:rPr>
          <w:b/>
        </w:rPr>
        <w:t xml:space="preserve">3. Modificación manual y no escalable: </w:t>
      </w:r>
      <w:r>
        <w:t>La reconexión del medio de pago (reenganche) exige asistencia humana paso a paso por WhatsApp, perjudicando la percepción de la marca del cliente.</w:t>
      </w:r>
    </w:p>
    <w:p>
      <w:pPr>
        <w:pStyle w:val="CustomH1"/>
      </w:pPr>
      <w:r>
        <w:t>4. Requerimientos de la Solución (Kobra Gateway)</w:t>
      </w:r>
    </w:p>
    <w:p>
      <w:pPr>
        <w:pStyle w:val="CustomBody"/>
      </w:pPr>
      <w:r>
        <w:t>Para solucionar esta brecha, Kobra desarrollará un Gateway intermediario. El sistema actuará como la primera capa de interacción financiera del usuario.</w:t>
      </w:r>
    </w:p>
    <w:p>
      <w:pPr>
        <w:pStyle w:val="CustomH2"/>
      </w:pPr>
      <w:r>
        <w:t>Requerimientos Funcionales Básicos:</w:t>
      </w:r>
    </w:p>
    <w:p>
      <w:pPr>
        <w:pStyle w:val="CustomList"/>
      </w:pPr>
      <w:r>
        <w:rPr>
          <w:b/>
        </w:rPr>
        <w:t xml:space="preserve">A. Generación de Enlace Propio: </w:t>
      </w:r>
      <w:r>
        <w:t>Kobra proporcionará al deudor un enlace de pago nativo (gateway Kobra) en lugar del enlace directo del cliente (ej. Zafepay o Webpay).</w:t>
      </w:r>
    </w:p>
    <w:p>
      <w:pPr>
        <w:pStyle w:val="CustomList"/>
      </w:pPr>
      <w:r>
        <w:rPr>
          <w:b/>
        </w:rPr>
        <w:t xml:space="preserve">B. Liquidación en Cascada (El Puente): </w:t>
      </w:r>
      <w:r>
        <w:t>Una vez que el usuario paga en el entorno Kobra, el sistema emite el comprobante y, en segundo plano, replica el pago hacia la pasarela final del cliente automáticamente.</w:t>
      </w:r>
    </w:p>
    <w:p>
      <w:pPr>
        <w:pStyle w:val="CustomList"/>
      </w:pPr>
      <w:r>
        <w:rPr>
          <w:b/>
        </w:rPr>
        <w:t xml:space="preserve">C. Motor de Reenganche Automático: </w:t>
      </w:r>
      <w:r>
        <w:t>Si la pasarela informa que un método de pago guardado ha caducado, Kobra debe cambiar automáticamente la pauta del bot, solicitando amablemente la actualización del medio de pago, sin catalogar al usuario como moroso.</w:t>
      </w:r>
    </w:p>
    <w:p>
      <w:pPr>
        <w:pStyle w:val="CustomH2"/>
      </w:pPr>
      <w:r>
        <w:t>Desafíos de Negocio a Resolver:</w:t>
      </w:r>
    </w:p>
    <w:p>
      <w:pPr>
        <w:pStyle w:val="CustomBody"/>
      </w:pPr>
      <w:r>
        <w:t>La arquitectura del Gateway implica que los fondos pasan por dos procesadores, generando un escenario de 'doble comisión' (la de Kobra y la de la pasarela del cliente). El modelo de negocio deberá validar si el cliente está dispuesto a asumir este sobrecosto a cambio de la automatización total, o si Kobra estructurará el servicio solo como un facilitador de tokens (orquestación) sin ser adquirente.</w:t>
      </w:r>
    </w:p>
    <w:p>
      <w:pPr>
        <w:pStyle w:val="CustomH1"/>
      </w:pPr>
      <w:r>
        <w:t>5. Instrucciones Clave para el Equipo de Desarrollo</w:t>
      </w:r>
    </w:p>
    <w:p>
      <w:pPr>
        <w:pStyle w:val="CustomList"/>
      </w:pPr>
      <w:r>
        <w:rPr>
          <w:b/>
        </w:rPr>
        <w:t xml:space="preserve">- Trazabilidad Continua: </w:t>
      </w:r>
      <w:r>
        <w:t>Se deben implementar webhooks y APIs de consulta de estado para eliminar el trabajo manual en el paso 6 (Monitorear). Todo cambio de estado debe reflejarse en tiempo real.</w:t>
      </w:r>
    </w:p>
    <w:p>
      <w:pPr>
        <w:pStyle w:val="CustomList"/>
      </w:pPr>
      <w:r>
        <w:rPr>
          <w:b/>
        </w:rPr>
        <w:t xml:space="preserve">- Flexibilidad del Gateway: </w:t>
      </w:r>
      <w:r>
        <w:t>El puente de Kobra debe ser agnóstico y capaz de inyectar el pago en múltiples destinos (Webpay, Zafepay, etc.) según lo parametrizado en el onboarding de cada cliente.</w:t>
      </w:r>
    </w:p>
    <w:p>
      <w:pPr>
        <w:pStyle w:val="CustomList"/>
      </w:pPr>
      <w:r>
        <w:rPr>
          <w:b/>
        </w:rPr>
        <w:t xml:space="preserve">- Interfaz de Usuario (Deudor): </w:t>
      </w:r>
      <w:r>
        <w:t>El flujo de pago y de reenganche de tarjetas debe ocurrir dentro de una interfaz controlada por Kobra, garantizando que sea a prueba de fallos y no requiera manuales o soporte por WhatsApp.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rial" w:hAnsi="Arial"/>
      <w:b/>
      <w:color w:val="003366"/>
      <w:sz w:val="44"/>
    </w:rPr>
  </w:style>
  <w:style w:type="paragraph" w:customStyle="1" w:styleId="CustomH1">
    <w:name w:val="CustomH1"/>
    <w:rPr>
      <w:rFonts w:ascii="Arial" w:hAnsi="Arial"/>
      <w:b/>
      <w:color w:val="004C99"/>
      <w:sz w:val="32"/>
    </w:rPr>
  </w:style>
  <w:style w:type="paragraph" w:customStyle="1" w:styleId="CustomH2">
    <w:name w:val="CustomH2"/>
    <w:rPr>
      <w:rFonts w:ascii="Arial" w:hAnsi="Arial"/>
      <w:b/>
      <w:color w:val="336699"/>
      <w:sz w:val="26"/>
    </w:rPr>
  </w:style>
  <w:style w:type="paragraph" w:customStyle="1" w:styleId="CustomBody">
    <w:name w:val="CustomBody"/>
    <w:rPr>
      <w:rFonts w:ascii="Arial" w:hAnsi="Arial"/>
      <w:sz w:val="22"/>
    </w:rPr>
  </w:style>
  <w:style w:type="paragraph" w:customStyle="1" w:styleId="CustomList">
    <w:name w:val="CustomList"/>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