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8642583" w:rsidR="004F2A8B" w:rsidRDefault="00F338A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338A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 hemos podido cumplir estrictamente con los tiempos definidos en la Carta Gantt inicial debido a un cambio fundamental en el proyecto: dejamos de trabajar con Kobra y ahora estamos trabajando con un nuevo cliente llamado </w:t>
            </w:r>
            <w:proofErr w:type="spellStart"/>
            <w:r w:rsidRPr="00F338A6">
              <w:rPr>
                <w:rFonts w:ascii="Calibri" w:hAnsi="Calibri"/>
                <w:b/>
                <w:bCs/>
                <w:color w:val="1F4E79" w:themeColor="accent1" w:themeShade="80"/>
              </w:rPr>
              <w:t>Apofyx</w:t>
            </w:r>
            <w:proofErr w:type="spellEnd"/>
            <w:r w:rsidRPr="00F338A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una empresa de cobranzas que busca una solución tecnológica para integrar IA. Este cambio dificultó el flujo planificado, ya que nos obligó a detener el desarrollo temporalmente para reajustar el alcance y volver a levantar requerimientos específicos con el nuevo cliente. Como factor facilitador, destaco que la arquitectura base que habíamos propuesto para </w:t>
            </w:r>
            <w:proofErr w:type="spellStart"/>
            <w:r w:rsidRPr="00F338A6">
              <w:rPr>
                <w:rFonts w:ascii="Calibri" w:hAnsi="Calibri"/>
                <w:b/>
                <w:bCs/>
                <w:color w:val="1F4E79" w:themeColor="accent1" w:themeShade="80"/>
              </w:rPr>
              <w:t>Technical</w:t>
            </w:r>
            <w:proofErr w:type="spellEnd"/>
            <w:r w:rsidRPr="00F338A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Bridge (el </w:t>
            </w:r>
            <w:proofErr w:type="spellStart"/>
            <w:r w:rsidRPr="00F338A6">
              <w:rPr>
                <w:rFonts w:ascii="Calibri" w:hAnsi="Calibri"/>
                <w:b/>
                <w:bCs/>
                <w:color w:val="1F4E79" w:themeColor="accent1" w:themeShade="80"/>
              </w:rPr>
              <w:t>gateway</w:t>
            </w:r>
            <w:proofErr w:type="spellEnd"/>
            <w:r w:rsidRPr="00F338A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integrador con </w:t>
            </w:r>
            <w:proofErr w:type="spellStart"/>
            <w:r w:rsidRPr="00F338A6">
              <w:rPr>
                <w:rFonts w:ascii="Calibri" w:hAnsi="Calibri"/>
                <w:b/>
                <w:bCs/>
                <w:color w:val="1F4E79" w:themeColor="accent1" w:themeShade="80"/>
              </w:rPr>
              <w:t>Khipu</w:t>
            </w:r>
            <w:proofErr w:type="spellEnd"/>
            <w:r w:rsidRPr="00F338A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Mercado Pago, junto al simulador de planes) es altamente escalable y adaptable, lo que nos ha permitido reutilizar gran parte del análisis técnico inicial para presentárselo a </w:t>
            </w:r>
            <w:proofErr w:type="spellStart"/>
            <w:r w:rsidRPr="00F338A6">
              <w:rPr>
                <w:rFonts w:ascii="Calibri" w:hAnsi="Calibri"/>
                <w:b/>
                <w:bCs/>
                <w:color w:val="1F4E79" w:themeColor="accent1" w:themeShade="80"/>
              </w:rPr>
              <w:t>Apofyx</w:t>
            </w:r>
            <w:proofErr w:type="spellEnd"/>
            <w:r w:rsidRPr="00F338A6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4CE5F623" w:rsidR="004F2A8B" w:rsidRDefault="00F338A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338A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Para enfrentar esta transición de cliente, nos hemos apoyado fuertemente en la estructura ágil de nuestro equipo (Scrum/Kanban). Martín, desde su rol de </w:t>
            </w:r>
            <w:proofErr w:type="spellStart"/>
            <w:r w:rsidRPr="00F338A6">
              <w:rPr>
                <w:rFonts w:ascii="Calibri" w:hAnsi="Calibri"/>
                <w:b/>
                <w:bCs/>
                <w:color w:val="1F4E79" w:themeColor="accent1" w:themeShade="80"/>
              </w:rPr>
              <w:t>Product</w:t>
            </w:r>
            <w:proofErr w:type="spellEnd"/>
            <w:r w:rsidRPr="00F338A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Owner, ha sido fundamental para actuar como puente con </w:t>
            </w:r>
            <w:proofErr w:type="spellStart"/>
            <w:r w:rsidRPr="00F338A6">
              <w:rPr>
                <w:rFonts w:ascii="Calibri" w:hAnsi="Calibri"/>
                <w:b/>
                <w:bCs/>
                <w:color w:val="1F4E79" w:themeColor="accent1" w:themeShade="80"/>
              </w:rPr>
              <w:t>Apofyx</w:t>
            </w:r>
            <w:proofErr w:type="spellEnd"/>
            <w:r w:rsidRPr="00F338A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alinear la propuesta tecnológica a sus necesidades particulares. Junto a Esteban, nuestro Scrum </w:t>
            </w:r>
            <w:proofErr w:type="gramStart"/>
            <w:r w:rsidRPr="00F338A6">
              <w:rPr>
                <w:rFonts w:ascii="Calibri" w:hAnsi="Calibri"/>
                <w:b/>
                <w:bCs/>
                <w:color w:val="1F4E79" w:themeColor="accent1" w:themeShade="80"/>
              </w:rPr>
              <w:t>Master</w:t>
            </w:r>
            <w:proofErr w:type="gramEnd"/>
            <w:r w:rsidRPr="00F338A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hemos reorganizado los </w:t>
            </w:r>
            <w:proofErr w:type="spellStart"/>
            <w:r w:rsidRPr="00F338A6">
              <w:rPr>
                <w:rFonts w:ascii="Calibri" w:hAnsi="Calibri"/>
                <w:b/>
                <w:bCs/>
                <w:color w:val="1F4E79" w:themeColor="accent1" w:themeShade="80"/>
              </w:rPr>
              <w:t>Sprints</w:t>
            </w:r>
            <w:proofErr w:type="spellEnd"/>
            <w:r w:rsidRPr="00F338A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para priorizar las modificaciones en el modelo de datos y la adaptación de los flujos, permitiendo que, como equipo de desarrollo, Pedro y yo podamos avanzar sin tantos bloqueos.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50046E36" w:rsidR="004F2A8B" w:rsidRDefault="00F338A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338A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Evalúo mi desempeño de manera muy positiva. He podido aplicar mis fortalezas en el diseño de la lógica de programación y el análisis de la base de datos para adaptar rápidamente la arquitectura del </w:t>
            </w:r>
            <w:proofErr w:type="spellStart"/>
            <w:r w:rsidRPr="00F338A6">
              <w:rPr>
                <w:rFonts w:ascii="Calibri" w:hAnsi="Calibri"/>
                <w:b/>
                <w:bCs/>
                <w:color w:val="1F4E79" w:themeColor="accent1" w:themeShade="80"/>
              </w:rPr>
              <w:t>gateway</w:t>
            </w:r>
            <w:proofErr w:type="spellEnd"/>
            <w:r w:rsidRPr="00F338A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 las reglas de negocio de </w:t>
            </w:r>
            <w:proofErr w:type="spellStart"/>
            <w:r w:rsidRPr="00F338A6">
              <w:rPr>
                <w:rFonts w:ascii="Calibri" w:hAnsi="Calibri"/>
                <w:b/>
                <w:bCs/>
                <w:color w:val="1F4E79" w:themeColor="accent1" w:themeShade="80"/>
              </w:rPr>
              <w:t>Apofyx</w:t>
            </w:r>
            <w:proofErr w:type="spellEnd"/>
            <w:r w:rsidRPr="00F338A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. Destaco mi capacidad analítica para replantear la solución ante la caída del cliente original. Sin embargo, reconozco que aún tengo un dominio insuficiente en el trabajo colaborativo en equipo; necesito mejorar la comunicación y la coordinación técnica directa con Pedro durante el desarrollo conjunto para evitar cuellos de botella al integrar el </w:t>
            </w:r>
            <w:proofErr w:type="spellStart"/>
            <w:r w:rsidRPr="00F338A6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F338A6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576866BD" w:rsidR="004F2A8B" w:rsidRDefault="00F338A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338A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 principal inquietud es procedimental respecto a las formalidades del ramo. Dado que gran parte de la Fase 1 se documentó en torno a Kobra, me gustaría preguntarle al docente ¿Cuál es la estrategia óptima para reflejar formalmente este pivote hacia </w:t>
            </w:r>
            <w:proofErr w:type="spellStart"/>
            <w:r w:rsidRPr="00F338A6">
              <w:rPr>
                <w:rFonts w:ascii="Calibri" w:hAnsi="Calibri"/>
                <w:b/>
                <w:bCs/>
                <w:color w:val="1F4E79" w:themeColor="accent1" w:themeShade="80"/>
              </w:rPr>
              <w:t>Apofyx</w:t>
            </w:r>
            <w:proofErr w:type="spellEnd"/>
            <w:r w:rsidRPr="00F338A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el informe de la Fase 2, asegurando que se valide todo el esfuerzo técnico y de análisis previo sin que se perciba como un reinicio desde cero?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5028B368" w:rsidR="004F2A8B" w:rsidRPr="00F338A6" w:rsidRDefault="00F338A6" w:rsidP="3D28A338">
            <w:pPr>
              <w:jc w:val="both"/>
              <w:rPr>
                <w:rFonts w:eastAsiaTheme="majorEastAsia"/>
                <w:color w:val="1F3864" w:themeColor="accent5" w:themeShade="80"/>
                <w:sz w:val="24"/>
                <w:szCs w:val="24"/>
              </w:rPr>
            </w:pPr>
            <w:r w:rsidRPr="00F338A6">
              <w:rPr>
                <w:rFonts w:eastAsiaTheme="majorEastAsia"/>
                <w:color w:val="1F3864" w:themeColor="accent5" w:themeShade="80"/>
                <w:sz w:val="24"/>
                <w:szCs w:val="24"/>
              </w:rPr>
              <w:t xml:space="preserve">Sí, el cambio de cliente exige redistribuir esfuerzos. Martín deberá destinar más horas a validar requerimientos y levantar las políticas comerciales específicas de </w:t>
            </w:r>
            <w:proofErr w:type="spellStart"/>
            <w:r w:rsidRPr="00F338A6">
              <w:rPr>
                <w:rFonts w:eastAsiaTheme="majorEastAsia"/>
                <w:color w:val="1F3864" w:themeColor="accent5" w:themeShade="80"/>
                <w:sz w:val="24"/>
                <w:szCs w:val="24"/>
              </w:rPr>
              <w:t>Apofyx</w:t>
            </w:r>
            <w:proofErr w:type="spellEnd"/>
            <w:r w:rsidRPr="00F338A6">
              <w:rPr>
                <w:rFonts w:eastAsiaTheme="majorEastAsia"/>
                <w:color w:val="1F3864" w:themeColor="accent5" w:themeShade="80"/>
                <w:sz w:val="24"/>
                <w:szCs w:val="24"/>
              </w:rPr>
              <w:t xml:space="preserve"> para el simulador. Por el lado del desarrollo, Pedro y yo tendremos que reorganizar la carga de trabajo asociada a la integración de las </w:t>
            </w:r>
            <w:proofErr w:type="spellStart"/>
            <w:r w:rsidRPr="00F338A6">
              <w:rPr>
                <w:rFonts w:eastAsiaTheme="majorEastAsia"/>
                <w:color w:val="1F3864" w:themeColor="accent5" w:themeShade="80"/>
                <w:sz w:val="24"/>
                <w:szCs w:val="24"/>
              </w:rPr>
              <w:t>APIs</w:t>
            </w:r>
            <w:proofErr w:type="spellEnd"/>
            <w:r w:rsidRPr="00F338A6">
              <w:rPr>
                <w:rFonts w:eastAsiaTheme="majorEastAsia"/>
                <w:color w:val="1F3864" w:themeColor="accent5" w:themeShade="80"/>
                <w:sz w:val="24"/>
                <w:szCs w:val="24"/>
              </w:rPr>
              <w:t xml:space="preserve">, ya que primero debemos refactorizar partes del modelo de datos para que calcen con la estructura de </w:t>
            </w:r>
            <w:proofErr w:type="spellStart"/>
            <w:r w:rsidRPr="00F338A6">
              <w:rPr>
                <w:rFonts w:eastAsiaTheme="majorEastAsia"/>
                <w:color w:val="1F3864" w:themeColor="accent5" w:themeShade="80"/>
                <w:sz w:val="24"/>
                <w:szCs w:val="24"/>
              </w:rPr>
              <w:t>Apofyx</w:t>
            </w:r>
            <w:proofErr w:type="spellEnd"/>
            <w:r w:rsidRPr="00F338A6">
              <w:rPr>
                <w:rFonts w:eastAsiaTheme="majorEastAsia"/>
                <w:color w:val="1F3864" w:themeColor="accent5" w:themeShade="80"/>
                <w:sz w:val="24"/>
                <w:szCs w:val="24"/>
              </w:rPr>
              <w:t>. Esteban deberá actualizar el tablero Kanban y la planificación para reflejar estas nuevas dependencias técnicas.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35C165BA" w14:textId="77777777" w:rsidR="00F338A6" w:rsidRDefault="00F338A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D4356BF" w14:textId="2BC136B9" w:rsidR="004F2A8B" w:rsidRPr="00F338A6" w:rsidRDefault="00F338A6" w:rsidP="3D28A338">
            <w:pPr>
              <w:jc w:val="both"/>
              <w:rPr>
                <w:rFonts w:eastAsiaTheme="majorEastAsia"/>
                <w:color w:val="1F3864" w:themeColor="accent5" w:themeShade="80"/>
                <w:sz w:val="24"/>
                <w:szCs w:val="24"/>
              </w:rPr>
            </w:pPr>
            <w:r w:rsidRPr="00F338A6">
              <w:rPr>
                <w:rFonts w:eastAsiaTheme="majorEastAsia"/>
                <w:color w:val="1F3864" w:themeColor="accent5" w:themeShade="80"/>
                <w:sz w:val="24"/>
                <w:szCs w:val="24"/>
              </w:rPr>
              <w:t>Evaluamos el trabajo del grupo como sumamente resiliente. El aspecto más positivo es la madurez con la que el equipo manejó la transición</w:t>
            </w:r>
            <w:r w:rsidRPr="00F338A6">
              <w:rPr>
                <w:rFonts w:eastAsiaTheme="majorEastAsia"/>
                <w:color w:val="1F3864" w:themeColor="accent5" w:themeShade="80"/>
                <w:sz w:val="24"/>
                <w:szCs w:val="24"/>
              </w:rPr>
              <w:t>,</w:t>
            </w:r>
            <w:r w:rsidRPr="00F338A6">
              <w:rPr>
                <w:rFonts w:eastAsiaTheme="majorEastAsia"/>
                <w:color w:val="1F3864" w:themeColor="accent5" w:themeShade="80"/>
                <w:sz w:val="24"/>
                <w:szCs w:val="24"/>
              </w:rPr>
              <w:t xml:space="preserve"> en lugar de desmotivarnos por el cambio abrupto de cliente, logramos adaptar rápidamente nuestra propuesta tecnológica. Como aspecto a mejorar, identificamos la necesidad de optimizar nuestras reuniones de sincronización; a veces la información de las reuniones con el nuevo cliente tarda un poco en llegar con todo el detalle al equipo de desarrollo (Pedro y yo), por lo que debemos asegurar una comunicación más fluida y constante para no retrasar la codificación.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FC25D" w14:textId="77777777" w:rsidR="00982092" w:rsidRDefault="00982092" w:rsidP="00DF38AE">
      <w:pPr>
        <w:spacing w:after="0" w:line="240" w:lineRule="auto"/>
      </w:pPr>
      <w:r>
        <w:separator/>
      </w:r>
    </w:p>
  </w:endnote>
  <w:endnote w:type="continuationSeparator" w:id="0">
    <w:p w14:paraId="7CC9F623" w14:textId="77777777" w:rsidR="00982092" w:rsidRDefault="0098209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C8DEB" w14:textId="77777777" w:rsidR="00982092" w:rsidRDefault="00982092" w:rsidP="00DF38AE">
      <w:pPr>
        <w:spacing w:after="0" w:line="240" w:lineRule="auto"/>
      </w:pPr>
      <w:r>
        <w:separator/>
      </w:r>
    </w:p>
  </w:footnote>
  <w:footnote w:type="continuationSeparator" w:id="0">
    <w:p w14:paraId="7AD1CA4F" w14:textId="77777777" w:rsidR="00982092" w:rsidRDefault="0098209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9514783">
    <w:abstractNumId w:val="3"/>
  </w:num>
  <w:num w:numId="2" w16cid:durableId="101459361">
    <w:abstractNumId w:val="8"/>
  </w:num>
  <w:num w:numId="3" w16cid:durableId="1138256689">
    <w:abstractNumId w:val="12"/>
  </w:num>
  <w:num w:numId="4" w16cid:durableId="972708834">
    <w:abstractNumId w:val="28"/>
  </w:num>
  <w:num w:numId="5" w16cid:durableId="147718572">
    <w:abstractNumId w:val="30"/>
  </w:num>
  <w:num w:numId="6" w16cid:durableId="501699323">
    <w:abstractNumId w:val="4"/>
  </w:num>
  <w:num w:numId="7" w16cid:durableId="15234743">
    <w:abstractNumId w:val="11"/>
  </w:num>
  <w:num w:numId="8" w16cid:durableId="1106460426">
    <w:abstractNumId w:val="19"/>
  </w:num>
  <w:num w:numId="9" w16cid:durableId="503935733">
    <w:abstractNumId w:val="15"/>
  </w:num>
  <w:num w:numId="10" w16cid:durableId="1801847193">
    <w:abstractNumId w:val="9"/>
  </w:num>
  <w:num w:numId="11" w16cid:durableId="356539951">
    <w:abstractNumId w:val="24"/>
  </w:num>
  <w:num w:numId="12" w16cid:durableId="48383910">
    <w:abstractNumId w:val="35"/>
  </w:num>
  <w:num w:numId="13" w16cid:durableId="543910176">
    <w:abstractNumId w:val="29"/>
  </w:num>
  <w:num w:numId="14" w16cid:durableId="1143734979">
    <w:abstractNumId w:val="1"/>
  </w:num>
  <w:num w:numId="15" w16cid:durableId="217515698">
    <w:abstractNumId w:val="36"/>
  </w:num>
  <w:num w:numId="16" w16cid:durableId="21565125">
    <w:abstractNumId w:val="21"/>
  </w:num>
  <w:num w:numId="17" w16cid:durableId="83192921">
    <w:abstractNumId w:val="17"/>
  </w:num>
  <w:num w:numId="18" w16cid:durableId="304041945">
    <w:abstractNumId w:val="31"/>
  </w:num>
  <w:num w:numId="19" w16cid:durableId="253705062">
    <w:abstractNumId w:val="10"/>
  </w:num>
  <w:num w:numId="20" w16cid:durableId="1413746440">
    <w:abstractNumId w:val="39"/>
  </w:num>
  <w:num w:numId="21" w16cid:durableId="1731534673">
    <w:abstractNumId w:val="34"/>
  </w:num>
  <w:num w:numId="22" w16cid:durableId="751467309">
    <w:abstractNumId w:val="13"/>
  </w:num>
  <w:num w:numId="23" w16cid:durableId="415633778">
    <w:abstractNumId w:val="14"/>
  </w:num>
  <w:num w:numId="24" w16cid:durableId="898976833">
    <w:abstractNumId w:val="5"/>
  </w:num>
  <w:num w:numId="25" w16cid:durableId="1218736557">
    <w:abstractNumId w:val="16"/>
  </w:num>
  <w:num w:numId="26" w16cid:durableId="1891771222">
    <w:abstractNumId w:val="20"/>
  </w:num>
  <w:num w:numId="27" w16cid:durableId="286086094">
    <w:abstractNumId w:val="23"/>
  </w:num>
  <w:num w:numId="28" w16cid:durableId="664434015">
    <w:abstractNumId w:val="0"/>
  </w:num>
  <w:num w:numId="29" w16cid:durableId="437799292">
    <w:abstractNumId w:val="18"/>
  </w:num>
  <w:num w:numId="30" w16cid:durableId="1758163648">
    <w:abstractNumId w:val="22"/>
  </w:num>
  <w:num w:numId="31" w16cid:durableId="289093472">
    <w:abstractNumId w:val="2"/>
  </w:num>
  <w:num w:numId="32" w16cid:durableId="1609115516">
    <w:abstractNumId w:val="7"/>
  </w:num>
  <w:num w:numId="33" w16cid:durableId="194973350">
    <w:abstractNumId w:val="32"/>
  </w:num>
  <w:num w:numId="34" w16cid:durableId="888228963">
    <w:abstractNumId w:val="38"/>
  </w:num>
  <w:num w:numId="35" w16cid:durableId="650210283">
    <w:abstractNumId w:val="6"/>
  </w:num>
  <w:num w:numId="36" w16cid:durableId="467668541">
    <w:abstractNumId w:val="25"/>
  </w:num>
  <w:num w:numId="37" w16cid:durableId="913394668">
    <w:abstractNumId w:val="37"/>
  </w:num>
  <w:num w:numId="38" w16cid:durableId="250510809">
    <w:abstractNumId w:val="27"/>
  </w:num>
  <w:num w:numId="39" w16cid:durableId="1970239630">
    <w:abstractNumId w:val="26"/>
  </w:num>
  <w:num w:numId="40" w16cid:durableId="120228459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3B5A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209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8A6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776</Words>
  <Characters>4269</Characters>
  <Application>Microsoft Office Word</Application>
  <DocSecurity>0</DocSecurity>
  <Lines>35</Lines>
  <Paragraphs>10</Paragraphs>
  <ScaleCrop>false</ScaleCrop>
  <Company>Wal-Mart Stores, Inc.</Company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FLAVIO ANTONIO HENRIQUEZ GODOY</cp:lastModifiedBy>
  <cp:revision>43</cp:revision>
  <cp:lastPrinted>2019-12-16T20:10:00Z</cp:lastPrinted>
  <dcterms:created xsi:type="dcterms:W3CDTF">2021-12-31T12:50:00Z</dcterms:created>
  <dcterms:modified xsi:type="dcterms:W3CDTF">2026-09-16T06:31:00Z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