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2E75B6"/>
          <w:sz w:val="22"/>
          <w:szCs w:val="22"/>
        </w:rPr>
        <w:t xml:space="preserve">ANALYSIS &amp; SUMMARY</w:t>
      </w:r>
    </w:p>
    <w:p>
      <w:pPr>
        <w:pBdr>
          <w:bottom w:val="single" w:color="2E75B6" w:sz="8" w:space="8"/>
        </w:pBdr>
        <w:spacing w:after="80"/>
        <w:jc w:val="center"/>
      </w:pPr>
      <w:r>
        <w:rPr>
          <w:rFonts w:ascii="Arial" w:cs="Arial" w:eastAsia="Arial" w:hAnsi="Arial"/>
          <w:b/>
          <w:bCs/>
          <w:color w:val="1B3A5C"/>
          <w:sz w:val="52"/>
          <w:szCs w:val="52"/>
        </w:rPr>
        <w:t xml:space="preserve">The Trust Advantage</w:t>
      </w:r>
    </w:p>
    <w:p>
      <w:pPr>
        <w:spacing w:before="200" w:after="80"/>
        <w:jc w:val="center"/>
      </w:pPr>
      <w:r>
        <w:rPr>
          <w:rFonts w:ascii="Arial" w:cs="Arial" w:eastAsia="Arial" w:hAnsi="Arial"/>
          <w:i/>
          <w:iCs/>
          <w:color w:val="666666"/>
          <w:sz w:val="28"/>
          <w:szCs w:val="28"/>
        </w:rPr>
        <w:t xml:space="preserve">Why Expertise Wins in the Era of AI-Driven Sales</w:t>
      </w:r>
    </w:p>
    <w:p>
      <w:pPr>
        <w:spacing w:after="40"/>
        <w:jc w:val="center"/>
      </w:pPr>
      <w:r>
        <w:rPr>
          <w:rFonts w:ascii="Arial" w:cs="Arial" w:eastAsia="Arial" w:hAnsi="Arial"/>
          <w:color w:val="666666"/>
          <w:sz w:val="22"/>
          <w:szCs w:val="22"/>
        </w:rPr>
        <w:t xml:space="preserve">LinkedIn Sales Navigator – Sales Leader Compass (2025)</w:t>
      </w:r>
    </w:p>
    <w:p>
      <w:pPr>
        <w:spacing w:after="80"/>
      </w:pPr>
    </w:p>
    <w:p>
      <w:pPr>
        <w:spacing w:after="80"/>
      </w:pPr>
    </w:p>
    <w:p>
      <w:pPr>
        <w:spacing w:after="80"/>
      </w:pPr>
    </w:p>
    <w:p>
      <w:pPr>
        <w:pBdr>
          <w:top w:val="single" w:color="CCCCCC" w:sz="2" w:space="8"/>
        </w:pBdr>
        <w:spacing w:after="80"/>
        <w:jc w:val="center"/>
      </w:pPr>
      <w:r>
        <w:rPr>
          <w:rFonts w:ascii="Arial" w:cs="Arial" w:eastAsia="Arial" w:hAnsi="Arial"/>
          <w:color w:val="666666"/>
          <w:sz w:val="20"/>
          <w:szCs w:val="20"/>
        </w:rPr>
        <w:t xml:space="preserve">Cross-Referenced with</w:t>
      </w:r>
    </w:p>
    <w:p>
      <w:pPr>
        <w:spacing w:after="40"/>
        <w:jc w:val="center"/>
      </w:pPr>
      <w:r>
        <w:rPr>
          <w:rFonts w:ascii="Arial" w:cs="Arial" w:eastAsia="Arial" w:hAnsi="Arial"/>
          <w:b/>
          <w:bCs/>
          <w:color w:val="1B3A5C"/>
          <w:sz w:val="22"/>
          <w:szCs w:val="22"/>
        </w:rPr>
        <w:t xml:space="preserve">Algorithmic Agentic AI and Governance:</w:t>
      </w:r>
    </w:p>
    <w:p>
      <w:pPr>
        <w:spacing w:after="200"/>
        <w:jc w:val="center"/>
      </w:pPr>
      <w:r>
        <w:rPr>
          <w:rFonts w:ascii="Arial" w:cs="Arial" w:eastAsia="Arial" w:hAnsi="Arial"/>
          <w:i/>
          <w:iCs/>
          <w:color w:val="1B3A5C"/>
          <w:sz w:val="22"/>
          <w:szCs w:val="22"/>
        </w:rPr>
        <w:t xml:space="preserve">From Hegemonic Fluency to the Ethics of Interruption</w:t>
      </w:r>
    </w:p>
    <w:p>
      <w:pPr>
        <w:spacing w:after="80"/>
      </w:pPr>
    </w:p>
    <w:p>
      <w:pPr>
        <w:spacing w:after="80"/>
      </w:pPr>
    </w:p>
    <w:p>
      <w:pPr>
        <w:spacing w:after="80"/>
      </w:pPr>
    </w:p>
    <w:p>
      <w:pPr>
        <w:spacing w:after="80"/>
      </w:pPr>
    </w:p>
    <w:p>
      <w:pPr>
        <w:jc w:val="center"/>
      </w:pPr>
      <w:r>
        <w:rPr>
          <w:rFonts w:ascii="Arial" w:cs="Arial" w:eastAsia="Arial" w:hAnsi="Arial"/>
          <w:color w:val="666666"/>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before="360" w:after="200"/>
      </w:pPr>
      <w:r>
        <w:rPr>
          <w:rFonts w:ascii="Arial" w:cs="Arial" w:eastAsia="Arial" w:hAnsi="Arial"/>
          <w:b/>
          <w:bCs/>
          <w:color w:val="1B3A5C"/>
          <w:sz w:val="32"/>
          <w:szCs w:val="32"/>
        </w:rPr>
        <w:t xml:space="preserve">Executive Summary</w:t>
      </w:r>
    </w:p>
    <w:p>
      <w:pPr>
        <w:spacing w:after="160" w:line="320"/>
        <w:jc w:val="both"/>
      </w:pPr>
      <w:r>
        <w:rPr>
          <w:rFonts w:ascii="Arial" w:cs="Arial" w:eastAsia="Arial" w:hAnsi="Arial"/>
          <w:color w:val="333333"/>
          <w:sz w:val="22"/>
          <w:szCs w:val="22"/>
        </w:rPr>
        <w:t xml:space="preserve">LinkedIn’s Trust Advantage report (2025) presents findings from an Ipsos survey of 887 B2B buyers across seven global markets. Its central thesis is that in an era where 94% of buyers and 88% of sellers use AI, information has become commoditized and trust has emerged as the decisive competitive differentiator in sales.</w:t>
      </w:r>
    </w:p>
    <w:p>
      <w:pPr>
        <w:spacing w:after="160" w:line="320"/>
        <w:jc w:val="both"/>
      </w:pPr>
      <w:r>
        <w:rPr>
          <w:rFonts w:ascii="Arial" w:cs="Arial" w:eastAsia="Arial" w:hAnsi="Arial"/>
          <w:color w:val="333333"/>
          <w:sz w:val="22"/>
          <w:szCs w:val="22"/>
        </w:rPr>
        <w:t xml:space="preserve">The report identifies three structural shifts reshaping B2B purchasing: the pervasive integration of AI into every stage of the buyer journey, the concentration of human seller impact in the mid-funnel stages, and the elevation of trust and expertise as primary deal-closing factors. Only 45% of buyers view sellers as trustworthy, yet 86% say seller expertise is what drives trust—revealing a significant gap the report frames as both a crisis and an opportunity.</w:t>
      </w:r>
    </w:p>
    <w:p>
      <w:pPr>
        <w:spacing w:after="160" w:line="320"/>
        <w:jc w:val="both"/>
      </w:pPr>
      <w:r>
        <w:rPr>
          <w:rFonts w:ascii="Arial" w:cs="Arial" w:eastAsia="Arial" w:hAnsi="Arial"/>
          <w:color w:val="333333"/>
          <w:sz w:val="22"/>
          <w:szCs w:val="22"/>
        </w:rPr>
        <w:t xml:space="preserve">When read alongside the academic paper Algorithmic Agentic AI and Governance: From Hegemonic Fluency to the Ethics of Interruption, the LinkedIn report’s commercial findings take on deeper structural significance. The academic paper’s concept of “fluency”—the smooth, efficient, neutral surface through which AI systems present authority—maps directly onto the report’s description of templated, impersonal AI-generated outreach. Both documents converge on a shared insight: in AI-saturated environments, what differentiates actors is not access to information but the capacity to interrupt automated processes with authentic human judgment.</w:t>
      </w:r>
    </w:p>
    <w:p>
      <w:pPr>
        <w:pStyle w:val="Heading1"/>
        <w:pBdr>
          <w:bottom w:val="single" w:color="2E75B6" w:sz="6" w:space="4"/>
        </w:pBdr>
        <w:spacing w:before="360" w:after="200"/>
      </w:pPr>
      <w:r>
        <w:rPr>
          <w:rFonts w:ascii="Arial" w:cs="Arial" w:eastAsia="Arial" w:hAnsi="Arial"/>
          <w:b/>
          <w:bCs/>
          <w:color w:val="1B3A5C"/>
          <w:sz w:val="32"/>
          <w:szCs w:val="32"/>
        </w:rPr>
        <w:t xml:space="preserve">Key Findings from the LinkedIn Report</w:t>
      </w:r>
    </w:p>
    <w:p>
      <w:pPr>
        <w:pStyle w:val="Heading2"/>
        <w:spacing w:before="280" w:after="160"/>
      </w:pPr>
      <w:r>
        <w:rPr>
          <w:rFonts w:ascii="Arial" w:cs="Arial" w:eastAsia="Arial" w:hAnsi="Arial"/>
          <w:b/>
          <w:bCs/>
          <w:color w:val="2E75B6"/>
          <w:sz w:val="26"/>
          <w:szCs w:val="26"/>
        </w:rPr>
        <w:t xml:space="preserve">1. The AI Takeover of the Buyer Journey</w:t>
      </w:r>
    </w:p>
    <w:p>
      <w:pPr>
        <w:spacing w:after="160" w:line="320"/>
        <w:jc w:val="both"/>
      </w:pPr>
      <w:r>
        <w:rPr>
          <w:rFonts w:ascii="Arial" w:cs="Arial" w:eastAsia="Arial" w:hAnsi="Arial"/>
          <w:color w:val="333333"/>
          <w:sz w:val="22"/>
          <w:szCs w:val="22"/>
        </w:rPr>
        <w:t xml:space="preserve">The report’s most striking data point is the ubiquity of AI across all five stages of the B2B purchasing process. AI now ranks among the top two information sources buyers consult at every stage—from initial problem identification through negotiation and purchase. Before a buyer even contacts a seller, they have already used AI to compare vendors, fact-check claims, and identify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left w:val="none"/>
              <w:bottom w:val="none"/>
              <w:right w:val="none"/>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94%</w:t>
            </w:r>
          </w:p>
        </w:tc>
        <w:tc>
          <w:tcPr>
            <w:tcW w:type="dxa" w:w="7560"/>
            <w:tcBorders>
              <w:top w:val="none"/>
              <w:left w:val="none"/>
              <w:bottom w:val="none"/>
              <w:right w:val="none"/>
            </w:tcBorders>
            <w:shd w:fill="D5E8F0" w:val="clear"/>
            <w:tcMar>
              <w:top w:type="dxa" w:w="80"/>
              <w:left w:type="dxa" w:w="120"/>
              <w:bottom w:type="dxa" w:w="80"/>
              <w:right w:type="dxa" w:w="120"/>
            </w:tcMar>
            <w:vAlign w:val="center"/>
          </w:tcPr>
          <w:p>
            <w:r>
              <w:rPr>
                <w:rFonts w:ascii="Arial" w:cs="Arial" w:eastAsia="Arial" w:hAnsi="Arial"/>
                <w:color w:val="333333"/>
                <w:sz w:val="20"/>
                <w:szCs w:val="20"/>
              </w:rPr>
              <w:t xml:space="preserve">of buyers use AI in their purchasing process</w:t>
            </w:r>
          </w:p>
        </w:tc>
      </w:tr>
      <w:tr>
        <w:tc>
          <w:tcPr>
            <w:tcW w:type="dxa" w:w="1800"/>
            <w:tcBorders>
              <w:top w:val="none"/>
              <w:left w:val="none"/>
              <w:bottom w:val="none"/>
              <w:right w:val="none"/>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88%</w:t>
            </w:r>
          </w:p>
        </w:tc>
        <w:tc>
          <w:tcPr>
            <w:tcW w:type="dxa" w:w="7560"/>
            <w:tcBorders>
              <w:top w:val="none"/>
              <w:left w:val="none"/>
              <w:bottom w:val="none"/>
              <w:right w:val="none"/>
            </w:tcBorders>
            <w:shd w:fill="D5E8F0" w:val="clear"/>
            <w:tcMar>
              <w:top w:type="dxa" w:w="80"/>
              <w:left w:type="dxa" w:w="120"/>
              <w:bottom w:type="dxa" w:w="80"/>
              <w:right w:type="dxa" w:w="120"/>
            </w:tcMar>
            <w:vAlign w:val="center"/>
          </w:tcPr>
          <w:p>
            <w:r>
              <w:rPr>
                <w:rFonts w:ascii="Arial" w:cs="Arial" w:eastAsia="Arial" w:hAnsi="Arial"/>
                <w:color w:val="333333"/>
                <w:sz w:val="20"/>
                <w:szCs w:val="20"/>
              </w:rPr>
              <w:t xml:space="preserve">of sellers also use AI in their workflows</w:t>
            </w:r>
          </w:p>
        </w:tc>
      </w:tr>
      <w:tr>
        <w:tc>
          <w:tcPr>
            <w:tcW w:type="dxa" w:w="1800"/>
            <w:tcBorders>
              <w:top w:val="none"/>
              <w:left w:val="none"/>
              <w:bottom w:val="none"/>
              <w:right w:val="none"/>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45%</w:t>
            </w:r>
          </w:p>
        </w:tc>
        <w:tc>
          <w:tcPr>
            <w:tcW w:type="dxa" w:w="7560"/>
            <w:tcBorders>
              <w:top w:val="none"/>
              <w:left w:val="none"/>
              <w:bottom w:val="none"/>
              <w:right w:val="none"/>
            </w:tcBorders>
            <w:shd w:fill="D5E8F0" w:val="clear"/>
            <w:tcMar>
              <w:top w:type="dxa" w:w="80"/>
              <w:left w:type="dxa" w:w="120"/>
              <w:bottom w:type="dxa" w:w="80"/>
              <w:right w:type="dxa" w:w="120"/>
            </w:tcMar>
            <w:vAlign w:val="center"/>
          </w:tcPr>
          <w:p>
            <w:r>
              <w:rPr>
                <w:rFonts w:ascii="Arial" w:cs="Arial" w:eastAsia="Arial" w:hAnsi="Arial"/>
                <w:color w:val="333333"/>
                <w:sz w:val="20"/>
                <w:szCs w:val="20"/>
              </w:rPr>
              <w:t xml:space="preserve">of buyers consider the sellers they encounter trustworthy</w:t>
            </w:r>
          </w:p>
        </w:tc>
      </w:tr>
      <w:tr>
        <w:tc>
          <w:tcPr>
            <w:tcW w:type="dxa" w:w="1800"/>
            <w:tcBorders>
              <w:top w:val="none"/>
              <w:left w:val="none"/>
              <w:bottom w:val="none"/>
              <w:right w:val="none"/>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76%</w:t>
            </w:r>
          </w:p>
        </w:tc>
        <w:tc>
          <w:tcPr>
            <w:tcW w:type="dxa" w:w="7560"/>
            <w:tcBorders>
              <w:top w:val="none"/>
              <w:left w:val="none"/>
              <w:bottom w:val="none"/>
              <w:right w:val="none"/>
            </w:tcBorders>
            <w:shd w:fill="D5E8F0" w:val="clear"/>
            <w:tcMar>
              <w:top w:type="dxa" w:w="80"/>
              <w:left w:type="dxa" w:w="120"/>
              <w:bottom w:type="dxa" w:w="80"/>
              <w:right w:type="dxa" w:w="120"/>
            </w:tcMar>
            <w:vAlign w:val="center"/>
          </w:tcPr>
          <w:p>
            <w:r>
              <w:rPr>
                <w:rFonts w:ascii="Arial" w:cs="Arial" w:eastAsia="Arial" w:hAnsi="Arial"/>
                <w:color w:val="333333"/>
                <w:sz w:val="20"/>
                <w:szCs w:val="20"/>
              </w:rPr>
              <w:t xml:space="preserve">of organizations report longer buying cycles (up 3+ weeks)</w:t>
            </w:r>
          </w:p>
        </w:tc>
      </w:tr>
      <w:tr>
        <w:tc>
          <w:tcPr>
            <w:tcW w:type="dxa" w:w="1800"/>
            <w:tcBorders>
              <w:top w:val="none"/>
              <w:left w:val="none"/>
              <w:bottom w:val="none"/>
              <w:right w:val="none"/>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74%</w:t>
            </w:r>
          </w:p>
        </w:tc>
        <w:tc>
          <w:tcPr>
            <w:tcW w:type="dxa" w:w="7560"/>
            <w:tcBorders>
              <w:top w:val="none"/>
              <w:left w:val="none"/>
              <w:bottom w:val="none"/>
              <w:right w:val="none"/>
            </w:tcBorders>
            <w:shd w:fill="D5E8F0" w:val="clear"/>
            <w:tcMar>
              <w:top w:type="dxa" w:w="80"/>
              <w:left w:type="dxa" w:w="120"/>
              <w:bottom w:type="dxa" w:w="80"/>
              <w:right w:type="dxa" w:w="120"/>
            </w:tcMar>
            <w:vAlign w:val="center"/>
          </w:tcPr>
          <w:p>
            <w:r>
              <w:rPr>
                <w:rFonts w:ascii="Arial" w:cs="Arial" w:eastAsia="Arial" w:hAnsi="Arial"/>
                <w:color w:val="333333"/>
                <w:sz w:val="20"/>
                <w:szCs w:val="20"/>
              </w:rPr>
              <w:t xml:space="preserve">of buyers have increased their B2B budgets</w:t>
            </w:r>
          </w:p>
        </w:tc>
      </w:tr>
      <w:tr>
        <w:tc>
          <w:tcPr>
            <w:tcW w:type="dxa" w:w="1800"/>
            <w:tcBorders>
              <w:top w:val="none"/>
              <w:left w:val="none"/>
              <w:bottom w:val="none"/>
              <w:right w:val="none"/>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40%</w:t>
            </w:r>
          </w:p>
        </w:tc>
        <w:tc>
          <w:tcPr>
            <w:tcW w:type="dxa" w:w="7560"/>
            <w:tcBorders>
              <w:top w:val="none"/>
              <w:left w:val="none"/>
              <w:bottom w:val="none"/>
              <w:right w:val="none"/>
            </w:tcBorders>
            <w:shd w:fill="D5E8F0" w:val="clear"/>
            <w:tcMar>
              <w:top w:type="dxa" w:w="80"/>
              <w:left w:type="dxa" w:w="120"/>
              <w:bottom w:type="dxa" w:w="80"/>
              <w:right w:type="dxa" w:w="120"/>
            </w:tcMar>
            <w:vAlign w:val="center"/>
          </w:tcPr>
          <w:p>
            <w:r>
              <w:rPr>
                <w:rFonts w:ascii="Arial" w:cs="Arial" w:eastAsia="Arial" w:hAnsi="Arial"/>
                <w:color w:val="333333"/>
                <w:sz w:val="20"/>
                <w:szCs w:val="20"/>
              </w:rPr>
              <w:t xml:space="preserve">report larger buying committees, with non-users involved 44% of the time</w:t>
            </w:r>
          </w:p>
        </w:tc>
      </w:tr>
    </w:tbl>
    <w:p>
      <w:pPr>
        <w:spacing w:after="80"/>
      </w:pPr>
    </w:p>
    <w:p>
      <w:pPr>
        <w:spacing w:after="160" w:line="320"/>
        <w:jc w:val="both"/>
      </w:pPr>
      <w:r>
        <w:rPr>
          <w:rFonts w:ascii="Arial" w:cs="Arial" w:eastAsia="Arial" w:hAnsi="Arial"/>
          <w:color w:val="333333"/>
          <w:sz w:val="22"/>
          <w:szCs w:val="22"/>
        </w:rPr>
        <w:t xml:space="preserve">The five key ways AI has reshaped buyer behaviour include: analyzing and comparing vendor proposals before engagement, identifying risks and opportunities in real time, researching vendors more efficiently, predicting market trends via AI-driven comparisons, and exploring in-house alternatives to external vendors. Buyers now typically shortlist only 2–3 vendors, and nearly half use AI to challenge claims and surface alternatives before making decisions.</w:t>
      </w:r>
    </w:p>
    <w:p>
      <w:pPr>
        <w:pStyle w:val="Heading2"/>
        <w:spacing w:before="280" w:after="160"/>
      </w:pPr>
      <w:r>
        <w:rPr>
          <w:rFonts w:ascii="Arial" w:cs="Arial" w:eastAsia="Arial" w:hAnsi="Arial"/>
          <w:b/>
          <w:bCs/>
          <w:color w:val="2E75B6"/>
          <w:sz w:val="26"/>
          <w:szCs w:val="26"/>
        </w:rPr>
        <w:t xml:space="preserve">2. The Human Advantage: Mid-Funnel as the Moment of Maximum Impact</w:t>
      </w:r>
    </w:p>
    <w:p>
      <w:pPr>
        <w:spacing w:after="160" w:line="320"/>
        <w:jc w:val="both"/>
      </w:pPr>
      <w:r>
        <w:rPr>
          <w:rFonts w:ascii="Arial" w:cs="Arial" w:eastAsia="Arial" w:hAnsi="Arial"/>
          <w:color w:val="333333"/>
          <w:sz w:val="22"/>
          <w:szCs w:val="22"/>
        </w:rPr>
        <w:t xml:space="preserve">Despite AI’s omnipresence, the report reveals that human expertise remains irreplaceable—but only when deployed at the right moment. 88% of buyers say seller engagement is most valuable during the middle stages of the journey (vendor comparison and pilot/testing), where they weigh trade-offs, seek clarity, and need reassurance that a solution will deliver.</w:t>
      </w:r>
    </w:p>
    <w:p>
      <w:pPr>
        <w:spacing w:after="160" w:line="320"/>
        <w:jc w:val="both"/>
      </w:pPr>
      <w:r>
        <w:rPr>
          <w:rFonts w:ascii="Arial" w:cs="Arial" w:eastAsia="Arial" w:hAnsi="Arial"/>
          <w:color w:val="333333"/>
          <w:sz w:val="22"/>
          <w:szCs w:val="22"/>
        </w:rPr>
        <w:t xml:space="preserve">While 57% of buyers welcome human interaction in early stages and 65% still want it near the end, the mid-funnel is where expertise converts doubt into confidence. The report is emphatic: sellers who are not trained to show up with authority, proof, and perspective at this stage are leaving deals unrealized.</w:t>
      </w:r>
    </w:p>
    <w:p>
      <w:pPr>
        <w:pStyle w:val="Heading2"/>
        <w:spacing w:before="280" w:after="160"/>
      </w:pPr>
      <w:r>
        <w:rPr>
          <w:rFonts w:ascii="Arial" w:cs="Arial" w:eastAsia="Arial" w:hAnsi="Arial"/>
          <w:b/>
          <w:bCs/>
          <w:color w:val="2E75B6"/>
          <w:sz w:val="26"/>
          <w:szCs w:val="26"/>
        </w:rPr>
        <w:t xml:space="preserve">3. The Trust Imperative: What Buyers Are Really Buying</w:t>
      </w:r>
    </w:p>
    <w:p>
      <w:pPr>
        <w:spacing w:after="160" w:line="320"/>
        <w:jc w:val="both"/>
      </w:pPr>
      <w:r>
        <w:rPr>
          <w:rFonts w:ascii="Arial" w:cs="Arial" w:eastAsia="Arial" w:hAnsi="Arial"/>
          <w:color w:val="333333"/>
          <w:sz w:val="22"/>
          <w:szCs w:val="22"/>
        </w:rPr>
        <w:t xml:space="preserve">The report’s most provocative finding concerns what B2B buyers actually prioritize. 34% of buyers ranked feeling confident they could defend their decision if it went wrong as the number-one factor—above confidence that the product itself would perform. In other words, buyers are purchasing career-defensible confidence, not just functionality.</w:t>
      </w:r>
    </w:p>
    <w:p>
      <w:pPr>
        <w:spacing w:after="160" w:line="320"/>
        <w:jc w:val="both"/>
      </w:pPr>
      <w:r>
        <w:rPr>
          <w:rFonts w:ascii="Arial" w:cs="Arial" w:eastAsia="Arial" w:hAnsi="Arial"/>
          <w:color w:val="333333"/>
          <w:sz w:val="22"/>
          <w:szCs w:val="22"/>
        </w:rPr>
        <w:t xml:space="preserve">This has profound implications for how trust is built. Recommendations from trusted peers are 3–4 times more influential than better features or lower prices. The phrase “companies like us recommended them” is reportedly 10 times more career-defensible than “they were cheaper” and 7 times more defensible than “we took a risk on innovation.”</w:t>
      </w:r>
    </w:p>
    <w:p>
      <w:pPr>
        <w:pStyle w:val="Heading2"/>
        <w:spacing w:before="280" w:after="160"/>
      </w:pPr>
      <w:r>
        <w:rPr>
          <w:rFonts w:ascii="Arial" w:cs="Arial" w:eastAsia="Arial" w:hAnsi="Arial"/>
          <w:b/>
          <w:bCs/>
          <w:color w:val="2E75B6"/>
          <w:sz w:val="26"/>
          <w:szCs w:val="26"/>
        </w:rPr>
        <w:t xml:space="preserve">4. Personalization Hierarchy and the Message-Over-Medium Principle</w:t>
      </w:r>
    </w:p>
    <w:p>
      <w:pPr>
        <w:spacing w:after="160" w:line="320"/>
        <w:jc w:val="both"/>
      </w:pPr>
      <w:r>
        <w:rPr>
          <w:rFonts w:ascii="Arial" w:cs="Arial" w:eastAsia="Arial" w:hAnsi="Arial"/>
          <w:color w:val="333333"/>
          <w:sz w:val="22"/>
          <w:szCs w:val="22"/>
        </w:rPr>
        <w:t xml:space="preserve">The report establishes a four-tier personalization hierarchy, ranked by buyer impact from highest to lowest: industry expertise (demonstrating deep sector knowledge), business relevance (tailoring solutions to company needs), proof points (sharing case studies from similar organizations), and personal connection (referencing shared interests). Roughly half of buyers (46–52%) say professional cues build trust, compared to only about a quarter (22–32%) for personal references.</w:t>
      </w:r>
    </w:p>
    <w:p>
      <w:pPr>
        <w:spacing w:after="160" w:line="320"/>
        <w:jc w:val="both"/>
      </w:pPr>
      <w:r>
        <w:rPr>
          <w:rFonts w:ascii="Arial" w:cs="Arial" w:eastAsia="Arial" w:hAnsi="Arial"/>
          <w:color w:val="333333"/>
          <w:sz w:val="22"/>
          <w:szCs w:val="22"/>
        </w:rPr>
        <w:t xml:space="preserve">On communication channels, the report finds that the medium matters less than the message. In-person meetings rank first (58%), followed by video calls (55%), email (52%), phone (47%), and professional network messages (40%)—but the core insight is that a trusted, knowledgeable seller can build credibility through any channel. Preparedness and credibility, not format, determine outcomes.</w:t>
      </w:r>
    </w:p>
    <w:p>
      <w:pPr>
        <w:pStyle w:val="Heading1"/>
        <w:pBdr>
          <w:bottom w:val="single" w:color="2E75B6" w:sz="6" w:space="4"/>
        </w:pBdr>
        <w:spacing w:before="360" w:after="200"/>
      </w:pPr>
      <w:r>
        <w:rPr>
          <w:rFonts w:ascii="Arial" w:cs="Arial" w:eastAsia="Arial" w:hAnsi="Arial"/>
          <w:b/>
          <w:bCs/>
          <w:color w:val="1B3A5C"/>
          <w:sz w:val="32"/>
          <w:szCs w:val="32"/>
        </w:rPr>
        <w:t xml:space="preserve">Cross-Referencing: The Academic Governance Lens</w:t>
      </w:r>
    </w:p>
    <w:p>
      <w:pPr>
        <w:spacing w:after="160" w:line="320"/>
        <w:jc w:val="both"/>
      </w:pPr>
      <w:r>
        <w:rPr>
          <w:rFonts w:ascii="Arial" w:cs="Arial" w:eastAsia="Arial" w:hAnsi="Arial"/>
          <w:color w:val="333333"/>
          <w:sz w:val="22"/>
          <w:szCs w:val="22"/>
        </w:rPr>
        <w:t xml:space="preserve">The academic paper on Algorithmic Agentic AI and Governance offers a theoretical framework that deepens and, in places, complicates the LinkedIn report’s commercial narrative. Several points of convergence and tension emerge when reading these documents together.</w:t>
      </w:r>
    </w:p>
    <w:p>
      <w:pPr>
        <w:pStyle w:val="Heading2"/>
        <w:spacing w:before="280" w:after="160"/>
      </w:pPr>
      <w:r>
        <w:rPr>
          <w:rFonts w:ascii="Arial" w:cs="Arial" w:eastAsia="Arial" w:hAnsi="Arial"/>
          <w:b/>
          <w:bCs/>
          <w:color w:val="2E75B6"/>
          <w:sz w:val="26"/>
          <w:szCs w:val="26"/>
        </w:rPr>
        <w:t xml:space="preserve">Convergence: The Problem of “Fluency”</w:t>
      </w:r>
    </w:p>
    <w:p>
      <w:pPr>
        <w:spacing w:after="160" w:line="320"/>
        <w:jc w:val="both"/>
      </w:pPr>
      <w:r>
        <w:rPr>
          <w:rFonts w:ascii="Arial" w:cs="Arial" w:eastAsia="Arial" w:hAnsi="Arial"/>
          <w:color w:val="333333"/>
          <w:sz w:val="22"/>
          <w:szCs w:val="22"/>
        </w:rPr>
        <w:t xml:space="preserve">The academic paper’s central concept—“fluency” as the smooth, neutral surface through which AI systems present themselves as efficient and reliable—maps precisely onto the LinkedIn report’s description of the trust crisis. The report notes that AI-powered outreach has made everything “sound the same,” flooding buyers with templated, impersonal communication. The academic paper would frame this as a predictable consequence of algorithmic fluency: when systems optimize for throughput and normalization, they strip away the hesitation, contextuality, and human texture that signal genuine understanding.</w:t>
      </w:r>
    </w:p>
    <w:p>
      <w:pPr>
        <w:spacing w:after="160" w:line="320"/>
        <w:jc w:val="both"/>
      </w:pPr>
      <w:r>
        <w:rPr>
          <w:rFonts w:ascii="Arial" w:cs="Arial" w:eastAsia="Arial" w:hAnsi="Arial"/>
          <w:color w:val="333333"/>
          <w:sz w:val="22"/>
          <w:szCs w:val="22"/>
        </w:rPr>
        <w:t xml:space="preserve">Both documents agree that this surface efficiency creates a paradox. The more polished and standardized outreach becomes, the less trustworthy it feels. The LinkedIn report captures this commercially (only 45% of buyers trust sellers); the academic paper captures it structurally (fluency conceals the conditions under which authority is produced).</w:t>
      </w:r>
    </w:p>
    <w:p>
      <w:pPr>
        <w:pStyle w:val="Heading2"/>
        <w:spacing w:before="280" w:after="160"/>
      </w:pPr>
      <w:r>
        <w:rPr>
          <w:rFonts w:ascii="Arial" w:cs="Arial" w:eastAsia="Arial" w:hAnsi="Arial"/>
          <w:b/>
          <w:bCs/>
          <w:color w:val="2E75B6"/>
          <w:sz w:val="26"/>
          <w:szCs w:val="26"/>
        </w:rPr>
        <w:t xml:space="preserve">Convergence: The Value of Interruption</w:t>
      </w:r>
    </w:p>
    <w:p>
      <w:pPr>
        <w:spacing w:after="160" w:line="320"/>
        <w:jc w:val="both"/>
      </w:pPr>
      <w:r>
        <w:rPr>
          <w:rFonts w:ascii="Arial" w:cs="Arial" w:eastAsia="Arial" w:hAnsi="Arial"/>
          <w:color w:val="333333"/>
          <w:sz w:val="22"/>
          <w:szCs w:val="22"/>
        </w:rPr>
        <w:t xml:space="preserve">The academic paper’s concept of “interruption”—delay, explanation, hesitation, visible uncertainty—as a counterweight to automated fluency resonates strongly with the LinkedIn report’s findings on human expertise. The report’s emphasis on mid-funnel moments where sellers must “look a buyer in the eye” and offer experiential judgment represents exactly what the academic paper calls interruption: the insertion of situated human knowledge into algorithmic flows.</w:t>
      </w:r>
    </w:p>
    <w:p>
      <w:pPr>
        <w:spacing w:after="160" w:line="320"/>
        <w:jc w:val="both"/>
      </w:pPr>
      <w:r>
        <w:rPr>
          <w:rFonts w:ascii="Arial" w:cs="Arial" w:eastAsia="Arial" w:hAnsi="Arial"/>
          <w:color w:val="333333"/>
          <w:sz w:val="22"/>
          <w:szCs w:val="22"/>
        </w:rPr>
        <w:t xml:space="preserve">The 88% of buyers who value seller engagement most during vendor comparison and testing stages are, in governance terms, seeking someone who can interrupt the smooth, AI-generated information landscape with authentic, contextual, career-defensible insight.</w:t>
      </w:r>
    </w:p>
    <w:p>
      <w:pPr>
        <w:pStyle w:val="Heading2"/>
        <w:spacing w:before="280" w:after="160"/>
      </w:pPr>
      <w:r>
        <w:rPr>
          <w:rFonts w:ascii="Arial" w:cs="Arial" w:eastAsia="Arial" w:hAnsi="Arial"/>
          <w:b/>
          <w:bCs/>
          <w:color w:val="2E75B6"/>
          <w:sz w:val="26"/>
          <w:szCs w:val="26"/>
        </w:rPr>
        <w:t xml:space="preserve">Tension: Structural Critique vs. Commercial Opportunity</w:t>
      </w:r>
    </w:p>
    <w:p>
      <w:pPr>
        <w:spacing w:after="160" w:line="320"/>
        <w:jc w:val="both"/>
      </w:pPr>
      <w:r>
        <w:rPr>
          <w:rFonts w:ascii="Arial" w:cs="Arial" w:eastAsia="Arial" w:hAnsi="Arial"/>
          <w:color w:val="333333"/>
          <w:sz w:val="22"/>
          <w:szCs w:val="22"/>
        </w:rPr>
        <w:t xml:space="preserve">The most significant divergence between the two documents lies in orientation. The LinkedIn report frames the trust gap as a sales opportunity—sellers who adapt will win, those who don’t will be left behind. The academic paper, by contrast, treats the same dynamics as a governance problem requiring structural reform: better appeal mechanisms, transparency in classification, and the preservation of pathways for human challenge.</w:t>
      </w:r>
    </w:p>
    <w:p>
      <w:pPr>
        <w:spacing w:after="160" w:line="320"/>
        <w:jc w:val="both"/>
      </w:pPr>
      <w:r>
        <w:rPr>
          <w:rFonts w:ascii="Arial" w:cs="Arial" w:eastAsia="Arial" w:hAnsi="Arial"/>
          <w:color w:val="333333"/>
          <w:sz w:val="22"/>
          <w:szCs w:val="22"/>
        </w:rPr>
        <w:t xml:space="preserve">Where the LinkedIn report asks “how can sellers build trust to close deals?” the academic paper asks “what institutional conditions are necessary for trust to be legitimate rather than performed?” This is not a contradiction so much as a difference in stakes: one addresses commercial competitive advantage, the other addresses the democratic and ethical infrastructure that makes such advantage meaningful.</w:t>
      </w:r>
    </w:p>
    <w:p>
      <w:pPr>
        <w:pStyle w:val="Heading2"/>
        <w:spacing w:before="280" w:after="160"/>
      </w:pPr>
      <w:r>
        <w:rPr>
          <w:rFonts w:ascii="Arial" w:cs="Arial" w:eastAsia="Arial" w:hAnsi="Arial"/>
          <w:b/>
          <w:bCs/>
          <w:color w:val="2E75B6"/>
          <w:sz w:val="26"/>
          <w:szCs w:val="26"/>
        </w:rPr>
        <w:t xml:space="preserve">Tension: Who Benefits from “Trust”?</w:t>
      </w:r>
    </w:p>
    <w:p>
      <w:pPr>
        <w:spacing w:after="160" w:line="320"/>
        <w:jc w:val="both"/>
      </w:pPr>
      <w:r>
        <w:rPr>
          <w:rFonts w:ascii="Arial" w:cs="Arial" w:eastAsia="Arial" w:hAnsi="Arial"/>
          <w:color w:val="333333"/>
          <w:sz w:val="22"/>
          <w:szCs w:val="22"/>
        </w:rPr>
        <w:t xml:space="preserve">The academic paper’s analysis of hidden labour—the annotators, moderators, and data labellers whose work sustains AI fluency—raises uncomfortable questions about the LinkedIn report’s framework. When the report celebrates sellers who use AI to “personalize with the right message at the right time,” the academic lens asks: whose labour made that personalization possible, and under what conditions? The report’s trust framework centers the buyer-seller relationship but does not interrogate the broader supply chain of AI-mediated work that enables it.</w:t>
      </w:r>
    </w:p>
    <w:p>
      <w:pPr>
        <w:pStyle w:val="Heading1"/>
        <w:pBdr>
          <w:bottom w:val="single" w:color="2E75B6" w:sz="6" w:space="4"/>
        </w:pBdr>
        <w:spacing w:before="360" w:after="200"/>
      </w:pPr>
      <w:r>
        <w:rPr>
          <w:rFonts w:ascii="Arial" w:cs="Arial" w:eastAsia="Arial" w:hAnsi="Arial"/>
          <w:b/>
          <w:bCs/>
          <w:color w:val="1B3A5C"/>
          <w:sz w:val="32"/>
          <w:szCs w:val="32"/>
        </w:rPr>
        <w:t xml:space="preserve">The New Sales Playbook: Four Strategic Pillars</w:t>
      </w:r>
    </w:p>
    <w:p>
      <w:pPr>
        <w:spacing w:after="160" w:line="320"/>
        <w:jc w:val="both"/>
      </w:pPr>
      <w:r>
        <w:rPr>
          <w:rFonts w:ascii="Arial" w:cs="Arial" w:eastAsia="Arial" w:hAnsi="Arial"/>
          <w:color w:val="333333"/>
          <w:sz w:val="22"/>
          <w:szCs w:val="22"/>
        </w:rPr>
        <w:t xml:space="preserve">The LinkedIn report concludes with four strategic imperatives for sales leaders seeking to evolve from vendor to strategic advisor:</w:t>
      </w:r>
    </w:p>
    <w:p>
      <w:pPr>
        <w:spacing w:before="200" w:after="120"/>
      </w:pPr>
      <w:r>
        <w:rPr>
          <w:rFonts w:ascii="Arial" w:cs="Arial" w:eastAsia="Arial" w:hAnsi="Arial"/>
          <w:b/>
          <w:bCs/>
          <w:color w:val="333333"/>
          <w:sz w:val="22"/>
          <w:szCs w:val="22"/>
        </w:rPr>
        <w:t xml:space="preserve">Pillar 1: Lead with Insights</w:t>
      </w:r>
    </w:p>
    <w:p>
      <w:pPr>
        <w:spacing w:after="160" w:line="320"/>
        <w:jc w:val="both"/>
      </w:pPr>
      <w:r>
        <w:rPr>
          <w:rFonts w:ascii="Arial" w:cs="Arial" w:eastAsia="Arial" w:hAnsi="Arial"/>
          <w:color w:val="333333"/>
          <w:sz w:val="22"/>
          <w:szCs w:val="22"/>
        </w:rPr>
        <w:t xml:space="preserve">Build trust by deeply understanding the buying committee—its individuals, priorities, and preferred modes of learning. Prioritize pipeline intelligently and tailor outreach to how each customer wants to engage.</w:t>
      </w:r>
    </w:p>
    <w:p>
      <w:pPr>
        <w:spacing w:before="200" w:after="120"/>
      </w:pPr>
      <w:r>
        <w:rPr>
          <w:rFonts w:ascii="Arial" w:cs="Arial" w:eastAsia="Arial" w:hAnsi="Arial"/>
          <w:b/>
          <w:bCs/>
          <w:color w:val="333333"/>
          <w:sz w:val="22"/>
          <w:szCs w:val="22"/>
        </w:rPr>
        <w:t xml:space="preserve">Pillar 2: Focus on the Right Moments</w:t>
      </w:r>
    </w:p>
    <w:p>
      <w:pPr>
        <w:spacing w:after="160" w:line="320"/>
        <w:jc w:val="both"/>
      </w:pPr>
      <w:r>
        <w:rPr>
          <w:rFonts w:ascii="Arial" w:cs="Arial" w:eastAsia="Arial" w:hAnsi="Arial"/>
          <w:color w:val="333333"/>
          <w:sz w:val="22"/>
          <w:szCs w:val="22"/>
        </w:rPr>
        <w:t xml:space="preserve">Concentrate resources on mid-funnel engagement where expertise has maximum impact. Cement relationship fundamentals throughout the journey, but recognize that vendor comparison and pilot/testing stages are where deals are won or lost.</w:t>
      </w:r>
    </w:p>
    <w:p>
      <w:pPr>
        <w:spacing w:before="200" w:after="120"/>
      </w:pPr>
      <w:r>
        <w:rPr>
          <w:rFonts w:ascii="Arial" w:cs="Arial" w:eastAsia="Arial" w:hAnsi="Arial"/>
          <w:b/>
          <w:bCs/>
          <w:color w:val="333333"/>
          <w:sz w:val="22"/>
          <w:szCs w:val="22"/>
        </w:rPr>
        <w:t xml:space="preserve">Pillar 3: Build Trust Through Expertise</w:t>
      </w:r>
    </w:p>
    <w:p>
      <w:pPr>
        <w:spacing w:after="160" w:line="320"/>
        <w:jc w:val="both"/>
      </w:pPr>
      <w:r>
        <w:rPr>
          <w:rFonts w:ascii="Arial" w:cs="Arial" w:eastAsia="Arial" w:hAnsi="Arial"/>
          <w:color w:val="333333"/>
          <w:sz w:val="22"/>
          <w:szCs w:val="22"/>
        </w:rPr>
        <w:t xml:space="preserve">Move beyond business advisory to demonstrate technical credibility. The modern seller must be an expert on the buyer’s business, a strategic adviser, and technically literate. Continuously learn through AI to serve as both a strategic and technical resource.</w:t>
      </w:r>
    </w:p>
    <w:p>
      <w:pPr>
        <w:spacing w:before="200" w:after="120"/>
      </w:pPr>
      <w:r>
        <w:rPr>
          <w:rFonts w:ascii="Arial" w:cs="Arial" w:eastAsia="Arial" w:hAnsi="Arial"/>
          <w:b/>
          <w:bCs/>
          <w:color w:val="333333"/>
          <w:sz w:val="22"/>
          <w:szCs w:val="22"/>
        </w:rPr>
        <w:t xml:space="preserve">Pillar 4: Become AI-Proof at Every Stage</w:t>
      </w:r>
    </w:p>
    <w:p>
      <w:pPr>
        <w:spacing w:after="160" w:line="320"/>
        <w:jc w:val="both"/>
      </w:pPr>
      <w:r>
        <w:rPr>
          <w:rFonts w:ascii="Arial" w:cs="Arial" w:eastAsia="Arial" w:hAnsi="Arial"/>
          <w:color w:val="333333"/>
          <w:sz w:val="22"/>
          <w:szCs w:val="22"/>
        </w:rPr>
        <w:t xml:space="preserve">Structure all content for AI analysis and parsing. Since buyers use AI to evaluate vendors at every stage, sellers must ensure their proposals, claims, and content are positioned favourably when algorithms assess them.</w:t>
      </w:r>
    </w:p>
    <w:p>
      <w:pPr>
        <w:pStyle w:val="Heading1"/>
        <w:pBdr>
          <w:bottom w:val="single" w:color="2E75B6" w:sz="6" w:space="4"/>
        </w:pBdr>
        <w:spacing w:before="360" w:after="200"/>
      </w:pPr>
      <w:r>
        <w:rPr>
          <w:rFonts w:ascii="Arial" w:cs="Arial" w:eastAsia="Arial" w:hAnsi="Arial"/>
          <w:b/>
          <w:bCs/>
          <w:color w:val="1B3A5C"/>
          <w:sz w:val="32"/>
          <w:szCs w:val="32"/>
        </w:rPr>
        <w:t xml:space="preserve">Methodology Note</w:t>
      </w:r>
    </w:p>
    <w:p>
      <w:pPr>
        <w:spacing w:after="160" w:line="320"/>
        <w:jc w:val="both"/>
      </w:pPr>
      <w:r>
        <w:rPr>
          <w:rFonts w:ascii="Arial" w:cs="Arial" w:eastAsia="Arial" w:hAnsi="Arial"/>
          <w:color w:val="333333"/>
          <w:sz w:val="22"/>
          <w:szCs w:val="22"/>
        </w:rPr>
        <w:t xml:space="preserve">The LinkedIn report’s findings are based on a quantitative survey conducted by Ipsos of 887 B2B buyers across seven countries: the United States (n=137), the United Kingdom (n=125), France (n=125), Germany (n=125), Australia (n=125), India (n=125), and Singapore (n=125). The survey was a 20-minute, device-agnostic online instrument targeting final decision-makers or primary influencers in company purchasing.</w:t>
      </w:r>
    </w:p>
    <w:p>
      <w:pPr>
        <w:spacing w:after="160" w:line="320"/>
        <w:jc w:val="both"/>
      </w:pPr>
      <w:r>
        <w:rPr>
          <w:rFonts w:ascii="Arial" w:cs="Arial" w:eastAsia="Arial" w:hAnsi="Arial"/>
          <w:color w:val="333333"/>
          <w:sz w:val="22"/>
          <w:szCs w:val="22"/>
        </w:rPr>
        <w:t xml:space="preserve">Respondents spanned multiple industries (tech, finance, professional services, manufacturing, and other), roles (executives and non-executives), and organization sizes (small business, mid-market, and enterprise). The report acknowledges that findings may not be representative of all buyers.</w:t>
      </w:r>
    </w:p>
    <w:p>
      <w:pPr>
        <w:spacing w:after="160" w:line="320"/>
        <w:jc w:val="both"/>
      </w:pPr>
      <w:r>
        <w:rPr>
          <w:rFonts w:ascii="Arial" w:cs="Arial" w:eastAsia="Arial" w:hAnsi="Arial"/>
          <w:color w:val="333333"/>
          <w:sz w:val="22"/>
          <w:szCs w:val="22"/>
        </w:rPr>
        <w:t xml:space="preserve">The academic paper uses interpretive synthesis of cited sources, a governed writing protocol with recursive revision, and cultural narrative interfaces. It anchors its empirical claims primarily in OECD 2025 data on algorithmic management and teaching materials on algorithmic bias and surveillance.</w:t>
      </w:r>
    </w:p>
    <w:p>
      <w:pPr>
        <w:pStyle w:val="Heading1"/>
        <w:pBdr>
          <w:bottom w:val="single" w:color="2E75B6" w:sz="6" w:space="4"/>
        </w:pBdr>
        <w:spacing w:before="360" w:after="200"/>
      </w:pPr>
      <w:r>
        <w:rPr>
          <w:rFonts w:ascii="Arial" w:cs="Arial" w:eastAsia="Arial" w:hAnsi="Arial"/>
          <w:b/>
          <w:bCs/>
          <w:color w:val="1B3A5C"/>
          <w:sz w:val="32"/>
          <w:szCs w:val="32"/>
        </w:rPr>
        <w:t xml:space="preserve">Conclusion</w:t>
      </w:r>
    </w:p>
    <w:p>
      <w:pPr>
        <w:spacing w:after="160" w:line="320"/>
        <w:jc w:val="both"/>
      </w:pPr>
      <w:r>
        <w:rPr>
          <w:rFonts w:ascii="Arial" w:cs="Arial" w:eastAsia="Arial" w:hAnsi="Arial"/>
          <w:color w:val="333333"/>
          <w:sz w:val="22"/>
          <w:szCs w:val="22"/>
        </w:rPr>
        <w:t xml:space="preserve">The LinkedIn Trust Advantage report provides compelling commercial evidence for a structural shift in B2B sales: as AI democratizes information access, trust and expertise become the primary drivers of deal-making. The report’s data on buyer behaviour, mid-funnel human impact, and the hierarchy of personalization offers actionable guidance for sales organizations.</w:t>
      </w:r>
    </w:p>
    <w:p>
      <w:pPr>
        <w:spacing w:after="160" w:line="320"/>
        <w:jc w:val="both"/>
      </w:pPr>
      <w:r>
        <w:rPr>
          <w:rFonts w:ascii="Arial" w:cs="Arial" w:eastAsia="Arial" w:hAnsi="Arial"/>
          <w:color w:val="333333"/>
          <w:sz w:val="22"/>
          <w:szCs w:val="22"/>
        </w:rPr>
        <w:t xml:space="preserve">Read through the academic governance lens, these findings gain additional depth. The trust crisis described in the report is not merely a sales challenge—it is a symptom of what the academic paper calls the politics of fluency, in which AI systems organize credibility, visibility, and audibility in ways that can suppress authentic human engagement. The sellers who succeed, on both readings, are those who can interrupt this automated surface with genuine expertise, contextual judgment, and relational accountability.</w:t>
      </w:r>
    </w:p>
    <w:p>
      <w:pPr>
        <w:spacing w:after="160" w:line="320"/>
        <w:jc w:val="both"/>
      </w:pPr>
      <w:r>
        <w:rPr>
          <w:rFonts w:ascii="Arial" w:cs="Arial" w:eastAsia="Arial" w:hAnsi="Arial"/>
          <w:color w:val="333333"/>
          <w:sz w:val="22"/>
          <w:szCs w:val="22"/>
        </w:rPr>
        <w:t xml:space="preserve">The convergence of these two very different documents—one commercial, one academic—around the same core insight suggests that the trust problem in AI-saturated environments is fundamental, not incidental. Addressing it requires not only better sales tactics but also deeper reflection on the institutional conditions under which trust can be earned, verified, and sustained.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666666"/>
        <w:sz w:val="16"/>
        <w:szCs w:val="16"/>
      </w:rPr>
      <w:t xml:space="preserve">The Trust Advantage – Analysis &amp;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2026-03-09T12:03:17.240Z</dcterms:created>
  <dcterms:modified xsi:type="dcterms:W3CDTF">2026-03-09T12:03:17.242Z</dcterms:modified>
</cp:coreProperties>
</file>

<file path=docProps/custom.xml><?xml version="1.0" encoding="utf-8"?>
<Properties xmlns="http://schemas.openxmlformats.org/officeDocument/2006/custom-properties" xmlns:vt="http://schemas.openxmlformats.org/officeDocument/2006/docPropsVTypes"/>
</file>