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CEE1C1" w14:textId="77777777" w:rsidR="00790287" w:rsidRDefault="00047189">
      <w:r>
        <w:t>Artículos para administración</w:t>
      </w:r>
    </w:p>
    <w:p w14:paraId="29B7A81E" w14:textId="77777777" w:rsidR="00047189" w:rsidRDefault="00047189">
      <w:r>
        <w:t>1</w:t>
      </w:r>
    </w:p>
    <w:p w14:paraId="05B95C2C" w14:textId="77777777" w:rsidR="00047189" w:rsidRDefault="00047189" w:rsidP="00047189">
      <w:pPr>
        <w:widowControl w:val="0"/>
        <w:autoSpaceDE w:val="0"/>
        <w:autoSpaceDN w:val="0"/>
        <w:adjustRightInd w:val="0"/>
        <w:rPr>
          <w:rFonts w:ascii="Georgia" w:hAnsi="Georgia" w:cs="Georgia"/>
          <w:color w:val="434343"/>
          <w:sz w:val="30"/>
          <w:szCs w:val="30"/>
          <w:lang w:val="es-ES"/>
        </w:rPr>
      </w:pPr>
      <w:r>
        <w:rPr>
          <w:rFonts w:ascii="Georgia" w:hAnsi="Georgia" w:cs="Georgia"/>
          <w:color w:val="434343"/>
          <w:sz w:val="30"/>
          <w:szCs w:val="30"/>
          <w:lang w:val="es-ES"/>
        </w:rPr>
        <w:t xml:space="preserve">El sector autopartes redujo sus exportaciones en el primer semestre un 20,6% interanual, mientras que las importaciones cayeron en menor medida, un 6,9%. El déficit comercial total del sector bajó 7,1% en el semestre, a US$ 3754 millones, según precisó un informe de </w:t>
      </w:r>
      <w:proofErr w:type="spellStart"/>
      <w:r>
        <w:rPr>
          <w:rFonts w:ascii="Georgia" w:hAnsi="Georgia" w:cs="Georgia"/>
          <w:color w:val="434343"/>
          <w:sz w:val="30"/>
          <w:szCs w:val="30"/>
          <w:lang w:val="es-ES"/>
        </w:rPr>
        <w:t>Ies</w:t>
      </w:r>
      <w:proofErr w:type="spellEnd"/>
      <w:r>
        <w:rPr>
          <w:rFonts w:ascii="Georgia" w:hAnsi="Georgia" w:cs="Georgia"/>
          <w:color w:val="434343"/>
          <w:sz w:val="30"/>
          <w:szCs w:val="30"/>
          <w:lang w:val="es-ES"/>
        </w:rPr>
        <w:t xml:space="preserve"> Consultores.</w:t>
      </w:r>
    </w:p>
    <w:p w14:paraId="3311AC39" w14:textId="77777777" w:rsidR="00047189" w:rsidRDefault="00047189" w:rsidP="00047189">
      <w:pPr>
        <w:widowControl w:val="0"/>
        <w:autoSpaceDE w:val="0"/>
        <w:autoSpaceDN w:val="0"/>
        <w:adjustRightInd w:val="0"/>
        <w:rPr>
          <w:rFonts w:ascii="Georgia" w:hAnsi="Georgia" w:cs="Georgia"/>
          <w:color w:val="434343"/>
          <w:sz w:val="30"/>
          <w:szCs w:val="30"/>
          <w:lang w:val="es-ES"/>
        </w:rPr>
      </w:pPr>
      <w:r>
        <w:rPr>
          <w:rFonts w:ascii="Georgia" w:hAnsi="Georgia" w:cs="Georgia"/>
          <w:color w:val="434343"/>
          <w:sz w:val="30"/>
          <w:szCs w:val="30"/>
          <w:lang w:val="es-ES"/>
        </w:rPr>
        <w:t>Las ventas al exterior en dólares de autopartes alcanzaron en el período los US$ 704 millones, por lo que "mantienen la tendencia negativa que acarrean desde el año 2012", indicó el trabajo.</w:t>
      </w:r>
    </w:p>
    <w:p w14:paraId="4808CEF0" w14:textId="77777777" w:rsidR="00047189" w:rsidRDefault="00047189" w:rsidP="00047189">
      <w:pPr>
        <w:widowControl w:val="0"/>
        <w:autoSpaceDE w:val="0"/>
        <w:autoSpaceDN w:val="0"/>
        <w:adjustRightInd w:val="0"/>
        <w:rPr>
          <w:rFonts w:ascii="Georgia" w:hAnsi="Georgia" w:cs="Georgia"/>
          <w:color w:val="434343"/>
          <w:sz w:val="30"/>
          <w:szCs w:val="30"/>
          <w:lang w:val="es-ES"/>
        </w:rPr>
      </w:pPr>
      <w:r>
        <w:rPr>
          <w:rFonts w:ascii="Georgia" w:hAnsi="Georgia" w:cs="Georgia"/>
          <w:color w:val="434343"/>
          <w:sz w:val="30"/>
          <w:szCs w:val="30"/>
          <w:lang w:val="es-ES"/>
        </w:rPr>
        <w:t>Sin embargo, las compras afuera se redujeron en menor medida, alcanzaron los US$ 4458 millones, por "el incremento en la importación de vehículos terminados desde el extranjero más que por la sustitución de proveedores", lo que es producto de "la eliminación de las restricciones al comercio exterior", señaló el informe.</w:t>
      </w:r>
    </w:p>
    <w:p w14:paraId="14F7AAED" w14:textId="77777777" w:rsidR="00047189" w:rsidRDefault="00047189" w:rsidP="00047189">
      <w:pPr>
        <w:widowControl w:val="0"/>
        <w:autoSpaceDE w:val="0"/>
        <w:autoSpaceDN w:val="0"/>
        <w:adjustRightInd w:val="0"/>
        <w:rPr>
          <w:rFonts w:ascii="Georgia" w:hAnsi="Georgia" w:cs="Georgia"/>
          <w:color w:val="434343"/>
          <w:sz w:val="30"/>
          <w:szCs w:val="30"/>
          <w:lang w:val="es-ES"/>
        </w:rPr>
      </w:pPr>
      <w:r>
        <w:rPr>
          <w:rFonts w:ascii="Georgia" w:hAnsi="Georgia" w:cs="Georgia"/>
          <w:color w:val="434343"/>
          <w:sz w:val="30"/>
          <w:szCs w:val="30"/>
          <w:lang w:val="es-ES"/>
        </w:rPr>
        <w:t>"El incremento de automóviles importados compite directamente con aquellos fabricados en el país y reduce la demanda de piezas para la elaboración de automotores de origen nacional", sintetizó.</w:t>
      </w:r>
    </w:p>
    <w:p w14:paraId="7C65027D" w14:textId="77777777" w:rsidR="00047189" w:rsidRDefault="00047189" w:rsidP="00047189">
      <w:pPr>
        <w:widowControl w:val="0"/>
        <w:autoSpaceDE w:val="0"/>
        <w:autoSpaceDN w:val="0"/>
        <w:adjustRightInd w:val="0"/>
        <w:rPr>
          <w:rFonts w:ascii="Georgia" w:hAnsi="Georgia" w:cs="Georgia"/>
          <w:color w:val="434343"/>
          <w:sz w:val="30"/>
          <w:szCs w:val="30"/>
          <w:lang w:val="es-ES"/>
        </w:rPr>
      </w:pPr>
      <w:r>
        <w:rPr>
          <w:rFonts w:ascii="Georgia" w:hAnsi="Georgia" w:cs="Georgia"/>
          <w:color w:val="434343"/>
          <w:sz w:val="30"/>
          <w:szCs w:val="30"/>
          <w:lang w:val="es-ES"/>
        </w:rPr>
        <w:t>Respecto al saldo comercial deficitario con Brasil, tuvo una caída del 24,9% interanual en período enero-junio, con un monto de US$ 807 millones.</w:t>
      </w:r>
    </w:p>
    <w:p w14:paraId="4A1D5EAF" w14:textId="77777777" w:rsidR="00047189" w:rsidRDefault="00047189" w:rsidP="00047189">
      <w:pPr>
        <w:widowControl w:val="0"/>
        <w:autoSpaceDE w:val="0"/>
        <w:autoSpaceDN w:val="0"/>
        <w:adjustRightInd w:val="0"/>
        <w:rPr>
          <w:rFonts w:ascii="Georgia" w:hAnsi="Georgia" w:cs="Georgia"/>
          <w:color w:val="434343"/>
          <w:sz w:val="30"/>
          <w:szCs w:val="30"/>
          <w:lang w:val="es-ES"/>
        </w:rPr>
      </w:pPr>
      <w:r>
        <w:rPr>
          <w:rFonts w:ascii="Georgia" w:hAnsi="Georgia" w:cs="Georgia"/>
          <w:color w:val="434343"/>
          <w:sz w:val="30"/>
          <w:szCs w:val="30"/>
          <w:lang w:val="es-ES"/>
        </w:rPr>
        <w:t>Alejandro Ovando, director de IES Consultores afirmó que "la continuidad de la crisis en Brasil afecta de sobremanera al sector e impide que se produzca un cambio de tendencia en un momento en el que la apertura de las importaciones dificulta aún más las cosas al incrementarse la exposición al mercado internacional”.</w:t>
      </w:r>
    </w:p>
    <w:p w14:paraId="63C6415B" w14:textId="77777777" w:rsidR="00047189" w:rsidRDefault="00047189" w:rsidP="00047189">
      <w:pPr>
        <w:rPr>
          <w:rFonts w:ascii="Georgia" w:hAnsi="Georgia" w:cs="Georgia"/>
          <w:color w:val="434343"/>
          <w:sz w:val="30"/>
          <w:szCs w:val="30"/>
          <w:lang w:val="es-ES"/>
        </w:rPr>
      </w:pPr>
      <w:r>
        <w:rPr>
          <w:rFonts w:ascii="Georgia" w:hAnsi="Georgia" w:cs="Georgia"/>
          <w:color w:val="434343"/>
          <w:sz w:val="30"/>
          <w:szCs w:val="30"/>
          <w:lang w:val="es-ES"/>
        </w:rPr>
        <w:t xml:space="preserve">Respecto de las importaciones las categorías más destacadas y que representaron el 51,4% del total fueron: sistemas de transmisión y sus elementos; accesorios internos y externos; y </w:t>
      </w:r>
      <w:bookmarkStart w:id="0" w:name="_GoBack"/>
      <w:r>
        <w:rPr>
          <w:rFonts w:ascii="Georgia" w:hAnsi="Georgia" w:cs="Georgia"/>
          <w:color w:val="434343"/>
          <w:sz w:val="30"/>
          <w:szCs w:val="30"/>
          <w:lang w:val="es-ES"/>
        </w:rPr>
        <w:t>motores y sus componentes.</w:t>
      </w:r>
    </w:p>
    <w:bookmarkEnd w:id="0"/>
    <w:p w14:paraId="47C61B79" w14:textId="77777777" w:rsidR="00047189" w:rsidRDefault="00047189" w:rsidP="00047189">
      <w:pPr>
        <w:rPr>
          <w:rFonts w:ascii="Georgia" w:hAnsi="Georgia" w:cs="Georgia"/>
          <w:color w:val="434343"/>
          <w:sz w:val="30"/>
          <w:szCs w:val="30"/>
          <w:lang w:val="es-ES"/>
        </w:rPr>
      </w:pPr>
    </w:p>
    <w:p w14:paraId="1618BB83" w14:textId="77777777" w:rsidR="00047189" w:rsidRDefault="00047189" w:rsidP="00047189">
      <w:pPr>
        <w:rPr>
          <w:rFonts w:ascii="Georgia" w:hAnsi="Georgia" w:cs="Georgia"/>
          <w:color w:val="434343"/>
          <w:sz w:val="30"/>
          <w:szCs w:val="30"/>
          <w:lang w:val="es-ES"/>
        </w:rPr>
      </w:pPr>
      <w:r>
        <w:rPr>
          <w:rFonts w:ascii="Georgia" w:hAnsi="Georgia" w:cs="Georgia"/>
          <w:color w:val="434343"/>
          <w:sz w:val="30"/>
          <w:szCs w:val="30"/>
          <w:lang w:val="es-ES"/>
        </w:rPr>
        <w:t>2</w:t>
      </w:r>
    </w:p>
    <w:p w14:paraId="4DDE602A" w14:textId="77777777" w:rsidR="00047189" w:rsidRDefault="00BA5ECC" w:rsidP="00047189">
      <w:hyperlink r:id="rId5" w:history="1">
        <w:r w:rsidRPr="000C7408">
          <w:rPr>
            <w:rStyle w:val="Hipervnculo"/>
          </w:rPr>
          <w:t>http://www.ieco.clarin.com/economia/Havanna-agranda-operacion_0_1631836826.html#cxrecs_s</w:t>
        </w:r>
      </w:hyperlink>
      <w:r>
        <w:tab/>
      </w:r>
      <w:r>
        <w:tab/>
      </w:r>
      <w:r>
        <w:tab/>
      </w:r>
      <w:r>
        <w:tab/>
      </w:r>
    </w:p>
    <w:sectPr w:rsidR="00047189" w:rsidSect="00B83584">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189"/>
    <w:rsid w:val="00047189"/>
    <w:rsid w:val="00790287"/>
    <w:rsid w:val="00B83584"/>
    <w:rsid w:val="00BA5EC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6CA8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A5EC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A5EC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ieco.clarin.com/economia/Havanna-agranda-operacion_0_1631836826.html#cxrecs_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292</Words>
  <Characters>1607</Characters>
  <Application>Microsoft Macintosh Word</Application>
  <DocSecurity>0</DocSecurity>
  <Lines>13</Lines>
  <Paragraphs>3</Paragraphs>
  <ScaleCrop>false</ScaleCrop>
  <Company/>
  <LinksUpToDate>false</LinksUpToDate>
  <CharactersWithSpaces>1896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Levy</dc:creator>
  <cp:keywords/>
  <dc:description/>
  <cp:lastModifiedBy>Martín Levy</cp:lastModifiedBy>
  <cp:revision>2</cp:revision>
  <dcterms:created xsi:type="dcterms:W3CDTF">2016-08-16T23:26:00Z</dcterms:created>
  <dcterms:modified xsi:type="dcterms:W3CDTF">2016-08-16T23:54:00Z</dcterms:modified>
</cp:coreProperties>
</file>