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F8" w:rsidRDefault="005B0BF8"/>
    <w:tbl>
      <w:tblPr>
        <w:tblpPr w:leftFromText="141" w:rightFromText="141" w:vertAnchor="text" w:horzAnchor="margin" w:tblpXSpec="center" w:tblpY="74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1980"/>
        <w:gridCol w:w="720"/>
        <w:gridCol w:w="2525"/>
        <w:gridCol w:w="355"/>
        <w:gridCol w:w="1374"/>
      </w:tblGrid>
      <w:tr w:rsidR="005B0BF8">
        <w:trPr>
          <w:cantSplit/>
          <w:trHeight w:val="1579"/>
        </w:trPr>
        <w:tc>
          <w:tcPr>
            <w:tcW w:w="1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0BF8" w:rsidRDefault="00392042">
            <w:pPr>
              <w:pStyle w:val="Ttulo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53975</wp:posOffset>
                  </wp:positionV>
                  <wp:extent cx="953770" cy="858520"/>
                  <wp:effectExtent l="0" t="0" r="0" b="0"/>
                  <wp:wrapNone/>
                  <wp:docPr id="8" name="Imagen 8" descr="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4FBFF"/>
                              </a:clrFrom>
                              <a:clrTo>
                                <a:srgbClr val="F4FB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858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0BF8" w:rsidRDefault="005B0BF8">
            <w:pPr>
              <w:rPr>
                <w:rFonts w:ascii="Arial" w:hAnsi="Arial" w:cs="Arial"/>
                <w:b/>
              </w:rPr>
            </w:pPr>
          </w:p>
          <w:p w:rsidR="005B0BF8" w:rsidRDefault="005B0BF8">
            <w:pPr>
              <w:pStyle w:val="Ttulo2"/>
            </w:pPr>
          </w:p>
          <w:p w:rsidR="00A95D74" w:rsidRPr="00A95D74" w:rsidRDefault="00A95D74" w:rsidP="00A95D74"/>
          <w:p w:rsidR="005B0BF8" w:rsidRDefault="00A95D74" w:rsidP="00EC47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Derecho Internacional </w:t>
            </w:r>
          </w:p>
        </w:tc>
        <w:tc>
          <w:tcPr>
            <w:tcW w:w="172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0BF8" w:rsidRDefault="005B0BF8">
            <w:pPr>
              <w:jc w:val="center"/>
              <w:rPr>
                <w:rFonts w:ascii="Arial" w:hAnsi="Arial" w:cs="Arial"/>
              </w:rPr>
            </w:pPr>
          </w:p>
          <w:p w:rsidR="005B0BF8" w:rsidRDefault="005B0BF8">
            <w:pPr>
              <w:jc w:val="center"/>
              <w:rPr>
                <w:rFonts w:ascii="Arial" w:hAnsi="Arial" w:cs="Arial"/>
              </w:rPr>
            </w:pPr>
          </w:p>
          <w:p w:rsidR="005B0BF8" w:rsidRDefault="005B0BF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95D74" w:rsidRDefault="00A95D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2.3.007</w:t>
            </w:r>
          </w:p>
          <w:p w:rsidR="00EC4799" w:rsidRPr="00EC4799" w:rsidRDefault="00EC479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B0BF8">
        <w:trPr>
          <w:cantSplit/>
          <w:trHeight w:val="304"/>
        </w:trPr>
        <w:tc>
          <w:tcPr>
            <w:tcW w:w="43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Departamento al que pertenece</w:t>
            </w:r>
          </w:p>
        </w:tc>
        <w:tc>
          <w:tcPr>
            <w:tcW w:w="425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Director</w:t>
            </w:r>
          </w:p>
        </w:tc>
      </w:tr>
      <w:tr w:rsidR="005B0BF8">
        <w:trPr>
          <w:cantSplit/>
          <w:trHeight w:val="452"/>
        </w:trPr>
        <w:tc>
          <w:tcPr>
            <w:tcW w:w="43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Default="00EC479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68 horas</w:t>
            </w:r>
          </w:p>
        </w:tc>
        <w:tc>
          <w:tcPr>
            <w:tcW w:w="425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Pr="00EC4799" w:rsidRDefault="00EC4799" w:rsidP="00EC479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C4799">
              <w:rPr>
                <w:rFonts w:ascii="Arial" w:hAnsi="Arial" w:cs="Arial"/>
                <w:b/>
                <w:sz w:val="18"/>
              </w:rPr>
              <w:t>Dra.Silvia Susana Toscano</w:t>
            </w:r>
          </w:p>
        </w:tc>
      </w:tr>
      <w:tr w:rsidR="005B0BF8">
        <w:trPr>
          <w:cantSplit/>
          <w:trHeight w:val="529"/>
        </w:trPr>
        <w:tc>
          <w:tcPr>
            <w:tcW w:w="43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Carga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</w:rPr>
              <w:t xml:space="preserve">horaria </w:t>
            </w:r>
          </w:p>
        </w:tc>
        <w:tc>
          <w:tcPr>
            <w:tcW w:w="425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Fecha de conocimiento del Programa por</w:t>
            </w:r>
          </w:p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 el Consejo de Facultad</w:t>
            </w:r>
          </w:p>
        </w:tc>
      </w:tr>
      <w:tr w:rsidR="005B0BF8">
        <w:trPr>
          <w:cantSplit/>
          <w:trHeight w:val="474"/>
        </w:trPr>
        <w:tc>
          <w:tcPr>
            <w:tcW w:w="43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rPr>
                <w:rFonts w:ascii="Arial" w:hAnsi="Arial" w:cs="Arial"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25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516"/>
        </w:trPr>
        <w:tc>
          <w:tcPr>
            <w:tcW w:w="727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pStyle w:val="Ttulo3"/>
              <w:rPr>
                <w:sz w:val="18"/>
              </w:rPr>
            </w:pPr>
            <w:r>
              <w:rPr>
                <w:sz w:val="18"/>
              </w:rPr>
              <w:t xml:space="preserve">Carrera(s) en la que se dicta </w:t>
            </w:r>
          </w:p>
        </w:tc>
        <w:tc>
          <w:tcPr>
            <w:tcW w:w="137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pStyle w:val="Ttulo3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Código(s)</w:t>
            </w:r>
          </w:p>
          <w:p w:rsidR="005B0BF8" w:rsidRDefault="005B0BF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Carrera(s)</w:t>
            </w:r>
          </w:p>
        </w:tc>
      </w:tr>
      <w:tr w:rsidR="005B0BF8">
        <w:trPr>
          <w:cantSplit/>
          <w:trHeight w:val="261"/>
        </w:trPr>
        <w:tc>
          <w:tcPr>
            <w:tcW w:w="7270" w:type="dxa"/>
            <w:gridSpan w:val="5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0BF8" w:rsidRPr="00EC4799" w:rsidRDefault="006E3D2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Lic. en Comercio Internacional </w:t>
            </w:r>
          </w:p>
        </w:tc>
        <w:tc>
          <w:tcPr>
            <w:tcW w:w="137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B0BF8" w:rsidRDefault="006E3D2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 w:rsidR="00EC4799">
              <w:rPr>
                <w:rFonts w:ascii="Arial" w:hAnsi="Arial" w:cs="Arial"/>
                <w:sz w:val="18"/>
              </w:rPr>
              <w:t>01</w:t>
            </w:r>
          </w:p>
        </w:tc>
      </w:tr>
      <w:tr w:rsidR="005B0BF8">
        <w:trPr>
          <w:cantSplit/>
          <w:trHeight w:val="261"/>
        </w:trPr>
        <w:tc>
          <w:tcPr>
            <w:tcW w:w="7270" w:type="dxa"/>
            <w:gridSpan w:val="5"/>
            <w:tcBorders>
              <w:left w:val="single" w:sz="18" w:space="0" w:color="auto"/>
            </w:tcBorders>
            <w:vAlign w:val="center"/>
          </w:tcPr>
          <w:p w:rsidR="005B0BF8" w:rsidRPr="00B5141A" w:rsidRDefault="00B5141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5141A">
              <w:rPr>
                <w:rFonts w:ascii="Arial" w:hAnsi="Arial" w:cs="Arial"/>
                <w:b/>
                <w:sz w:val="20"/>
                <w:szCs w:val="20"/>
              </w:rPr>
              <w:t>Programa Conjunto Lic. en Administración de Empresas - Lic Comercio Internacional</w:t>
            </w: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Pr="00B5141A" w:rsidRDefault="00B5141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5141A">
              <w:rPr>
                <w:rFonts w:ascii="Arial" w:hAnsi="Arial" w:cs="Arial"/>
                <w:b/>
                <w:sz w:val="18"/>
              </w:rPr>
              <w:t>40609</w:t>
            </w:r>
          </w:p>
        </w:tc>
      </w:tr>
      <w:tr w:rsidR="005B0BF8">
        <w:trPr>
          <w:cantSplit/>
          <w:trHeight w:val="261"/>
        </w:trPr>
        <w:tc>
          <w:tcPr>
            <w:tcW w:w="7270" w:type="dxa"/>
            <w:gridSpan w:val="5"/>
            <w:tcBorders>
              <w:left w:val="single" w:sz="18" w:space="0" w:color="auto"/>
            </w:tcBorders>
            <w:vAlign w:val="center"/>
          </w:tcPr>
          <w:p w:rsidR="005B0BF8" w:rsidRPr="00636A7D" w:rsidRDefault="00636A7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636A7D">
              <w:rPr>
                <w:rFonts w:ascii="Arial" w:hAnsi="Arial" w:cs="Arial"/>
                <w:b/>
                <w:sz w:val="18"/>
                <w:szCs w:val="18"/>
              </w:rPr>
              <w:t>Programa Conjunto Lic. en Comercialización y Lic. en Comercio Internacional</w:t>
            </w: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Pr="00636A7D" w:rsidRDefault="00636A7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636A7D">
              <w:rPr>
                <w:rFonts w:ascii="Arial" w:hAnsi="Arial" w:cs="Arial"/>
                <w:b/>
                <w:sz w:val="18"/>
              </w:rPr>
              <w:t>20609</w:t>
            </w:r>
          </w:p>
        </w:tc>
      </w:tr>
      <w:tr w:rsidR="005B0BF8">
        <w:trPr>
          <w:cantSplit/>
          <w:trHeight w:val="261"/>
        </w:trPr>
        <w:tc>
          <w:tcPr>
            <w:tcW w:w="7270" w:type="dxa"/>
            <w:gridSpan w:val="5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261"/>
        </w:trPr>
        <w:tc>
          <w:tcPr>
            <w:tcW w:w="7270" w:type="dxa"/>
            <w:gridSpan w:val="5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93"/>
        </w:trPr>
        <w:tc>
          <w:tcPr>
            <w:tcW w:w="36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pStyle w:val="Ttulo3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Código(s) Correlativa(s) Precedente(s)</w:t>
            </w:r>
          </w:p>
        </w:tc>
        <w:tc>
          <w:tcPr>
            <w:tcW w:w="36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6E6E6"/>
            <w:vAlign w:val="center"/>
          </w:tcPr>
          <w:p w:rsidR="005B0BF8" w:rsidRDefault="005B0BF8">
            <w:pPr>
              <w:pStyle w:val="Ttulo3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Código(s) Correlativa(s) Subsiguiente(s)</w:t>
            </w:r>
          </w:p>
        </w:tc>
        <w:tc>
          <w:tcPr>
            <w:tcW w:w="137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pStyle w:val="Ttulo3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Código(s)  Carrera(s)</w:t>
            </w: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0F420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2.3.0</w:t>
            </w:r>
            <w:r w:rsidR="006E3D28">
              <w:rPr>
                <w:rFonts w:ascii="Arial" w:hAnsi="Arial" w:cs="Arial"/>
                <w:sz w:val="18"/>
              </w:rPr>
              <w:t>02</w:t>
            </w: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6E3D2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1.2.024</w:t>
            </w: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6E3D2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 w:rsidR="00EA71C2">
              <w:rPr>
                <w:rFonts w:ascii="Arial" w:hAnsi="Arial" w:cs="Arial"/>
                <w:sz w:val="18"/>
              </w:rPr>
              <w:t>01</w:t>
            </w: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138"/>
        </w:trPr>
        <w:tc>
          <w:tcPr>
            <w:tcW w:w="367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00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7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B0BF8">
        <w:trPr>
          <w:cantSplit/>
          <w:trHeight w:val="275"/>
        </w:trPr>
        <w:tc>
          <w:tcPr>
            <w:tcW w:w="864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5B0BF8" w:rsidRDefault="005B0BF8">
            <w:pPr>
              <w:pStyle w:val="Ttulo1"/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Firmas</w:t>
            </w:r>
          </w:p>
        </w:tc>
      </w:tr>
      <w:tr w:rsidR="005B0BF8">
        <w:trPr>
          <w:cantSplit/>
          <w:trHeight w:val="312"/>
        </w:trPr>
        <w:tc>
          <w:tcPr>
            <w:tcW w:w="43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3F3F3"/>
            <w:vAlign w:val="center"/>
          </w:tcPr>
          <w:p w:rsidR="005B0BF8" w:rsidRDefault="005B0BF8">
            <w:pPr>
              <w:pStyle w:val="Ttulo1"/>
              <w:spacing w:line="240" w:lineRule="auto"/>
              <w:rPr>
                <w:rFonts w:ascii="Arial" w:hAnsi="Arial" w:cs="Arial"/>
                <w:bCs w:val="0"/>
                <w:sz w:val="18"/>
              </w:rPr>
            </w:pPr>
            <w:r>
              <w:rPr>
                <w:rFonts w:ascii="Arial" w:hAnsi="Arial" w:cs="Arial"/>
                <w:bCs w:val="0"/>
                <w:sz w:val="18"/>
              </w:rPr>
              <w:t>Aprobación del Director de Departamento emisor</w:t>
            </w:r>
          </w:p>
        </w:tc>
        <w:tc>
          <w:tcPr>
            <w:tcW w:w="4254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3F3F3"/>
            <w:vAlign w:val="center"/>
          </w:tcPr>
          <w:p w:rsidR="005B0BF8" w:rsidRDefault="005B0BF8">
            <w:pPr>
              <w:pStyle w:val="Ttulo1"/>
              <w:spacing w:line="240" w:lineRule="auto"/>
              <w:rPr>
                <w:rFonts w:ascii="Arial" w:hAnsi="Arial" w:cs="Arial"/>
                <w:bCs w:val="0"/>
                <w:sz w:val="18"/>
              </w:rPr>
            </w:pPr>
            <w:r>
              <w:rPr>
                <w:rFonts w:ascii="Arial" w:hAnsi="Arial" w:cs="Arial"/>
                <w:bCs w:val="0"/>
                <w:sz w:val="18"/>
              </w:rPr>
              <w:t>Conformidad Director(es) de Carrera(s)</w:t>
            </w:r>
          </w:p>
        </w:tc>
      </w:tr>
      <w:tr w:rsidR="005B0BF8">
        <w:trPr>
          <w:cantSplit/>
        </w:trPr>
        <w:tc>
          <w:tcPr>
            <w:tcW w:w="43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254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  <w:p w:rsidR="005B0BF8" w:rsidRDefault="005B0BF8">
            <w:pPr>
              <w:rPr>
                <w:rFonts w:ascii="Arial" w:hAnsi="Arial" w:cs="Arial"/>
                <w:b/>
                <w:sz w:val="18"/>
              </w:rPr>
            </w:pPr>
          </w:p>
        </w:tc>
      </w:tr>
    </w:tbl>
    <w:p w:rsidR="005B0BF8" w:rsidRDefault="005B0BF8">
      <w:pPr>
        <w:pStyle w:val="Ttulo3"/>
        <w:jc w:val="left"/>
        <w:rPr>
          <w:rFonts w:cs="Arial"/>
          <w:sz w:val="18"/>
        </w:rPr>
      </w:pPr>
    </w:p>
    <w:p w:rsidR="005B0BF8" w:rsidRDefault="005B0BF8">
      <w:pPr>
        <w:pStyle w:val="Ttulo3"/>
        <w:jc w:val="left"/>
        <w:rPr>
          <w:rFonts w:cs="Arial"/>
          <w:sz w:val="18"/>
        </w:rPr>
      </w:pPr>
    </w:p>
    <w:p w:rsidR="005B0BF8" w:rsidRDefault="005B0BF8"/>
    <w:p w:rsidR="005B0BF8" w:rsidRDefault="005B0BF8">
      <w:pPr>
        <w:pStyle w:val="Ttulo3"/>
        <w:jc w:val="left"/>
        <w:rPr>
          <w:rFonts w:cs="Arial"/>
          <w:sz w:val="18"/>
        </w:rPr>
      </w:pPr>
    </w:p>
    <w:p w:rsidR="005B0BF8" w:rsidRDefault="005B0BF8">
      <w:pPr>
        <w:pStyle w:val="Ttulo3"/>
        <w:jc w:val="left"/>
        <w:rPr>
          <w:rFonts w:cs="Arial"/>
          <w:sz w:val="18"/>
        </w:rPr>
      </w:pPr>
    </w:p>
    <w:p w:rsidR="005B0BF8" w:rsidRDefault="005B0BF8">
      <w:pPr>
        <w:pStyle w:val="Ttulo3"/>
        <w:jc w:val="left"/>
        <w:rPr>
          <w:rFonts w:cs="Arial"/>
          <w:sz w:val="18"/>
        </w:rPr>
      </w:pPr>
    </w:p>
    <w:p w:rsidR="005B0BF8" w:rsidRDefault="006E3D28">
      <w:pPr>
        <w:pStyle w:val="Ttulo3"/>
        <w:jc w:val="left"/>
        <w:rPr>
          <w:rFonts w:cs="Arial"/>
          <w:sz w:val="18"/>
        </w:rPr>
      </w:pPr>
      <w:r>
        <w:rPr>
          <w:rFonts w:cs="Arial"/>
          <w:sz w:val="18"/>
        </w:rPr>
        <w:t>I – Fundamentación</w:t>
      </w:r>
    </w:p>
    <w:p w:rsidR="006E3D28" w:rsidRPr="006E3D28" w:rsidRDefault="006E3D28" w:rsidP="006E3D28"/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El siglo XXI enfrenta a nuevos dilemas que hace necesario replantear los estudios en el ámbito internacional.  El Derecho Internacional no es la excepción.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El Derecho Internacional es presentado como una especialidad jurídica caracterizada por carencias institucionales, insuficientes mecanismos de prevención y sanción. Se señala también un alto grado de politización en la solución de controversias.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En el Derecho Internacional son los propios Estados los que crean la norma; y a su vez los principales destinatarios. El proceso de creación se realiza a través de un doble mecanismo: mediante la norma no escrita (costumbre internacional) o norma escrita (tratados)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En la sociedad internacional no todos los sujetos se hallan vinculados por las mismas normas escritas ni sometidos a las mismas obligaciones jurídicas. Esto no impide que determinadas normas convencionales adoptadas en conferencias de codificación puedan llegar a ser obligatorias y convertirse en Derecho Internacional General.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El tradicional sistema de Estados que había venido funcionando desde el Siglo XVI, va dando lugar a un nuevo sistema internacional de características y dinámica diferente. Aparecen nuevos sujetos del Derecho Internacional. La aparición de superpotencias luego de la Segunda Guerra Mundial y la existencia de una sola superpotencia en la actualidad van a modelar el desarrollo de esa disciplina jurídica reflejando la realidad internacional.</w:t>
      </w:r>
    </w:p>
    <w:p w:rsidR="006E3D28" w:rsidRPr="006E3D28" w:rsidRDefault="006E3D28" w:rsidP="006E3D2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Antiguamente el Derecho Internacional clásico ponía el acento en los conflictos internacionales y sus consecuencias. En la actualidad el Derecho Internacional Contemporáneo también destaca la importancia de la cooperación internacional; y en los organismos y organizaciones internacionales encargados de ella.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La Organización de Naciones Unidas tiene un protagonismo indiscutible en el mundo actual. Mantener la paz y seguridad internacionales; y fomentar la cooperación internacional entre sus miembros son sus objetivos fundamentales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 xml:space="preserve">El individuo también se abre paso en éste ámbito jurídico; no solo como titulares de Derechos Humanos sino como legitimados en su tutela, defensa; y responsabilidad internacional por la violación de las normas internacionales. La Corte Penal Internacional, es un hito en este campo. 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Determinados fenómenos económicos transnacionales también afectan al Derecho Internacional Publico. Ejemplo de ello son la Organización Mundial de Comercio, el Banco Mundial y el CIADI. No se puede dejar de lado el ambiente y su regulación jurídica internacional donde interactúan entes estatales, organizaciones internacionales y entes no gubernamentales como empresas.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El fenómeno tecnológico no está ausente: las telecomunicaciones y teledetección satelital jalones importantes en la globalización.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 xml:space="preserve">La integración y los procesos de integración van modelando y dando nuevo contenido a antiguos conceptos del Derecho Internacional Público como ser el de soberanía, Estado – Nación, etc. </w:t>
      </w:r>
      <w:r w:rsidRPr="006E3D28">
        <w:rPr>
          <w:rFonts w:ascii="Arial" w:hAnsi="Arial" w:cs="Arial"/>
          <w:sz w:val="18"/>
        </w:rPr>
        <w:lastRenderedPageBreak/>
        <w:t xml:space="preserve">Aparecieron en la escena internacional la Unión Europea, NAFTA, MERCOSUR; y otros tantos que hace necesario aproximarse a sus tratados constitutivos, estructura y mecanismos de solución de controversias.  </w:t>
      </w:r>
    </w:p>
    <w:p w:rsid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6E3D28">
        <w:rPr>
          <w:rFonts w:ascii="Arial" w:hAnsi="Arial" w:cs="Arial"/>
          <w:sz w:val="18"/>
        </w:rPr>
        <w:t>El antiguo aforismo “ubi societas ibi ius” exige el estudio del ordenamiento jurídico que regula la sociedad internacional</w:t>
      </w:r>
      <w:r>
        <w:rPr>
          <w:rFonts w:ascii="Arial" w:hAnsi="Arial" w:cs="Arial"/>
        </w:rPr>
        <w:t xml:space="preserve">.  </w:t>
      </w:r>
    </w:p>
    <w:p w:rsidR="006E3D28" w:rsidRDefault="006E3D28" w:rsidP="006E3D28">
      <w:pPr>
        <w:spacing w:line="480" w:lineRule="auto"/>
        <w:jc w:val="both"/>
        <w:rPr>
          <w:rFonts w:ascii="Arial" w:hAnsi="Arial" w:cs="Arial"/>
        </w:rPr>
      </w:pPr>
    </w:p>
    <w:p w:rsidR="005B0BF8" w:rsidRDefault="005B0BF8">
      <w:pPr>
        <w:pStyle w:val="Ttulo3"/>
        <w:jc w:val="left"/>
        <w:rPr>
          <w:rFonts w:eastAsia="Arial Unicode MS" w:cs="Arial"/>
          <w:sz w:val="18"/>
        </w:rPr>
      </w:pPr>
      <w:r>
        <w:rPr>
          <w:rFonts w:cs="Arial"/>
          <w:sz w:val="18"/>
        </w:rPr>
        <w:t>II – Objetivos de aprendizaje (a) y de enseñanza (b)</w:t>
      </w:r>
    </w:p>
    <w:p w:rsidR="005B0BF8" w:rsidRDefault="005B0BF8">
      <w:pPr>
        <w:pStyle w:val="Textonotapie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p w:rsidR="005B0BF8" w:rsidRDefault="005B0BF8" w:rsidP="006E3D28">
      <w:pPr>
        <w:numPr>
          <w:ilvl w:val="0"/>
          <w:numId w:val="4"/>
        </w:num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 xml:space="preserve">Se espera que los alumnos logren: </w:t>
      </w:r>
    </w:p>
    <w:p w:rsidR="006E3D28" w:rsidRDefault="006E3D28" w:rsidP="006E3D28">
      <w:pPr>
        <w:ind w:left="360"/>
        <w:rPr>
          <w:rFonts w:ascii="Arial" w:hAnsi="Arial" w:cs="Arial"/>
          <w:b/>
          <w:bCs/>
          <w:sz w:val="18"/>
        </w:rPr>
      </w:pPr>
    </w:p>
    <w:p w:rsid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6E3D28">
        <w:rPr>
          <w:rFonts w:ascii="Arial" w:hAnsi="Arial" w:cs="Arial"/>
          <w:sz w:val="18"/>
        </w:rPr>
        <w:t>Valorar la dimensión jurídica de la disciplina en el contexto contemporáneo.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6E3D28">
        <w:rPr>
          <w:rFonts w:ascii="Arial" w:hAnsi="Arial" w:cs="Arial"/>
          <w:sz w:val="18"/>
          <w:lang w:val="es-AR"/>
        </w:rPr>
        <w:t xml:space="preserve"> Determinar los rasgos específicos del Derecho Internacional y su articulación dentro del mundo jurídico.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6E3D28">
        <w:rPr>
          <w:rFonts w:ascii="Arial" w:hAnsi="Arial" w:cs="Arial"/>
          <w:sz w:val="18"/>
          <w:lang w:val="es-AR"/>
        </w:rPr>
        <w:t>Comprender la manera en que se desarrollan las relaciones jurídicas en el derecho internacional.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6E3D28">
        <w:rPr>
          <w:rFonts w:ascii="Arial" w:hAnsi="Arial" w:cs="Arial"/>
          <w:sz w:val="18"/>
          <w:lang w:val="es-AR"/>
        </w:rPr>
        <w:t>Analizar los distintos avances y cambios operados en el mundo y que se evidencia en el Derecho Internacional.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6E3D28">
        <w:rPr>
          <w:rFonts w:ascii="Arial" w:hAnsi="Arial" w:cs="Arial"/>
          <w:sz w:val="18"/>
          <w:lang w:val="es-AR"/>
        </w:rPr>
        <w:t>Aproximarse a los pilares básicos del Derecho Internacional.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6E3D28">
        <w:rPr>
          <w:rFonts w:ascii="Arial" w:hAnsi="Arial" w:cs="Arial"/>
          <w:sz w:val="18"/>
          <w:lang w:val="es-AR"/>
        </w:rPr>
        <w:t>Que el alumno pueda manejar con soltura las diversas fuentes del Derecho Internacional.</w:t>
      </w:r>
    </w:p>
    <w:p w:rsidR="006E3D28" w:rsidRPr="006E3D28" w:rsidRDefault="006E3D28" w:rsidP="006E3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6E3D28">
        <w:rPr>
          <w:rFonts w:ascii="Arial" w:hAnsi="Arial" w:cs="Arial"/>
          <w:sz w:val="18"/>
          <w:lang w:val="es-AR"/>
        </w:rPr>
        <w:t>Comprender los distintos fenómenos de creación, interpretación y aplicación de las normas jurídicas internacionales</w:t>
      </w:r>
    </w:p>
    <w:p w:rsidR="006E3D28" w:rsidRDefault="006E3D28" w:rsidP="006E3D28">
      <w:pPr>
        <w:spacing w:line="480" w:lineRule="auto"/>
        <w:jc w:val="both"/>
        <w:rPr>
          <w:rFonts w:ascii="Arial" w:hAnsi="Arial" w:cs="Arial"/>
          <w:lang w:val="es-AR"/>
        </w:rPr>
      </w:pPr>
    </w:p>
    <w:p w:rsidR="005B0BF8" w:rsidRDefault="005B0BF8">
      <w:pPr>
        <w:pStyle w:val="Ttulo3"/>
        <w:tabs>
          <w:tab w:val="left" w:pos="540"/>
        </w:tabs>
        <w:jc w:val="both"/>
        <w:rPr>
          <w:rFonts w:cs="Arial"/>
          <w:sz w:val="18"/>
        </w:rPr>
      </w:pPr>
      <w:r>
        <w:rPr>
          <w:rFonts w:cs="Arial"/>
          <w:sz w:val="18"/>
        </w:rPr>
        <w:t>b) Se espera que el docente del curso:</w:t>
      </w:r>
    </w:p>
    <w:p w:rsidR="005B0BF8" w:rsidRDefault="005B0BF8">
      <w:pPr>
        <w:rPr>
          <w:rFonts w:ascii="Arial" w:hAnsi="Arial" w:cs="Arial"/>
          <w:b/>
          <w:bCs/>
          <w:sz w:val="18"/>
          <w:lang w:val="es-MX"/>
        </w:rPr>
      </w:pPr>
    </w:p>
    <w:p w:rsidR="00EB1FCC" w:rsidRPr="00EB1FCC" w:rsidRDefault="00EB1FCC" w:rsidP="00EB1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EB1FCC">
        <w:rPr>
          <w:rFonts w:ascii="Arial" w:hAnsi="Arial" w:cs="Arial"/>
          <w:sz w:val="18"/>
          <w:lang w:val="es-AR"/>
        </w:rPr>
        <w:t xml:space="preserve">Enseñe los pilares básicos del Derecho Internacional </w:t>
      </w:r>
    </w:p>
    <w:p w:rsidR="00EB1FCC" w:rsidRPr="00EB1FCC" w:rsidRDefault="00EB1FCC" w:rsidP="00EB1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EB1FCC">
        <w:rPr>
          <w:rFonts w:ascii="Arial" w:hAnsi="Arial" w:cs="Arial"/>
          <w:sz w:val="18"/>
          <w:lang w:val="es-AR"/>
        </w:rPr>
        <w:t xml:space="preserve">Guíe en el manejo de las distintas fuentes del Derecho Internacional </w:t>
      </w:r>
    </w:p>
    <w:p w:rsidR="004C3AE4" w:rsidRPr="00EB1FCC" w:rsidRDefault="00EB1FCC" w:rsidP="00EB1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lang w:val="es-AR"/>
        </w:rPr>
      </w:pPr>
      <w:r w:rsidRPr="00EB1FCC">
        <w:rPr>
          <w:rFonts w:ascii="Arial" w:hAnsi="Arial" w:cs="Arial"/>
          <w:sz w:val="18"/>
          <w:lang w:val="es-AR"/>
        </w:rPr>
        <w:t>Guíe en la comprensión de los distintos fenómenos de creación, interpretación  y aplicación de las normas jurídicas internacionales</w:t>
      </w:r>
    </w:p>
    <w:p w:rsidR="00EB1FCC" w:rsidRDefault="00EB1FCC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EB1FCC" w:rsidRDefault="00EB1FCC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EB1FCC" w:rsidRDefault="00EB1FCC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b/>
          <w:bCs/>
          <w:sz w:val="18"/>
          <w:u w:val="single"/>
        </w:rPr>
        <w:t>III- Unidades temáticas</w:t>
      </w: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BE3DA2" w:rsidRDefault="00BE3DA2" w:rsidP="00FD632A">
      <w:pPr>
        <w:ind w:left="57"/>
        <w:rPr>
          <w:rFonts w:ascii="Arial" w:hAnsi="Arial" w:cs="Arial"/>
          <w:b/>
          <w:bCs/>
          <w:sz w:val="20"/>
          <w:szCs w:val="20"/>
        </w:rPr>
      </w:pPr>
    </w:p>
    <w:p w:rsidR="00BE3DA2" w:rsidRDefault="00BE3DA2" w:rsidP="00FD632A">
      <w:pPr>
        <w:ind w:left="5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Unidad 1: Parte General</w:t>
      </w:r>
    </w:p>
    <w:p w:rsidR="00EB1FCC" w:rsidRDefault="00EB1FCC" w:rsidP="00FD632A">
      <w:pPr>
        <w:ind w:left="57"/>
        <w:rPr>
          <w:rFonts w:ascii="Arial" w:hAnsi="Arial" w:cs="Arial"/>
          <w:b/>
          <w:bCs/>
          <w:sz w:val="20"/>
          <w:szCs w:val="20"/>
        </w:rPr>
      </w:pPr>
      <w:r w:rsidRPr="00254A9B">
        <w:rPr>
          <w:rFonts w:ascii="Arial" w:hAnsi="Arial" w:cs="Arial"/>
          <w:b/>
          <w:bCs/>
          <w:sz w:val="20"/>
          <w:szCs w:val="20"/>
        </w:rPr>
        <w:t>Contenidos Conceptuales</w:t>
      </w:r>
    </w:p>
    <w:p w:rsidR="00605DA9" w:rsidRPr="00254A9B" w:rsidRDefault="00605DA9" w:rsidP="00FD632A">
      <w:pPr>
        <w:ind w:left="57"/>
        <w:rPr>
          <w:rFonts w:ascii="Arial" w:hAnsi="Arial" w:cs="Arial"/>
          <w:b/>
          <w:bCs/>
          <w:sz w:val="20"/>
          <w:szCs w:val="20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Concepto y contenido de D.I.P.-Su diferencia con otras disciplinas: Derecho Internacional Privado; Derecho Penal Internacional; Derecho Mercantil Internacional; etc.-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Fundamentos de validez de la norma internacional: Distintas teorías.-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Características. Derecho de coordinación y de cuasisubordinación ( Art. 103 de la Carta de la Organización de las Naciones Unidas); normas imperativas y normas dispositivas, etc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Evolución histórica: -Desde la Paz de Westfalia hasta la Primera Guerra Mundial.-</w:t>
      </w:r>
      <w:r w:rsidRPr="00EB1FCC">
        <w:rPr>
          <w:rFonts w:ascii="Arial" w:hAnsi="Arial" w:cs="Arial"/>
          <w:sz w:val="18"/>
        </w:rPr>
        <w:br/>
        <w:t>Período comprendido entre las dos guerras mundiales.-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AR"/>
        </w:rPr>
      </w:pPr>
      <w:r w:rsidRPr="00EB1FCC">
        <w:rPr>
          <w:rFonts w:ascii="Arial" w:hAnsi="Arial" w:cs="Arial"/>
          <w:sz w:val="18"/>
          <w:lang w:val="es-AR"/>
        </w:rPr>
        <w:t>Desde la creación de Naciones Unidas hasta nuestros días</w:t>
      </w:r>
    </w:p>
    <w:p w:rsidR="00605DA9" w:rsidRDefault="00605DA9" w:rsidP="00FD632A">
      <w:pPr>
        <w:pStyle w:val="Ttulo6"/>
        <w:spacing w:before="0"/>
        <w:ind w:left="57"/>
        <w:rPr>
          <w:rFonts w:ascii="Arial" w:hAnsi="Arial"/>
          <w:bCs w:val="0"/>
          <w:sz w:val="18"/>
        </w:rPr>
      </w:pPr>
    </w:p>
    <w:p w:rsidR="00EB1FCC" w:rsidRPr="00BE3DA2" w:rsidRDefault="00EB1FCC" w:rsidP="00FD632A">
      <w:pPr>
        <w:pStyle w:val="Ttulo1"/>
        <w:spacing w:line="240" w:lineRule="auto"/>
        <w:ind w:left="57"/>
        <w:jc w:val="left"/>
        <w:rPr>
          <w:rFonts w:ascii="Arial" w:hAnsi="Arial" w:cs="Arial"/>
          <w:bCs w:val="0"/>
          <w:sz w:val="18"/>
        </w:rPr>
      </w:pPr>
      <w:r w:rsidRPr="00BE3DA2">
        <w:rPr>
          <w:rFonts w:ascii="Arial" w:hAnsi="Arial" w:cs="Arial"/>
          <w:bCs w:val="0"/>
          <w:sz w:val="18"/>
        </w:rPr>
        <w:t>Unidad 2:  Fuentes del Derecho Internacional Público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 </w:t>
      </w:r>
    </w:p>
    <w:p w:rsidR="00EB1FCC" w:rsidRPr="00BE3DA2" w:rsidRDefault="00EB1FCC" w:rsidP="00FD632A">
      <w:pPr>
        <w:pStyle w:val="Ttulo1"/>
        <w:spacing w:line="240" w:lineRule="auto"/>
        <w:ind w:left="57"/>
        <w:jc w:val="left"/>
        <w:rPr>
          <w:rFonts w:ascii="Arial" w:hAnsi="Arial" w:cs="Arial"/>
          <w:bCs w:val="0"/>
          <w:sz w:val="18"/>
        </w:rPr>
      </w:pPr>
      <w:r w:rsidRPr="00BE3DA2">
        <w:rPr>
          <w:rFonts w:ascii="Arial" w:hAnsi="Arial" w:cs="Arial"/>
          <w:bCs w:val="0"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lastRenderedPageBreak/>
        <w:t xml:space="preserve">Concepto de fuentes. Clasificación. Enumeración.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Art. 38 del Estatuto de la Corte Internacional de Justicia. Su interpretación.-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Casos especiales: Comportamientos Unilaterales de los Estados; y  Resoluciones de Organizaciones Internacionales.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 problema de la dualidad de fuentes.-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Codificación y desarrollo progresivo del Derecho Internacional Público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BE3DA2" w:rsidRDefault="00EB1FCC" w:rsidP="00FD632A">
      <w:pPr>
        <w:pStyle w:val="Ttulo8"/>
        <w:spacing w:before="0"/>
        <w:ind w:left="57"/>
        <w:rPr>
          <w:rFonts w:ascii="Arial" w:hAnsi="Arial"/>
          <w:b/>
          <w:i w:val="0"/>
          <w:iCs w:val="0"/>
          <w:sz w:val="18"/>
        </w:rPr>
      </w:pPr>
      <w:r w:rsidRPr="00BE3DA2">
        <w:rPr>
          <w:rFonts w:ascii="Arial" w:hAnsi="Arial"/>
          <w:b/>
          <w:i w:val="0"/>
          <w:iCs w:val="0"/>
          <w:sz w:val="18"/>
        </w:rPr>
        <w:t>Unidad 3: Tratados</w:t>
      </w:r>
    </w:p>
    <w:p w:rsidR="00EB1FCC" w:rsidRPr="00BE3DA2" w:rsidRDefault="00EB1FCC" w:rsidP="00FD632A">
      <w:pPr>
        <w:pStyle w:val="Ttulo9"/>
        <w:spacing w:before="0"/>
        <w:ind w:left="57"/>
        <w:rPr>
          <w:b/>
          <w:sz w:val="18"/>
        </w:rPr>
      </w:pPr>
      <w:r w:rsidRPr="00BE3DA2">
        <w:rPr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Régimen de la Convención de Viena de 1969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Definición. Sujetos. Clasificación. Etapas conducentes a su celebración.-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Entrada en vigor. Aplicación y aplicación provisoria. Observancia.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Interpretación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Reservas.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Efectos para terceros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Enmiendas. Modificación.-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Nulidad, suspensión y  terminación: causas y efectos. Garantías procesales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Depósito, registro y publicación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Celebración de los tratados en el Derecho Argentino</w:t>
      </w:r>
      <w:r w:rsidRPr="00EB1FCC">
        <w:rPr>
          <w:rFonts w:ascii="Arial" w:hAnsi="Arial" w:cs="Arial"/>
          <w:sz w:val="18"/>
        </w:rPr>
        <w:br/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7E2C0B" w:rsidRDefault="00EB1FCC" w:rsidP="00FD632A">
      <w:pPr>
        <w:pStyle w:val="Ttulo3"/>
        <w:ind w:left="57"/>
        <w:jc w:val="left"/>
        <w:rPr>
          <w:rFonts w:cs="Arial"/>
          <w:bCs w:val="0"/>
          <w:sz w:val="18"/>
        </w:rPr>
      </w:pPr>
      <w:r w:rsidRPr="007E2C0B">
        <w:rPr>
          <w:rFonts w:cs="Arial"/>
          <w:bCs w:val="0"/>
          <w:sz w:val="18"/>
        </w:rPr>
        <w:t>UNIDAD 4: Otras fuentes del Derecho Internacional Público</w:t>
      </w:r>
    </w:p>
    <w:p w:rsidR="00EB1FCC" w:rsidRPr="007E2C0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7E2C0B">
        <w:rPr>
          <w:rFonts w:ascii="Arial" w:hAnsi="Arial" w:cs="Arial"/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Costumbre Internacional: Formación, elementos. Relación entre costumbre y tratados. La costumbre y los nuevos estados. Costumbre regional y bilateral. Jurisprudencia en materia de costumbre Internacional-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Principios generales del derecho. Principios generales del Derecho Internacional.-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jurisprudencia internacional.-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doctrina.-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equidad.-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D19EB" w:rsidRDefault="00ED19EB" w:rsidP="00FD632A">
      <w:pPr>
        <w:pStyle w:val="Ttulo4"/>
        <w:ind w:left="57"/>
        <w:jc w:val="left"/>
        <w:rPr>
          <w:rFonts w:cs="Arial"/>
          <w:sz w:val="18"/>
        </w:rPr>
      </w:pPr>
    </w:p>
    <w:p w:rsidR="00EB1FCC" w:rsidRPr="00ED19EB" w:rsidRDefault="00EB1FCC" w:rsidP="00FD632A">
      <w:pPr>
        <w:pStyle w:val="Ttulo4"/>
        <w:ind w:left="57"/>
        <w:jc w:val="left"/>
        <w:rPr>
          <w:rFonts w:cs="Arial"/>
          <w:sz w:val="18"/>
        </w:rPr>
      </w:pPr>
      <w:r w:rsidRPr="00ED19EB">
        <w:rPr>
          <w:rFonts w:cs="Arial"/>
          <w:sz w:val="18"/>
        </w:rPr>
        <w:t>Unidad 5: Relaciones entre el Derecho Interno y el Derecho Internacional Público</w:t>
      </w:r>
    </w:p>
    <w:p w:rsidR="00EB1FCC" w:rsidRPr="00ED19E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ED19EB" w:rsidRDefault="00ED19EB" w:rsidP="00605DA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</w:t>
      </w:r>
      <w:r w:rsidR="00EB1FCC" w:rsidRPr="00ED19EB">
        <w:rPr>
          <w:rFonts w:ascii="Arial" w:hAnsi="Arial" w:cs="Arial"/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Teorías: Monismo y dualismo. Fundamentos y críticas de cada una.-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Concepción de la relación del Derecho Internacional Público y derecho interno desde el D.I.P.-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Recepción del D.I.P. en el orden interno argentino antes y después de la reforma constitucional del año 1994 (C.S.J.N. y jurisprudencia ).-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D19EB" w:rsidRDefault="00EB1FCC" w:rsidP="00FD632A">
      <w:pPr>
        <w:pStyle w:val="Ttulo3"/>
        <w:ind w:left="57"/>
        <w:jc w:val="left"/>
        <w:rPr>
          <w:rFonts w:cs="Arial"/>
          <w:bCs w:val="0"/>
          <w:sz w:val="18"/>
        </w:rPr>
      </w:pPr>
      <w:r w:rsidRPr="00ED19EB">
        <w:rPr>
          <w:rFonts w:cs="Arial"/>
          <w:bCs w:val="0"/>
          <w:sz w:val="18"/>
        </w:rPr>
        <w:t>Unidad 6: Los Sujetos del Derecho Internacional Público</w:t>
      </w:r>
    </w:p>
    <w:p w:rsidR="00EB1FCC" w:rsidRPr="00ED19E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ED19EB" w:rsidRDefault="00EB1FCC" w:rsidP="00FD632A">
      <w:pPr>
        <w:pStyle w:val="Ttulo2"/>
        <w:ind w:left="57"/>
        <w:jc w:val="left"/>
        <w:rPr>
          <w:bCs w:val="0"/>
          <w:color w:val="auto"/>
          <w:sz w:val="18"/>
        </w:rPr>
      </w:pPr>
      <w:r w:rsidRPr="00ED19EB">
        <w:rPr>
          <w:bCs w:val="0"/>
          <w:color w:val="auto"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 estado: Elementos, tipos de estados, estado y nación, soberanía. Limites a la capacidad de los Estados-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Reconocimiento de Estados: teorías constitutivas y declarativas.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Reconocimiento por ingreso a organismos internacionales.-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lastRenderedPageBreak/>
        <w:t>Reconocimiento de gobiernos: Teorías.-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Las organizaciones internacionales; Personería, evolución histórica en cuanto a su clasificación.-</w:t>
      </w:r>
    </w:p>
    <w:p w:rsid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Casos especiales: La Santa Sede, el Vaticano, la Orden de Malta, el Commonwealth, los organismos no gubernamentales, la Comunidad Beligerante, el individuo, los  pueblos, la</w:t>
      </w:r>
      <w:r w:rsidR="00ED19EB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humanidad, las empresas-</w:t>
      </w:r>
      <w:r w:rsidRPr="00EB1FCC">
        <w:rPr>
          <w:rFonts w:ascii="Arial" w:hAnsi="Arial" w:cs="Arial"/>
          <w:sz w:val="18"/>
        </w:rPr>
        <w:br/>
      </w:r>
    </w:p>
    <w:p w:rsidR="00ED19EB" w:rsidRDefault="00ED19EB" w:rsidP="00FD632A">
      <w:pPr>
        <w:pStyle w:val="Ttulo3"/>
        <w:ind w:left="57"/>
        <w:jc w:val="left"/>
        <w:rPr>
          <w:rFonts w:cs="Arial"/>
          <w:bCs w:val="0"/>
          <w:sz w:val="18"/>
        </w:rPr>
      </w:pPr>
    </w:p>
    <w:p w:rsidR="00EB1FCC" w:rsidRPr="00ED19EB" w:rsidRDefault="00EB1FCC" w:rsidP="00FD632A">
      <w:pPr>
        <w:pStyle w:val="Ttulo3"/>
        <w:ind w:left="57"/>
        <w:jc w:val="left"/>
        <w:rPr>
          <w:rFonts w:cs="Arial"/>
          <w:bCs w:val="0"/>
          <w:sz w:val="18"/>
        </w:rPr>
      </w:pPr>
      <w:r w:rsidRPr="00ED19EB">
        <w:rPr>
          <w:rFonts w:cs="Arial"/>
          <w:bCs w:val="0"/>
          <w:sz w:val="18"/>
        </w:rPr>
        <w:t>Unidad 7. El Territorio</w:t>
      </w:r>
    </w:p>
    <w:p w:rsidR="00ED19EB" w:rsidRDefault="00ED19EB" w:rsidP="00FD632A">
      <w:pPr>
        <w:ind w:left="57"/>
        <w:rPr>
          <w:rFonts w:ascii="Arial" w:hAnsi="Arial" w:cs="Arial"/>
          <w:b/>
          <w:sz w:val="18"/>
        </w:rPr>
      </w:pPr>
    </w:p>
    <w:p w:rsidR="00EB1FCC" w:rsidRPr="00ED19EB" w:rsidRDefault="00EB1FCC" w:rsidP="00FD632A">
      <w:pPr>
        <w:ind w:left="57"/>
        <w:rPr>
          <w:rFonts w:ascii="Arial" w:hAnsi="Arial" w:cs="Arial"/>
          <w:b/>
          <w:sz w:val="18"/>
        </w:rPr>
      </w:pPr>
      <w:r w:rsidRPr="00ED19EB">
        <w:rPr>
          <w:rFonts w:ascii="Arial" w:hAnsi="Arial" w:cs="Arial"/>
          <w:b/>
          <w:sz w:val="18"/>
        </w:rPr>
        <w:t>Contenidos Conceptuales</w:t>
      </w:r>
    </w:p>
    <w:p w:rsidR="00EB1FCC" w:rsidRPr="00ED19E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Teorías sobre el carácter de la soberanía del estado sobre su territorio.-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Concepto de límite y frontera, demarcación y delimitación.-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Modos de adquisición de territorios.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 principio de Uti Possidetis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Efectos de los cambios en el territorio: Sucesión de estados en materia de tratados, archivos, bienes y deudas. Sucesión respecto a la nacionalidad de los habitantes del territorio. Sucesión en calidad de miembro de una organización. </w:t>
      </w:r>
    </w:p>
    <w:p w:rsidR="00545E9F" w:rsidRDefault="00545E9F" w:rsidP="00FD632A">
      <w:pPr>
        <w:pStyle w:val="Ttulo5"/>
        <w:ind w:left="57"/>
        <w:jc w:val="left"/>
        <w:rPr>
          <w:bCs w:val="0"/>
          <w:sz w:val="18"/>
          <w:u w:val="none"/>
        </w:rPr>
      </w:pPr>
    </w:p>
    <w:p w:rsidR="00EB1FCC" w:rsidRPr="00784B19" w:rsidRDefault="00EB1FCC" w:rsidP="00FD632A">
      <w:pPr>
        <w:pStyle w:val="Ttulo5"/>
        <w:ind w:left="57"/>
        <w:jc w:val="left"/>
        <w:rPr>
          <w:bCs w:val="0"/>
          <w:sz w:val="18"/>
          <w:u w:val="none"/>
        </w:rPr>
      </w:pPr>
      <w:r w:rsidRPr="00784B19">
        <w:rPr>
          <w:bCs w:val="0"/>
          <w:sz w:val="18"/>
          <w:u w:val="none"/>
        </w:rPr>
        <w:t>Unidad 8: El territorio de la República Argentina</w:t>
      </w:r>
    </w:p>
    <w:p w:rsidR="00784B19" w:rsidRDefault="00784B19" w:rsidP="00FD632A">
      <w:pPr>
        <w:ind w:left="57"/>
        <w:rPr>
          <w:rFonts w:ascii="Arial" w:hAnsi="Arial" w:cs="Arial"/>
          <w:b/>
          <w:sz w:val="18"/>
        </w:rPr>
      </w:pPr>
    </w:p>
    <w:p w:rsidR="00EB1FCC" w:rsidRPr="00784B19" w:rsidRDefault="00EB1FCC" w:rsidP="00FD632A">
      <w:pPr>
        <w:ind w:left="57"/>
        <w:rPr>
          <w:rFonts w:ascii="Arial" w:hAnsi="Arial" w:cs="Arial"/>
          <w:b/>
          <w:sz w:val="18"/>
        </w:rPr>
      </w:pPr>
      <w:r w:rsidRPr="00784B19">
        <w:rPr>
          <w:rFonts w:ascii="Arial" w:hAnsi="Arial" w:cs="Arial"/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pStyle w:val="Sangra3detindependiente"/>
        <w:ind w:left="57" w:firstLine="0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Problemas limítrofes con Chile: Laguna del desierto; Hielos Continentales; Canal de Beagle.-</w:t>
      </w:r>
    </w:p>
    <w:p w:rsidR="00EB1FCC" w:rsidRPr="00EB1FCC" w:rsidRDefault="00EB1FCC" w:rsidP="00FD632A">
      <w:pPr>
        <w:pStyle w:val="Sangra3detindependiente"/>
        <w:ind w:left="57" w:firstLine="0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Litigios de soberanía con el Reino Unida: Malvinas: Antecedentes históricos, tratamiento en el seno de las Naciones Unidas. Situación actual-</w:t>
      </w:r>
    </w:p>
    <w:p w:rsidR="00EB1FCC" w:rsidRPr="00EB1FCC" w:rsidRDefault="00EB1FCC" w:rsidP="00FD632A">
      <w:pPr>
        <w:pStyle w:val="Sangra3detindependiente"/>
        <w:ind w:left="57" w:firstLine="0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Cuestiones de límites con Brasil, Bolivia y Paraguay.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Pretensiones argentinas en la Antártida. Tratado Antártico. Sistema Antártico</w:t>
      </w:r>
    </w:p>
    <w:p w:rsidR="00EB1FCC" w:rsidRPr="00784B19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605DA9" w:rsidRDefault="00EB1FCC" w:rsidP="00FD632A">
      <w:pPr>
        <w:pStyle w:val="Ttulo2"/>
        <w:ind w:left="57"/>
        <w:jc w:val="left"/>
        <w:rPr>
          <w:bCs w:val="0"/>
          <w:color w:val="auto"/>
          <w:sz w:val="18"/>
        </w:rPr>
      </w:pPr>
      <w:r w:rsidRPr="00605DA9">
        <w:rPr>
          <w:bCs w:val="0"/>
          <w:color w:val="auto"/>
          <w:sz w:val="18"/>
        </w:rPr>
        <w:t>Unidad 9: Espacios Marítimos</w:t>
      </w:r>
    </w:p>
    <w:p w:rsidR="00EB1FCC" w:rsidRPr="00605DA9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605DA9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605DA9" w:rsidRDefault="00EB1FCC" w:rsidP="00FD632A">
      <w:pPr>
        <w:ind w:left="57"/>
        <w:rPr>
          <w:rFonts w:ascii="Arial" w:hAnsi="Arial" w:cs="Arial"/>
          <w:b/>
          <w:sz w:val="18"/>
        </w:rPr>
      </w:pPr>
      <w:r w:rsidRPr="00605DA9">
        <w:rPr>
          <w:rFonts w:ascii="Arial" w:hAnsi="Arial" w:cs="Arial"/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La evolución del Derecho del Mar. La III Conferencia de las Naciones Unidas Sobre El Derecho del Mar y la Convención de Jamaica de 1982.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Espacios Marítimos: Antecedentes. Determinación.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Aguas Interiores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Mar Territorial.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Zona Contigua.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Zona Económica Exclusiva.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Plataforma Continental.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Alta Mar.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Fondos Marinos y Oceánicos.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Estrechos utilizados para la navegación internacional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Islas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Estados archipelágicos y los archipiélagos de los Estados.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Protección y preservación del medio marino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investigación científica  marina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Solución de Controversias. Tribunal de Derecho del Mar.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Legislación Argentina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983558" w:rsidRDefault="00EB1FCC" w:rsidP="00FD632A">
      <w:pPr>
        <w:pStyle w:val="Ttulo2"/>
        <w:ind w:left="57"/>
        <w:jc w:val="left"/>
        <w:rPr>
          <w:bCs w:val="0"/>
          <w:color w:val="auto"/>
          <w:sz w:val="18"/>
        </w:rPr>
      </w:pPr>
      <w:r w:rsidRPr="00983558">
        <w:rPr>
          <w:bCs w:val="0"/>
          <w:color w:val="auto"/>
          <w:sz w:val="18"/>
        </w:rPr>
        <w:lastRenderedPageBreak/>
        <w:t>Unidad 10: Cursos de Aguas Internacionales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983558">
        <w:rPr>
          <w:rFonts w:ascii="Arial" w:hAnsi="Arial" w:cs="Arial"/>
          <w:b/>
          <w:sz w:val="18"/>
        </w:rPr>
        <w:t>Contenidos</w:t>
      </w:r>
      <w:r w:rsidRPr="00EB1FCC">
        <w:rPr>
          <w:rFonts w:ascii="Arial" w:hAnsi="Arial" w:cs="Arial"/>
          <w:sz w:val="18"/>
        </w:rPr>
        <w:t xml:space="preserve"> </w:t>
      </w:r>
      <w:r w:rsidRPr="00983558">
        <w:rPr>
          <w:rFonts w:ascii="Arial" w:hAnsi="Arial" w:cs="Arial"/>
          <w:b/>
          <w:sz w:val="18"/>
        </w:rPr>
        <w:t>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Definición de río internacional y de cuenca internacional. Cursos de aguas internacionales.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Principios de libre navegación.-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Otros usos de los ríos: Teorías sobre el aprovechamiento, normas sobre el aprovechamiento.-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Tratado del Río de la Plata y su frente marítimo.-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Tratado del Río Uruguay.-</w:t>
      </w:r>
      <w:r w:rsidRPr="00EB1FCC">
        <w:rPr>
          <w:rFonts w:ascii="Arial" w:hAnsi="Arial" w:cs="Arial"/>
          <w:sz w:val="18"/>
        </w:rPr>
        <w:br/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983558" w:rsidRDefault="00EB1FCC" w:rsidP="00FD632A">
      <w:pPr>
        <w:pStyle w:val="Ttulo2"/>
        <w:ind w:left="57"/>
        <w:jc w:val="left"/>
        <w:rPr>
          <w:bCs w:val="0"/>
          <w:color w:val="auto"/>
          <w:sz w:val="18"/>
          <w:lang w:val="es-MX"/>
        </w:rPr>
      </w:pPr>
      <w:r w:rsidRPr="00983558">
        <w:rPr>
          <w:bCs w:val="0"/>
          <w:color w:val="auto"/>
          <w:sz w:val="18"/>
          <w:lang w:val="es-MX"/>
        </w:rPr>
        <w:t>Unidad 12: Órganos de las Relaciones Exteriores del Estado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  <w:r w:rsidRPr="00983558">
        <w:rPr>
          <w:rFonts w:ascii="Arial" w:hAnsi="Arial" w:cs="Arial"/>
          <w:b/>
          <w:sz w:val="18"/>
          <w:lang w:val="es-MX"/>
        </w:rPr>
        <w:t>Contenidos Conceptuales</w:t>
      </w:r>
      <w:r w:rsidRPr="00EB1FCC">
        <w:rPr>
          <w:rFonts w:ascii="Arial" w:hAnsi="Arial" w:cs="Arial"/>
          <w:sz w:val="18"/>
          <w:lang w:val="es-MX"/>
        </w:rPr>
        <w:t>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Jefes de Estado y Jefes de Gobierno. Ministro de Relaciones Exteriores. Funciones. Inmunidades y Privilegios. Jurisprudencia-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Agentes diplomáticos. Convención de Viena sobre Relaciones Diplomáticas de 1961.  Diplomáticos: funciones, designación, clases. Inmunidades y  privilegios personales. Inmunidades y privilegios de la misión. Local de la misión. Obligaciones del Estado receptor y acreditante. Límite de Privilegios e inmunidades. Fin de la misión diplomática.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 Agentes consulares. Convención sobre Relaciones Consulares de 1963. Establecimiento de las relaciones consulares. Establecimiento de la oficina consular. Clasificación. Designación e investidura. Funciones. Inmunidades y privilegios. Fin de las funciones consulares.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Misiones especiales. La Convención sobre Misiones Especiales. Definición. Funciones. Privilegios e inmunidades.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983558" w:rsidRDefault="00EB1FCC" w:rsidP="00FD632A">
      <w:pPr>
        <w:pStyle w:val="Ttulo2"/>
        <w:ind w:left="57"/>
        <w:jc w:val="left"/>
        <w:rPr>
          <w:bCs w:val="0"/>
          <w:color w:val="auto"/>
          <w:sz w:val="18"/>
          <w:lang w:val="es-MX"/>
        </w:rPr>
      </w:pPr>
      <w:r w:rsidRPr="00983558">
        <w:rPr>
          <w:bCs w:val="0"/>
          <w:color w:val="auto"/>
          <w:sz w:val="18"/>
          <w:lang w:val="es-MX"/>
        </w:rPr>
        <w:t>Unidad 13: Población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  <w:r w:rsidRPr="00983558">
        <w:rPr>
          <w:rFonts w:ascii="Arial" w:hAnsi="Arial" w:cs="Arial"/>
          <w:b/>
          <w:sz w:val="18"/>
          <w:lang w:val="es-MX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pStyle w:val="Sangra3detindependiente"/>
        <w:ind w:left="57" w:firstLine="0"/>
        <w:jc w:val="left"/>
        <w:rPr>
          <w:rFonts w:ascii="Arial" w:hAnsi="Arial" w:cs="Arial"/>
          <w:sz w:val="18"/>
          <w:lang w:val="es-MX"/>
        </w:rPr>
      </w:pPr>
      <w:r w:rsidRPr="00EB1FCC">
        <w:rPr>
          <w:rFonts w:ascii="Arial" w:hAnsi="Arial" w:cs="Arial"/>
          <w:sz w:val="18"/>
          <w:lang w:val="es-MX"/>
        </w:rPr>
        <w:t xml:space="preserve">La Protección Diplomática. Requisitos. Trabajo en la Comisión de Derecho Internacional de Naciones Unidas.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nacionalidad de las personas físicas. Carácter del vínculo. Nacionalidad y Ciudadanía. Criterios para su otorgamiento. Legislación Argentina.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Doble y múltiple nacionalidad. Apatridia. Jurisprudencia-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Nacionalidad de las personas jurídicas. Jurisprudencia-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Derecho de extranjería.-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Asilo territorial y político. Jurisprudencia-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Renuncia a la protección diplomática y la cláusula calvo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Protección y asistencia consular. Diferencias con la protección diplomática.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983558" w:rsidRDefault="00EB1FCC" w:rsidP="00FD632A">
      <w:pPr>
        <w:pStyle w:val="Ttulo2"/>
        <w:ind w:left="57"/>
        <w:jc w:val="left"/>
        <w:rPr>
          <w:bCs w:val="0"/>
          <w:color w:val="auto"/>
          <w:sz w:val="18"/>
          <w:lang w:val="es-MX"/>
        </w:rPr>
      </w:pPr>
      <w:r w:rsidRPr="00983558">
        <w:rPr>
          <w:bCs w:val="0"/>
          <w:color w:val="auto"/>
          <w:sz w:val="18"/>
          <w:lang w:val="es-MX"/>
        </w:rPr>
        <w:t>Unidad 14: Responsabilidad Internacional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  <w:r w:rsidRPr="00983558">
        <w:rPr>
          <w:rFonts w:ascii="Arial" w:hAnsi="Arial" w:cs="Arial"/>
          <w:b/>
          <w:sz w:val="18"/>
          <w:lang w:val="es-MX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Responsabilidad Internacional por actos Ilícitos de los Estados. Trabajo en la Comisión de Derecho Internacional de Naciones Unidas. Resolución 56/83 del Año 2001 de Asamblea General de Naciones Unidas. 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lastRenderedPageBreak/>
        <w:t xml:space="preserve">Naturaleza de la Responsabilidad Internacional. Elementos de la responsabilidad internacional. Atribución. Actos ilícitos. Causas que excluyen la ilicitud del acto. Consecuencias jurídicas de la responsabilidad internacional. El deber de reparar y sus modalidades. Jurisprudencia.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  <w:r w:rsidRPr="00EB1FCC">
        <w:rPr>
          <w:rFonts w:ascii="Arial" w:hAnsi="Arial" w:cs="Arial"/>
          <w:sz w:val="18"/>
        </w:rPr>
        <w:t>Responsabilidad por actos ultra vires.-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  <w:r w:rsidRPr="00EB1FCC">
        <w:rPr>
          <w:rFonts w:ascii="Arial" w:hAnsi="Arial" w:cs="Arial"/>
          <w:sz w:val="18"/>
        </w:rPr>
        <w:t>Responsabilidad por actos lícitos.-</w:t>
      </w:r>
      <w:r w:rsidRPr="00EB1FCC">
        <w:rPr>
          <w:rFonts w:ascii="Arial" w:hAnsi="Arial" w:cs="Arial"/>
          <w:sz w:val="18"/>
        </w:rPr>
        <w:br/>
      </w:r>
    </w:p>
    <w:p w:rsidR="00EB1FCC" w:rsidRPr="00983558" w:rsidRDefault="00EB1FCC" w:rsidP="00FD632A">
      <w:pPr>
        <w:pStyle w:val="Ttulo2"/>
        <w:ind w:left="57"/>
        <w:jc w:val="left"/>
        <w:rPr>
          <w:bCs w:val="0"/>
          <w:color w:val="auto"/>
          <w:sz w:val="18"/>
          <w:lang w:val="es-MX"/>
        </w:rPr>
      </w:pPr>
      <w:r w:rsidRPr="00983558">
        <w:rPr>
          <w:bCs w:val="0"/>
          <w:color w:val="auto"/>
          <w:sz w:val="18"/>
          <w:lang w:val="es-MX"/>
        </w:rPr>
        <w:t>Unidad 15. Inmunidad del Estado Extranjero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983558" w:rsidRDefault="00EB1FCC" w:rsidP="00FD632A">
      <w:pPr>
        <w:pStyle w:val="Ttulo1"/>
        <w:spacing w:line="240" w:lineRule="auto"/>
        <w:ind w:left="57"/>
        <w:jc w:val="left"/>
        <w:rPr>
          <w:rFonts w:ascii="Arial" w:hAnsi="Arial" w:cs="Arial"/>
          <w:bCs w:val="0"/>
          <w:sz w:val="18"/>
          <w:lang w:val="es-MX"/>
        </w:rPr>
      </w:pPr>
      <w:r w:rsidRPr="00983558">
        <w:rPr>
          <w:rFonts w:ascii="Arial" w:hAnsi="Arial" w:cs="Arial"/>
          <w:bCs w:val="0"/>
          <w:sz w:val="18"/>
          <w:lang w:val="es-MX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pStyle w:val="Sangra3detindependiente"/>
        <w:ind w:left="57" w:firstLine="0"/>
        <w:jc w:val="left"/>
        <w:rPr>
          <w:rFonts w:ascii="Arial" w:hAnsi="Arial" w:cs="Arial"/>
          <w:sz w:val="18"/>
          <w:lang w:val="es-MX"/>
        </w:rPr>
      </w:pPr>
      <w:r w:rsidRPr="00EB1FCC">
        <w:rPr>
          <w:rFonts w:ascii="Arial" w:hAnsi="Arial" w:cs="Arial"/>
          <w:sz w:val="18"/>
          <w:lang w:val="es-MX"/>
        </w:rPr>
        <w:t>La Inmunidad del Estado Extranjero ante la jurisdicción de otro Estado. Trabajo en la Comisión de Derecho Internacional de la ONU. Inmunidad Absoluta e Inmunidad Relativa. Evolución.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  <w:r w:rsidRPr="00EB1FCC">
        <w:rPr>
          <w:rFonts w:ascii="Arial" w:hAnsi="Arial" w:cs="Arial"/>
          <w:sz w:val="18"/>
          <w:lang w:val="es-MX"/>
        </w:rPr>
        <w:t xml:space="preserve">Inmunidad de Ejecución.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  <w:r w:rsidRPr="00EB1FCC">
        <w:rPr>
          <w:rFonts w:ascii="Arial" w:hAnsi="Arial" w:cs="Arial"/>
          <w:sz w:val="18"/>
          <w:lang w:val="es-MX"/>
        </w:rPr>
        <w:t xml:space="preserve">La Argentina y la Ley 24.448. El Decreto 849/95. Jurisprudencia: Casos Manauta, Juan c/ Embajada Federación Rusa (CSJN 22-12-1994) ; y otros.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983558" w:rsidRDefault="00EB1FCC" w:rsidP="00FD632A">
      <w:pPr>
        <w:pStyle w:val="Ttulo2"/>
        <w:ind w:left="57"/>
        <w:jc w:val="left"/>
        <w:rPr>
          <w:bCs w:val="0"/>
          <w:color w:val="auto"/>
          <w:sz w:val="18"/>
          <w:lang w:val="es-MX"/>
        </w:rPr>
      </w:pPr>
      <w:r w:rsidRPr="00983558">
        <w:rPr>
          <w:bCs w:val="0"/>
          <w:color w:val="auto"/>
          <w:sz w:val="18"/>
          <w:lang w:val="es-MX"/>
        </w:rPr>
        <w:t>Unidad 16. La Comunidad Internacional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  <w:lang w:val="es-MX"/>
        </w:rPr>
      </w:pPr>
      <w:r w:rsidRPr="00983558">
        <w:rPr>
          <w:rFonts w:ascii="Arial" w:hAnsi="Arial" w:cs="Arial"/>
          <w:b/>
          <w:sz w:val="18"/>
          <w:lang w:val="es-MX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  <w:lang w:val="es-MX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Sociedad de las naciones. Origen. Órganos. Caracteres. Causas de su fracaso.-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Organización de las Naciones Unidas: Origen. Antecedentes. Propósitos y Principios. Admisión. Opinión Consultiva de la Corte Internacional de Justicia sobre admisión de nuevos miembros. Suspensión y expulsión de miembros.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Órganos de la ONU: Asamblea General, Consejo de Seguridad, Consejo Económico y Social, Consejo de Administración Fiduciaria, Secretaría General, Corte Internacional de Justicia. Composición, funciones, votación.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Organismos especializados de la ONU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  <w:r w:rsidRPr="00983558">
        <w:rPr>
          <w:rFonts w:ascii="Arial" w:hAnsi="Arial" w:cs="Arial"/>
          <w:b/>
          <w:sz w:val="18"/>
        </w:rPr>
        <w:t>Unidad 17. Principios que rigen la Comunidad Internacional (I)</w:t>
      </w:r>
    </w:p>
    <w:p w:rsidR="00EB1FCC" w:rsidRPr="00983558" w:rsidRDefault="00EB1FCC" w:rsidP="00FD632A">
      <w:pPr>
        <w:pStyle w:val="Ttulo2"/>
        <w:ind w:left="57"/>
        <w:jc w:val="left"/>
        <w:rPr>
          <w:bCs w:val="0"/>
          <w:color w:val="auto"/>
          <w:sz w:val="18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  <w:r w:rsidRPr="00983558">
        <w:rPr>
          <w:rFonts w:ascii="Arial" w:hAnsi="Arial" w:cs="Arial"/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Métodos de solución pacífica de controversias: Resolución 2625 y capítulo VI de la carta de la O.N.U., definición y características de los mismos. Funciones de la asamblea general y consejo de seguridad.-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seguridad colectiva. Capítulo VII de la carta de la O.N.U.-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Legítima defensa individual y colectiva. Concepto de retorsión y represalia. Alianzas defensivas.-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Capítulo VIII de la carta de la O.N.U. Acuerdos regionales.-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  <w:r w:rsidRPr="00983558">
        <w:rPr>
          <w:rFonts w:ascii="Arial" w:hAnsi="Arial" w:cs="Arial"/>
          <w:b/>
          <w:sz w:val="18"/>
        </w:rPr>
        <w:t>Unidad 18. Principios que rigen la Comunidad Internacional (II)</w:t>
      </w: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983558" w:rsidRDefault="00EB1FCC" w:rsidP="00FD632A">
      <w:pPr>
        <w:ind w:left="57"/>
        <w:rPr>
          <w:rFonts w:ascii="Arial" w:hAnsi="Arial" w:cs="Arial"/>
          <w:b/>
          <w:sz w:val="18"/>
        </w:rPr>
      </w:pPr>
      <w:r w:rsidRPr="00983558">
        <w:rPr>
          <w:rFonts w:ascii="Arial" w:hAnsi="Arial" w:cs="Arial"/>
          <w:b/>
          <w:sz w:val="18"/>
        </w:rPr>
        <w:t>Contenidos Conceptuales</w:t>
      </w:r>
    </w:p>
    <w:p w:rsidR="00EB1FCC" w:rsidRPr="00EB1FCC" w:rsidRDefault="00EB1FCC" w:rsidP="00FD632A">
      <w:pPr>
        <w:pStyle w:val="Piedepgina"/>
        <w:tabs>
          <w:tab w:val="clear" w:pos="4419"/>
          <w:tab w:val="clear" w:pos="8838"/>
        </w:tabs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Libre determinación de los pueblos: El principio de la resolución 2625. La descolonización: Evolución histórica, sistema de mandatos, sistema de administración fiduciaria, la declaración relativa a Territorios No Autónomos.-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Principio de No Intervención: Antecedentes. Doctrinas Monroe, Irigoyen, Calvo, Drago y Pueyrredón. Carta de la O.N.U. Resolución 2131/XX.-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lastRenderedPageBreak/>
        <w:t>Principio de Abstención del Uso de la Fuerza: Evolución, legitimidad, moratoria, Pacto Briand-Kellog, proscripción.-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Principio de Buena Fe.-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Principio de Cooperación. Organismos Especializados y Conferencias Especializadas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pStyle w:val="Piedepgina"/>
        <w:tabs>
          <w:tab w:val="clear" w:pos="4419"/>
          <w:tab w:val="clear" w:pos="8838"/>
        </w:tabs>
        <w:ind w:left="57"/>
        <w:rPr>
          <w:rFonts w:ascii="Arial" w:hAnsi="Arial" w:cs="Arial"/>
          <w:sz w:val="18"/>
        </w:rPr>
      </w:pPr>
    </w:p>
    <w:p w:rsidR="00EB1FCC" w:rsidRPr="00983558" w:rsidRDefault="00EB1FCC" w:rsidP="00FD632A">
      <w:pPr>
        <w:pStyle w:val="Ttulo9"/>
        <w:spacing w:before="0"/>
        <w:ind w:left="57"/>
        <w:rPr>
          <w:b/>
          <w:sz w:val="18"/>
        </w:rPr>
      </w:pPr>
      <w:r w:rsidRPr="00983558">
        <w:rPr>
          <w:b/>
          <w:sz w:val="18"/>
        </w:rPr>
        <w:t>Unidad 19. El Derecho Internacional de los Derechos Humanos. El Derecho Internacional Humanitario. El Derecho Internacional Penal</w:t>
      </w:r>
    </w:p>
    <w:p w:rsidR="00EB1FCC" w:rsidRPr="00983558" w:rsidRDefault="00EB1FCC" w:rsidP="00FD632A">
      <w:pPr>
        <w:pStyle w:val="Textoindependiente2"/>
        <w:ind w:left="57"/>
        <w:jc w:val="left"/>
        <w:rPr>
          <w:b/>
          <w:color w:val="auto"/>
          <w:sz w:val="18"/>
        </w:rPr>
      </w:pPr>
    </w:p>
    <w:p w:rsidR="00EB1FCC" w:rsidRPr="00983558" w:rsidRDefault="00F7226B" w:rsidP="00FD632A">
      <w:pPr>
        <w:pStyle w:val="Textoindependiente2"/>
        <w:ind w:left="57"/>
        <w:jc w:val="left"/>
        <w:rPr>
          <w:b/>
          <w:color w:val="auto"/>
          <w:sz w:val="18"/>
        </w:rPr>
      </w:pPr>
      <w:r>
        <w:rPr>
          <w:color w:val="auto"/>
          <w:sz w:val="18"/>
        </w:rPr>
        <w:t xml:space="preserve">       </w:t>
      </w:r>
      <w:r w:rsidR="00EB1FCC" w:rsidRPr="00983558">
        <w:rPr>
          <w:b/>
          <w:color w:val="auto"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Personalidad jurídica internacional del individuo. Responsabilidad Internacional del Individuo-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Protección internacional de los derechos humanos en los ámbitos universal y americano.-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Derecho Internacional Humanitario: Concepto, evolución, convenciones.-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Derecho Internacional Penal y Derecho Penal Internacional. Concepto y contenido. Diferencias.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Corte Penal Internacional. Tribunal Internacional de la Ex Yugoslavia, Tribunal Internacional de Ruanda. Composición, competencia, procedimiento. Jurisprudencia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Extradición.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F7226B" w:rsidRDefault="00F7226B" w:rsidP="00FD632A">
      <w:pPr>
        <w:ind w:left="57"/>
        <w:rPr>
          <w:rFonts w:ascii="Arial" w:hAnsi="Arial" w:cs="Arial"/>
          <w:sz w:val="18"/>
        </w:rPr>
      </w:pPr>
    </w:p>
    <w:p w:rsidR="00EB1FCC" w:rsidRPr="00F7226B" w:rsidRDefault="00EB1FCC" w:rsidP="00841875">
      <w:pPr>
        <w:pStyle w:val="Ttulo9"/>
        <w:spacing w:before="0"/>
        <w:rPr>
          <w:b/>
          <w:sz w:val="18"/>
        </w:rPr>
      </w:pPr>
      <w:r w:rsidRPr="00F7226B">
        <w:rPr>
          <w:b/>
          <w:sz w:val="18"/>
        </w:rPr>
        <w:t>Unidad 20. Derecho Internacional del Ambiente</w:t>
      </w: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Naturaleza y objetivos del Derecho Internacional del Ambiente. 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Rol de los Estados, Organizaciones Internacionales, y los actores no estatales (organizaciones no gubernamentales y empresas) en su formulación e implementación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Costumbre Internacional y principios generales del derecho aplicables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Conferencia de Naciones Unidas sobre Ambiente y Desarrollo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Convención sobre Cambio Climático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Convención de Protección de la Diversidad Biológica de las Naciones Unidas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La Declaración de Río  y la Agenda 21.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Protocolo de Kyoto y la Evolución posterior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Cumbres de Cambio Climático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Convención sobre el Comercio Internacional de Especies Amenazadas de Fauna y Flora Silvestres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Convención sobre el Control de Movimientos Transfronterizos de los Desechos Peligrosos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Protección de la Capa de Ozono.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Ambiente y Responsabilidad Internaconal.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Organización Mundial del Comercio y ambiente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Procesos de integración y ambiente. Jurisprudencia.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Análisis  de jurisprudencia: Trail Smelter, Caso del Lago Lanoux, Opinión Consultivas de la Corte Internacional de Justicia sobre Legalidad de la amenaza o uso de armas nucleares, Caso Gabcykobo- Nagymaros, etc.  </w:t>
      </w:r>
    </w:p>
    <w:p w:rsidR="00EB1FCC" w:rsidRPr="00EB1FCC" w:rsidRDefault="00EB1FCC" w:rsidP="00FD632A">
      <w:pPr>
        <w:pStyle w:val="Ttulo9"/>
        <w:spacing w:before="0"/>
        <w:ind w:left="57"/>
        <w:rPr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t>Unidad 21. Derecho Internacional Económico</w:t>
      </w: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605DA9" w:rsidP="00605DA9">
      <w:pPr>
        <w:pStyle w:val="Ttulo9"/>
        <w:spacing w:before="0"/>
        <w:rPr>
          <w:b/>
          <w:sz w:val="18"/>
        </w:rPr>
      </w:pPr>
      <w:r>
        <w:rPr>
          <w:b/>
          <w:sz w:val="18"/>
          <w:szCs w:val="24"/>
        </w:rPr>
        <w:t xml:space="preserve"> </w:t>
      </w:r>
      <w:r w:rsidR="00F7226B" w:rsidRPr="00F7226B">
        <w:rPr>
          <w:b/>
          <w:sz w:val="18"/>
          <w:szCs w:val="24"/>
        </w:rPr>
        <w:t xml:space="preserve"> </w:t>
      </w:r>
      <w:r w:rsidR="00EB1FCC" w:rsidRPr="00F7226B">
        <w:rPr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 Sistema de Breton Woods. El GATT. El Fondo Monetario Internacional. Banco Mundial y el CIADI</w:t>
      </w:r>
    </w:p>
    <w:p w:rsidR="00EB1FCC" w:rsidRPr="00EB1FCC" w:rsidRDefault="00EB1FCC" w:rsidP="00FD632A">
      <w:pPr>
        <w:pStyle w:val="Textoindependiente"/>
        <w:spacing w:line="240" w:lineRule="auto"/>
        <w:ind w:left="57"/>
        <w:jc w:val="left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Organización Mundial de Comercio. Acuerdos. Aspectos Institucionales. Solución de Controversias.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Expropiación y compensación. Expropiación y aspectos contractuales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 derecho al desarrollo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lastRenderedPageBreak/>
        <w:t>Unidad 22. Derecho de la Integración</w:t>
      </w: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Derecho de la Integración. Concepto. Etapas de la integración. Normas primarias y secundarias. Fuentes.-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Europa. Desde el Tratado de París de 1951 y los Tratados de Roma de 1957 a la Constitución Europea. Derecho Originario y derivado. Supremacía del Derecho Comunitario y efecto directo. Instituciones. Solución de Controversias.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ALADI. Antedecentes. Objetivos. Principios. Mecanismos.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 MERCOSUR. Antecedentes. Tratados. Órganos. Solución de Controversias. Jurisprudencia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Comunidad Andina de Naciones. Antecedentes. Instituciones. Solución de Controversias. Argentina y el Artículo 75 Inc. 24 de la Constitución Nacional.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NAFTA. Antecedentes. Aspectos Institucionales. Solución de Controversias.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Asociación de Libre Comercio de las Américas (ALCA). </w:t>
      </w:r>
    </w:p>
    <w:p w:rsidR="00EB1FCC" w:rsidRPr="00841875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  <w:r w:rsidRPr="00F7226B">
        <w:rPr>
          <w:rFonts w:ascii="Arial" w:hAnsi="Arial" w:cs="Arial"/>
          <w:b/>
          <w:sz w:val="18"/>
        </w:rPr>
        <w:t>Segunda Parte: Derecho Internacional Privado</w:t>
      </w: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FB301C" w:rsidP="00FD632A">
      <w:pPr>
        <w:ind w:left="57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Unidad 23</w:t>
      </w:r>
      <w:r w:rsidR="00EB1FCC" w:rsidRPr="00F7226B">
        <w:rPr>
          <w:rFonts w:ascii="Arial" w:hAnsi="Arial" w:cs="Arial"/>
          <w:b/>
          <w:sz w:val="18"/>
        </w:rPr>
        <w:t xml:space="preserve">. </w:t>
      </w: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841875" w:rsidP="00841875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</w:t>
      </w:r>
      <w:r w:rsidR="00EB1FCC" w:rsidRPr="00EB1FCC">
        <w:rPr>
          <w:rFonts w:ascii="Arial" w:hAnsi="Arial" w:cs="Arial"/>
          <w:sz w:val="18"/>
        </w:rPr>
        <w:t>Concepto, nombre. Contenido. Ámbito. Autonomía.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Estructura de la norma.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 xml:space="preserve">Fuente. 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Los problemas del Derecho internacional privado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Jurisdicción Internacional Argentina</w:t>
      </w:r>
    </w:p>
    <w:p w:rsidR="00F7226B" w:rsidRDefault="00F7226B" w:rsidP="00FD632A">
      <w:pPr>
        <w:pStyle w:val="Ttulo6"/>
        <w:spacing w:before="0"/>
        <w:ind w:left="57"/>
        <w:rPr>
          <w:rFonts w:ascii="Arial" w:hAnsi="Arial" w:cs="Arial"/>
          <w:b w:val="0"/>
          <w:bCs w:val="0"/>
          <w:sz w:val="18"/>
          <w:szCs w:val="24"/>
        </w:rPr>
      </w:pPr>
    </w:p>
    <w:p w:rsidR="00EB1FCC" w:rsidRPr="00F7226B" w:rsidRDefault="00FB301C" w:rsidP="00FD632A">
      <w:pPr>
        <w:pStyle w:val="Encabezado"/>
        <w:ind w:left="57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Unidad 24</w:t>
      </w:r>
      <w:r w:rsidR="00EB1FCC" w:rsidRPr="00F7226B">
        <w:rPr>
          <w:rFonts w:ascii="Arial" w:hAnsi="Arial" w:cs="Arial"/>
          <w:b/>
          <w:sz w:val="18"/>
        </w:rPr>
        <w:t>: Personas físicas</w:t>
      </w:r>
    </w:p>
    <w:p w:rsidR="00FD632A" w:rsidRDefault="00FD632A" w:rsidP="00FD632A">
      <w:pPr>
        <w:pStyle w:val="Ttulo9"/>
        <w:spacing w:before="0"/>
        <w:ind w:left="57"/>
        <w:rPr>
          <w:b/>
          <w:sz w:val="18"/>
        </w:rPr>
      </w:pPr>
    </w:p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t>Contenidos Conceptuales</w:t>
      </w:r>
    </w:p>
    <w:p w:rsidR="00EB1FCC" w:rsidRPr="00EB1FCC" w:rsidRDefault="00EB1FCC" w:rsidP="00FD632A">
      <w:pPr>
        <w:pStyle w:val="Encabezado"/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tabs>
          <w:tab w:val="num" w:pos="1080"/>
        </w:tabs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Estatuto personal</w:t>
      </w:r>
    </w:p>
    <w:p w:rsidR="00EB1FCC" w:rsidRPr="00EB1FCC" w:rsidRDefault="00EB1FCC" w:rsidP="00FD632A">
      <w:pPr>
        <w:tabs>
          <w:tab w:val="num" w:pos="1080"/>
        </w:tabs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 domicilio</w:t>
      </w:r>
    </w:p>
    <w:p w:rsidR="00EB1FCC" w:rsidRPr="00EB1FCC" w:rsidRDefault="00EB1FCC" w:rsidP="00FD632A">
      <w:pPr>
        <w:tabs>
          <w:tab w:val="num" w:pos="1080"/>
        </w:tabs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nacionalidad</w:t>
      </w:r>
    </w:p>
    <w:p w:rsidR="00EB1FCC" w:rsidRPr="00EB1FCC" w:rsidRDefault="00EB1FCC" w:rsidP="00FD632A">
      <w:pPr>
        <w:tabs>
          <w:tab w:val="num" w:pos="1080"/>
        </w:tabs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La residencia habitual</w:t>
      </w:r>
    </w:p>
    <w:p w:rsidR="00EB1FCC" w:rsidRPr="00EB1FCC" w:rsidRDefault="00EB1FCC" w:rsidP="00FD632A">
      <w:pPr>
        <w:tabs>
          <w:tab w:val="num" w:pos="1080"/>
        </w:tabs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Soluciones legislativas</w:t>
      </w:r>
    </w:p>
    <w:p w:rsidR="00EB1FCC" w:rsidRPr="00EB1FCC" w:rsidRDefault="00EB1FCC" w:rsidP="00FD632A">
      <w:pPr>
        <w:tabs>
          <w:tab w:val="num" w:pos="1080"/>
        </w:tabs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Ley aplicable a las personas físicas</w:t>
      </w:r>
    </w:p>
    <w:p w:rsidR="00EB1FCC" w:rsidRPr="00EB1FCC" w:rsidRDefault="00EB1FCC" w:rsidP="00FD632A">
      <w:pPr>
        <w:tabs>
          <w:tab w:val="num" w:pos="1080"/>
        </w:tabs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Soluciones legislativas.</w:t>
      </w:r>
    </w:p>
    <w:p w:rsidR="00EB1FCC" w:rsidRPr="00EB1FCC" w:rsidRDefault="00EB1FCC" w:rsidP="00FD632A">
      <w:pPr>
        <w:pStyle w:val="Ttulo6"/>
        <w:spacing w:before="0"/>
        <w:ind w:left="57"/>
        <w:rPr>
          <w:rFonts w:ascii="Arial" w:hAnsi="Arial"/>
          <w:b w:val="0"/>
          <w:bCs w:val="0"/>
          <w:sz w:val="18"/>
        </w:rPr>
      </w:pPr>
    </w:p>
    <w:p w:rsidR="00EB1FCC" w:rsidRPr="00F7226B" w:rsidRDefault="00FB301C" w:rsidP="00FD632A">
      <w:pPr>
        <w:pStyle w:val="Ttulo2"/>
        <w:ind w:left="57"/>
        <w:jc w:val="left"/>
        <w:rPr>
          <w:bCs w:val="0"/>
          <w:color w:val="auto"/>
          <w:sz w:val="18"/>
        </w:rPr>
      </w:pPr>
      <w:r>
        <w:rPr>
          <w:bCs w:val="0"/>
          <w:color w:val="auto"/>
          <w:sz w:val="18"/>
        </w:rPr>
        <w:t>Unidad 25</w:t>
      </w:r>
      <w:r w:rsidR="00EB1FCC" w:rsidRPr="00F7226B">
        <w:rPr>
          <w:bCs w:val="0"/>
          <w:color w:val="auto"/>
          <w:sz w:val="18"/>
        </w:rPr>
        <w:t xml:space="preserve"> Personas jurídicas</w:t>
      </w:r>
    </w:p>
    <w:p w:rsidR="00EB1FCC" w:rsidRPr="00F7226B" w:rsidRDefault="00EB1FCC" w:rsidP="00FD632A">
      <w:pPr>
        <w:ind w:left="57"/>
        <w:rPr>
          <w:rFonts w:ascii="Arial" w:hAnsi="Arial" w:cs="Arial"/>
          <w:b/>
          <w:sz w:val="18"/>
        </w:rPr>
      </w:pPr>
    </w:p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creación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personas jurídicas privadas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Nacionalidad, domicilio o residencia de las personas jurídicas.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Reconocimiento extraterritorial de la actuación societaria.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Alcances del reconocimiento de la extraterritorialidad.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Estatuto de empresas binacionales argentino – brasileñas.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lastRenderedPageBreak/>
        <w:t>Ley aplicable al control societario.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F7226B" w:rsidRDefault="00F7226B" w:rsidP="00FD632A">
      <w:pPr>
        <w:ind w:left="57"/>
        <w:rPr>
          <w:rFonts w:ascii="Arial" w:hAnsi="Arial" w:cs="Arial"/>
          <w:sz w:val="18"/>
        </w:rPr>
      </w:pPr>
    </w:p>
    <w:p w:rsidR="00FD632A" w:rsidRPr="00EB1FCC" w:rsidRDefault="00FD632A" w:rsidP="00FD632A">
      <w:pPr>
        <w:ind w:left="57"/>
        <w:rPr>
          <w:rFonts w:ascii="Arial" w:hAnsi="Arial" w:cs="Arial"/>
          <w:sz w:val="18"/>
        </w:rPr>
      </w:pPr>
    </w:p>
    <w:p w:rsidR="00EB1FCC" w:rsidRDefault="00FB301C" w:rsidP="00FD632A">
      <w:pPr>
        <w:pStyle w:val="Ttulo2"/>
        <w:ind w:left="57"/>
        <w:jc w:val="left"/>
        <w:rPr>
          <w:bCs w:val="0"/>
          <w:color w:val="auto"/>
          <w:sz w:val="18"/>
        </w:rPr>
      </w:pPr>
      <w:r>
        <w:rPr>
          <w:bCs w:val="0"/>
          <w:color w:val="auto"/>
          <w:sz w:val="18"/>
        </w:rPr>
        <w:t>Unidad 26</w:t>
      </w:r>
      <w:r w:rsidR="00EB1FCC" w:rsidRPr="00F7226B">
        <w:rPr>
          <w:bCs w:val="0"/>
          <w:color w:val="auto"/>
          <w:sz w:val="18"/>
        </w:rPr>
        <w:t xml:space="preserve"> Contratos Internacionales</w:t>
      </w:r>
    </w:p>
    <w:p w:rsidR="00FD632A" w:rsidRPr="00FD632A" w:rsidRDefault="00FD632A" w:rsidP="00FD632A"/>
    <w:p w:rsidR="00EB1FCC" w:rsidRPr="00F7226B" w:rsidRDefault="00EB1FCC" w:rsidP="00FD632A">
      <w:pPr>
        <w:pStyle w:val="Ttulo9"/>
        <w:spacing w:before="0"/>
        <w:ind w:left="57"/>
        <w:rPr>
          <w:b/>
          <w:sz w:val="18"/>
        </w:rPr>
      </w:pPr>
      <w:r w:rsidRPr="00F7226B">
        <w:rPr>
          <w:b/>
          <w:sz w:val="18"/>
        </w:rPr>
        <w:t>Contenidos Conceptuales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Contrato Internacional. Concepto.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Autonomía de la voluntad.</w:t>
      </w:r>
    </w:p>
    <w:p w:rsidR="00EB1FCC" w:rsidRPr="00EB1FCC" w:rsidRDefault="00EB1FCC" w:rsidP="00FD632A">
      <w:pPr>
        <w:ind w:left="57"/>
        <w:rPr>
          <w:rFonts w:ascii="Arial" w:hAnsi="Arial" w:cs="Arial"/>
          <w:sz w:val="18"/>
        </w:rPr>
      </w:pPr>
      <w:r w:rsidRPr="00EB1FCC">
        <w:rPr>
          <w:rFonts w:ascii="Arial" w:hAnsi="Arial" w:cs="Arial"/>
          <w:sz w:val="18"/>
        </w:rPr>
        <w:t>Elección permitida.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Elección real o hipotética.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La prestación característica</w:t>
      </w:r>
      <w:r w:rsidR="00FD632A">
        <w:rPr>
          <w:rFonts w:ascii="Arial" w:hAnsi="Arial" w:cs="Arial"/>
          <w:sz w:val="18"/>
        </w:rPr>
        <w:t xml:space="preserve">. </w:t>
      </w:r>
      <w:r w:rsidRPr="00EB1FCC">
        <w:rPr>
          <w:rFonts w:ascii="Arial" w:hAnsi="Arial" w:cs="Arial"/>
          <w:sz w:val="18"/>
        </w:rPr>
        <w:t>Tratado de Montevideo</w:t>
      </w:r>
      <w:r w:rsidR="00FD632A">
        <w:rPr>
          <w:rFonts w:ascii="Arial" w:hAnsi="Arial" w:cs="Arial"/>
          <w:sz w:val="18"/>
        </w:rPr>
        <w:t xml:space="preserve">. </w:t>
      </w:r>
      <w:r w:rsidRPr="00EB1FCC">
        <w:rPr>
          <w:rFonts w:ascii="Arial" w:hAnsi="Arial" w:cs="Arial"/>
          <w:sz w:val="18"/>
        </w:rPr>
        <w:t>Derecho Argentino</w:t>
      </w:r>
      <w:r w:rsidR="00FD632A">
        <w:rPr>
          <w:rFonts w:ascii="Arial" w:hAnsi="Arial" w:cs="Arial"/>
          <w:sz w:val="18"/>
        </w:rPr>
        <w:t xml:space="preserve">. </w:t>
      </w:r>
      <w:r w:rsidRPr="00EB1FCC">
        <w:rPr>
          <w:rFonts w:ascii="Arial" w:hAnsi="Arial" w:cs="Arial"/>
          <w:sz w:val="18"/>
        </w:rPr>
        <w:t>Derecho Extranjero</w:t>
      </w:r>
      <w:r w:rsidR="00FD632A">
        <w:rPr>
          <w:rFonts w:ascii="Arial" w:hAnsi="Arial" w:cs="Arial"/>
          <w:sz w:val="18"/>
        </w:rPr>
        <w:t xml:space="preserve">. </w:t>
      </w:r>
      <w:r w:rsidRPr="00EB1FCC">
        <w:rPr>
          <w:rFonts w:ascii="Arial" w:hAnsi="Arial" w:cs="Arial"/>
          <w:sz w:val="18"/>
        </w:rPr>
        <w:t>Orden Público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Favor negotti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Compraventa Internacional: Autonomía de la voluntad.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Perfeccionamiento del contrato</w:t>
      </w:r>
      <w:r w:rsidR="00FD632A">
        <w:rPr>
          <w:rFonts w:ascii="Arial" w:hAnsi="Arial" w:cs="Arial"/>
          <w:sz w:val="18"/>
        </w:rPr>
        <w:t xml:space="preserve">. </w:t>
      </w:r>
      <w:r w:rsidRPr="00EB1FCC">
        <w:rPr>
          <w:rFonts w:ascii="Arial" w:hAnsi="Arial" w:cs="Arial"/>
          <w:sz w:val="18"/>
        </w:rPr>
        <w:t>Modificación</w:t>
      </w:r>
      <w:r w:rsidR="00FD632A">
        <w:rPr>
          <w:rFonts w:ascii="Arial" w:hAnsi="Arial" w:cs="Arial"/>
          <w:sz w:val="18"/>
        </w:rPr>
        <w:t xml:space="preserve">. </w:t>
      </w:r>
      <w:r w:rsidRPr="00EB1FCC">
        <w:rPr>
          <w:rFonts w:ascii="Arial" w:hAnsi="Arial" w:cs="Arial"/>
          <w:sz w:val="18"/>
        </w:rPr>
        <w:t>La prestación característica</w:t>
      </w:r>
      <w:r w:rsidR="00FD632A">
        <w:rPr>
          <w:rFonts w:ascii="Arial" w:hAnsi="Arial" w:cs="Arial"/>
          <w:sz w:val="18"/>
        </w:rPr>
        <w:t xml:space="preserve">. </w:t>
      </w:r>
      <w:r w:rsidRPr="00EB1FCC">
        <w:rPr>
          <w:rFonts w:ascii="Arial" w:hAnsi="Arial" w:cs="Arial"/>
          <w:sz w:val="18"/>
        </w:rPr>
        <w:t>Contrato de Transporte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calificación.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Riesgo del transporte.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 xml:space="preserve">Contrato de </w:t>
      </w:r>
      <w:r w:rsidR="00FD632A" w:rsidRPr="00EB1FCC">
        <w:rPr>
          <w:rFonts w:ascii="Arial" w:hAnsi="Arial" w:cs="Arial"/>
          <w:sz w:val="18"/>
        </w:rPr>
        <w:t>Intermediación contrato</w:t>
      </w:r>
      <w:r w:rsidRPr="00EB1FCC">
        <w:rPr>
          <w:rFonts w:ascii="Arial" w:hAnsi="Arial" w:cs="Arial"/>
          <w:sz w:val="18"/>
        </w:rPr>
        <w:t xml:space="preserve"> de Trabajo</w:t>
      </w:r>
      <w:r w:rsidR="00FD632A">
        <w:rPr>
          <w:rFonts w:ascii="Arial" w:hAnsi="Arial" w:cs="Arial"/>
          <w:sz w:val="18"/>
        </w:rPr>
        <w:t xml:space="preserve"> </w:t>
      </w:r>
      <w:r w:rsidRPr="00EB1FCC">
        <w:rPr>
          <w:rFonts w:ascii="Arial" w:hAnsi="Arial" w:cs="Arial"/>
          <w:sz w:val="18"/>
        </w:rPr>
        <w:t>elección de las partes del contrato aplicable.“ius variandi” internacional. Contrato nulo según la ley aplicable.</w:t>
      </w:r>
    </w:p>
    <w:p w:rsidR="00EB1FCC" w:rsidRPr="00EB1FCC" w:rsidRDefault="00EB1FCC" w:rsidP="00F7226B">
      <w:pPr>
        <w:rPr>
          <w:rFonts w:ascii="Arial" w:hAnsi="Arial" w:cs="Arial"/>
          <w:sz w:val="18"/>
        </w:rPr>
      </w:pPr>
    </w:p>
    <w:p w:rsidR="00F7226B" w:rsidRDefault="00F7226B" w:rsidP="00F7226B">
      <w:pPr>
        <w:jc w:val="both"/>
        <w:rPr>
          <w:rFonts w:ascii="Arial" w:hAnsi="Arial" w:cs="Arial"/>
          <w:b/>
          <w:bCs/>
          <w:sz w:val="18"/>
        </w:rPr>
      </w:pPr>
    </w:p>
    <w:p w:rsidR="00841875" w:rsidRDefault="00841875">
      <w:pPr>
        <w:jc w:val="both"/>
        <w:rPr>
          <w:rFonts w:ascii="Arial" w:hAnsi="Arial" w:cs="Arial"/>
          <w:b/>
          <w:bCs/>
          <w:sz w:val="18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Contenidos procedimentales</w:t>
      </w:r>
      <w:r w:rsidR="004C3AE4">
        <w:rPr>
          <w:rFonts w:ascii="Arial" w:hAnsi="Arial" w:cs="Arial"/>
          <w:b/>
          <w:bCs/>
          <w:sz w:val="18"/>
        </w:rPr>
        <w:t xml:space="preserve">: </w:t>
      </w:r>
    </w:p>
    <w:p w:rsidR="004C3AE4" w:rsidRDefault="004C3AE4" w:rsidP="004C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Resolución de casos prácticos</w:t>
      </w:r>
    </w:p>
    <w:p w:rsidR="004C3AE4" w:rsidRDefault="004C3AE4" w:rsidP="004C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Análisis de los proyectos de reforma legislativa y de tendencias internacionales.</w:t>
      </w:r>
    </w:p>
    <w:p w:rsidR="004C3AE4" w:rsidRDefault="004C3AE4" w:rsidP="004C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Lectura, análisis y aplicación de la legislación vigente pertinente.</w:t>
      </w:r>
    </w:p>
    <w:p w:rsidR="005B0BF8" w:rsidRDefault="004C3AE4" w:rsidP="004C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/>
          <w:sz w:val="18"/>
        </w:rPr>
        <w:t>Interpretación y fundamentación de diferentes teorías doctrinarias.</w:t>
      </w:r>
    </w:p>
    <w:p w:rsidR="005B0BF8" w:rsidRDefault="005B0BF8">
      <w:pPr>
        <w:jc w:val="both"/>
        <w:rPr>
          <w:rFonts w:ascii="Arial" w:hAnsi="Arial" w:cs="Arial"/>
          <w:b/>
          <w:bCs/>
          <w:sz w:val="18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Contenidos actitudinales</w:t>
      </w:r>
    </w:p>
    <w:p w:rsidR="005B0BF8" w:rsidRDefault="005B0BF8">
      <w:pPr>
        <w:jc w:val="both"/>
        <w:rPr>
          <w:rFonts w:ascii="Arial" w:hAnsi="Arial" w:cs="Arial"/>
          <w:b/>
          <w:bCs/>
          <w:sz w:val="18"/>
        </w:rPr>
      </w:pPr>
    </w:p>
    <w:p w:rsidR="005B0BF8" w:rsidRDefault="005B0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  <w:sz w:val="18"/>
          <w:u w:val="single"/>
        </w:rPr>
      </w:pPr>
    </w:p>
    <w:p w:rsidR="004C3AE4" w:rsidRPr="004C3AE4" w:rsidRDefault="004C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 w:rsidRPr="004C3AE4">
        <w:rPr>
          <w:rFonts w:ascii="Arial" w:hAnsi="Arial"/>
          <w:sz w:val="18"/>
        </w:rPr>
        <w:t>Apliquen los conocimientos teóricos a la resolución de casos concretos de la realidad profesional, incluyendo el análisis y elaboración de documentos, textos normativos, fallos, dictámenes, pliegos, contratos, etc.</w:t>
      </w:r>
    </w:p>
    <w:p w:rsidR="005B0BF8" w:rsidRPr="004C3AE4" w:rsidRDefault="004C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 w:rsidRPr="004C3AE4">
        <w:rPr>
          <w:rFonts w:ascii="Arial" w:hAnsi="Arial"/>
          <w:sz w:val="18"/>
        </w:rPr>
        <w:t>Participen mediante técnicas de trabajo grupal o en equipo.</w:t>
      </w:r>
    </w:p>
    <w:p w:rsidR="004C3AE4" w:rsidRPr="004C3AE4" w:rsidRDefault="004C3A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</w:rPr>
      </w:pPr>
      <w:r w:rsidRPr="004C3AE4">
        <w:rPr>
          <w:rFonts w:ascii="Arial" w:hAnsi="Arial"/>
          <w:sz w:val="18"/>
        </w:rPr>
        <w:t xml:space="preserve">Adopten posiciones </w:t>
      </w:r>
      <w:r w:rsidR="00605DA9" w:rsidRPr="004C3AE4">
        <w:rPr>
          <w:rFonts w:ascii="Arial" w:hAnsi="Arial"/>
          <w:sz w:val="18"/>
        </w:rPr>
        <w:t>críticas</w:t>
      </w:r>
      <w:r w:rsidRPr="004C3AE4">
        <w:rPr>
          <w:rFonts w:ascii="Arial" w:hAnsi="Arial"/>
          <w:sz w:val="18"/>
        </w:rPr>
        <w:t xml:space="preserve"> frente a los tradicionales institutos del derecho administrativo</w:t>
      </w: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b/>
          <w:bCs/>
          <w:sz w:val="18"/>
          <w:u w:val="single"/>
        </w:rPr>
        <w:t>IV- Estrategias de enseñanza</w:t>
      </w: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DD5247" w:rsidRDefault="00DD5247" w:rsidP="00DD5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Lectura de materiales de estudio en clase.</w:t>
      </w:r>
    </w:p>
    <w:p w:rsidR="00DD5247" w:rsidRDefault="00DD5247" w:rsidP="00DD5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Feedback entre profesor-alumno/s, mediante diálogos responsables, cerrados y abiertos.</w:t>
      </w:r>
    </w:p>
    <w:p w:rsidR="005B0BF8" w:rsidRPr="00DD5247" w:rsidRDefault="00DD5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Motivación del alumno en la materia, mediante su participación activa en clase. </w:t>
      </w: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</w:p>
    <w:p w:rsidR="005B0BF8" w:rsidRDefault="005B0BF8">
      <w:pPr>
        <w:jc w:val="both"/>
        <w:rPr>
          <w:rFonts w:ascii="Arial" w:hAnsi="Arial" w:cs="Arial"/>
          <w:b/>
          <w:bCs/>
          <w:sz w:val="18"/>
          <w:u w:val="single"/>
        </w:rPr>
      </w:pPr>
      <w:r>
        <w:rPr>
          <w:rFonts w:ascii="Arial" w:hAnsi="Arial" w:cs="Arial"/>
          <w:b/>
          <w:bCs/>
          <w:sz w:val="18"/>
          <w:u w:val="single"/>
        </w:rPr>
        <w:t>V- Medios y recursos</w:t>
      </w:r>
    </w:p>
    <w:p w:rsidR="00392042" w:rsidRDefault="00392042" w:rsidP="00392042">
      <w:pPr>
        <w:jc w:val="both"/>
        <w:rPr>
          <w:rFonts w:ascii="Cambria" w:hAnsi="Cambria"/>
        </w:rPr>
      </w:pPr>
    </w:p>
    <w:p w:rsidR="00FD1909" w:rsidRPr="009005FE" w:rsidRDefault="00FD1909" w:rsidP="00FD1909">
      <w:pPr>
        <w:jc w:val="both"/>
        <w:rPr>
          <w:rFonts w:ascii="Arial" w:hAnsi="Arial" w:cs="Arial"/>
          <w:sz w:val="18"/>
          <w:szCs w:val="18"/>
        </w:rPr>
      </w:pPr>
      <w:r w:rsidRPr="009005FE">
        <w:rPr>
          <w:rFonts w:ascii="Arial" w:hAnsi="Arial" w:cs="Arial"/>
          <w:sz w:val="18"/>
          <w:szCs w:val="18"/>
        </w:rPr>
        <w:t xml:space="preserve">La evaluación de la asignatura se hará conforme la normativa vigente en  la universidad. </w:t>
      </w:r>
    </w:p>
    <w:p w:rsidR="00FD1909" w:rsidRPr="009005FE" w:rsidRDefault="00FD1909" w:rsidP="00FD1909">
      <w:pPr>
        <w:jc w:val="both"/>
        <w:rPr>
          <w:rFonts w:ascii="Arial" w:hAnsi="Arial" w:cs="Arial"/>
          <w:sz w:val="18"/>
          <w:szCs w:val="18"/>
        </w:rPr>
      </w:pPr>
    </w:p>
    <w:p w:rsidR="00FD1909" w:rsidRPr="009005FE" w:rsidRDefault="00FD1909" w:rsidP="00FD1909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005FE">
        <w:rPr>
          <w:rFonts w:ascii="Arial" w:hAnsi="Arial" w:cs="Arial"/>
          <w:b/>
          <w:bCs/>
          <w:sz w:val="18"/>
          <w:szCs w:val="18"/>
        </w:rPr>
        <w:t>Aprobación de la Cursada:</w:t>
      </w:r>
    </w:p>
    <w:p w:rsidR="00FD1909" w:rsidRPr="009005FE" w:rsidRDefault="00FD1909" w:rsidP="00FD1909">
      <w:pPr>
        <w:jc w:val="both"/>
        <w:rPr>
          <w:rFonts w:ascii="Arial" w:hAnsi="Arial" w:cs="Arial"/>
          <w:sz w:val="18"/>
          <w:szCs w:val="18"/>
        </w:rPr>
      </w:pPr>
      <w:r w:rsidRPr="009005FE">
        <w:rPr>
          <w:rFonts w:ascii="Arial" w:hAnsi="Arial" w:cs="Arial"/>
          <w:sz w:val="18"/>
          <w:szCs w:val="18"/>
        </w:rPr>
        <w:t xml:space="preserve">-Cumplimiento mínimo del 75%de asistencia. </w:t>
      </w:r>
    </w:p>
    <w:p w:rsidR="00FD1909" w:rsidRPr="009005FE" w:rsidRDefault="00FD1909" w:rsidP="00FD1909">
      <w:pPr>
        <w:jc w:val="both"/>
        <w:rPr>
          <w:rFonts w:ascii="Arial" w:hAnsi="Arial" w:cs="Arial"/>
          <w:sz w:val="18"/>
          <w:szCs w:val="18"/>
        </w:rPr>
      </w:pPr>
      <w:r w:rsidRPr="009005FE">
        <w:rPr>
          <w:rFonts w:ascii="Arial" w:hAnsi="Arial" w:cs="Arial"/>
          <w:sz w:val="18"/>
          <w:szCs w:val="18"/>
        </w:rPr>
        <w:t>-</w:t>
      </w:r>
      <w:r w:rsidR="00D574AE">
        <w:rPr>
          <w:rFonts w:ascii="Arial" w:hAnsi="Arial" w:cs="Arial"/>
          <w:sz w:val="18"/>
          <w:szCs w:val="18"/>
        </w:rPr>
        <w:t>Aprobación</w:t>
      </w:r>
      <w:r w:rsidR="005A454E">
        <w:rPr>
          <w:rFonts w:ascii="Arial" w:hAnsi="Arial" w:cs="Arial"/>
          <w:sz w:val="18"/>
          <w:szCs w:val="18"/>
        </w:rPr>
        <w:t xml:space="preserve"> de un examen parcial en la clase 10 que abarca los contenidos de las unidades I a XXIII</w:t>
      </w:r>
      <w:r w:rsidR="00D574AE">
        <w:rPr>
          <w:rFonts w:ascii="Arial" w:hAnsi="Arial" w:cs="Arial"/>
          <w:sz w:val="18"/>
          <w:szCs w:val="18"/>
        </w:rPr>
        <w:t xml:space="preserve">. En caso de no aprobar, el alumno tiene posibilidad de rendir recuperatorio. </w:t>
      </w:r>
    </w:p>
    <w:p w:rsidR="00FD1909" w:rsidRDefault="00FD1909" w:rsidP="00FD1909">
      <w:pPr>
        <w:jc w:val="both"/>
        <w:rPr>
          <w:rFonts w:ascii="Arial" w:hAnsi="Arial" w:cs="Arial"/>
          <w:sz w:val="18"/>
          <w:szCs w:val="18"/>
        </w:rPr>
      </w:pPr>
      <w:r w:rsidRPr="009005FE">
        <w:rPr>
          <w:rFonts w:ascii="Arial" w:hAnsi="Arial" w:cs="Arial"/>
          <w:sz w:val="18"/>
          <w:szCs w:val="18"/>
        </w:rPr>
        <w:t>-Aprobación de los trabajos prácticos obligatorios (TPO), si corresponde</w:t>
      </w:r>
    </w:p>
    <w:p w:rsidR="005A454E" w:rsidRPr="009005FE" w:rsidRDefault="005A454E" w:rsidP="00FD1909">
      <w:pPr>
        <w:jc w:val="both"/>
        <w:rPr>
          <w:rFonts w:ascii="Arial" w:hAnsi="Arial" w:cs="Arial"/>
          <w:sz w:val="18"/>
          <w:szCs w:val="18"/>
        </w:rPr>
      </w:pPr>
    </w:p>
    <w:p w:rsidR="00D574AE" w:rsidRDefault="00D574AE" w:rsidP="00FD1909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D574AE" w:rsidRDefault="00D574AE" w:rsidP="00FD1909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FD1909" w:rsidRPr="009005FE" w:rsidRDefault="00FD1909" w:rsidP="00FD1909">
      <w:pPr>
        <w:jc w:val="both"/>
        <w:rPr>
          <w:rFonts w:ascii="Arial" w:hAnsi="Arial" w:cs="Arial"/>
          <w:b/>
          <w:bCs/>
          <w:sz w:val="18"/>
          <w:szCs w:val="18"/>
          <w:lang w:val="es-AR"/>
        </w:rPr>
      </w:pPr>
      <w:r w:rsidRPr="009005FE">
        <w:rPr>
          <w:rFonts w:ascii="Arial" w:hAnsi="Arial" w:cs="Arial"/>
          <w:b/>
          <w:bCs/>
          <w:sz w:val="18"/>
          <w:szCs w:val="18"/>
        </w:rPr>
        <w:lastRenderedPageBreak/>
        <w:t>Aprobación de la asignatura:</w:t>
      </w:r>
    </w:p>
    <w:p w:rsidR="00FD1909" w:rsidRPr="009005FE" w:rsidRDefault="00FD1909" w:rsidP="00FD1909">
      <w:pPr>
        <w:jc w:val="both"/>
        <w:rPr>
          <w:rFonts w:ascii="Arial" w:hAnsi="Arial" w:cs="Arial"/>
          <w:sz w:val="18"/>
          <w:szCs w:val="18"/>
        </w:rPr>
      </w:pPr>
      <w:r w:rsidRPr="009005FE">
        <w:rPr>
          <w:rFonts w:ascii="Arial" w:hAnsi="Arial" w:cs="Arial"/>
          <w:sz w:val="18"/>
          <w:szCs w:val="18"/>
        </w:rPr>
        <w:t>-El cumplimiento de las condiciones de cursada  habilita al alumno a rendir el examen final presencial  e individual que  será aprobado cuando la nota obtenida sea como mínimo de CUATRO  (4) puntos.  </w:t>
      </w:r>
    </w:p>
    <w:p w:rsidR="005B0BF8" w:rsidRPr="00392042" w:rsidRDefault="005B0BF8">
      <w:pPr>
        <w:pStyle w:val="Ttulo"/>
        <w:rPr>
          <w:rFonts w:ascii="Arial" w:hAnsi="Arial" w:cs="Arial"/>
          <w:sz w:val="18"/>
        </w:rPr>
      </w:pPr>
    </w:p>
    <w:p w:rsidR="00841875" w:rsidRDefault="00841875">
      <w:pPr>
        <w:pStyle w:val="Ttulo"/>
        <w:jc w:val="left"/>
        <w:rPr>
          <w:rFonts w:ascii="Arial" w:hAnsi="Arial" w:cs="Arial"/>
          <w:sz w:val="18"/>
        </w:rPr>
      </w:pPr>
    </w:p>
    <w:p w:rsidR="005B0BF8" w:rsidRDefault="005B0BF8">
      <w:pPr>
        <w:pStyle w:val="Ttulo"/>
        <w:jc w:val="lef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VII- Bibliografía</w:t>
      </w:r>
    </w:p>
    <w:p w:rsidR="005B0BF8" w:rsidRDefault="005B0BF8">
      <w:pPr>
        <w:pStyle w:val="Ttulo"/>
        <w:jc w:val="left"/>
        <w:rPr>
          <w:rFonts w:ascii="Arial" w:hAnsi="Arial" w:cs="Arial"/>
          <w:sz w:val="18"/>
        </w:rPr>
      </w:pPr>
    </w:p>
    <w:p w:rsidR="002E0218" w:rsidRDefault="002E0218" w:rsidP="002E0218">
      <w:pPr>
        <w:pStyle w:val="Ttulo1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Derecho internacional público</w:t>
      </w:r>
    </w:p>
    <w:p w:rsidR="005B0BF8" w:rsidRDefault="005B0BF8">
      <w:pPr>
        <w:pStyle w:val="Ttulo"/>
        <w:jc w:val="left"/>
        <w:rPr>
          <w:rFonts w:ascii="Arial" w:hAnsi="Arial" w:cs="Arial"/>
          <w:sz w:val="18"/>
        </w:rPr>
      </w:pPr>
    </w:p>
    <w:p w:rsidR="002E0218" w:rsidRPr="002E0218" w:rsidRDefault="002E0218" w:rsidP="002E0218">
      <w:pPr>
        <w:numPr>
          <w:ilvl w:val="1"/>
          <w:numId w:val="6"/>
        </w:numPr>
        <w:jc w:val="both"/>
        <w:rPr>
          <w:rFonts w:ascii="Arial" w:hAnsi="Arial" w:cs="Arial"/>
          <w:b/>
          <w:sz w:val="18"/>
          <w:szCs w:val="18"/>
        </w:rPr>
      </w:pPr>
      <w:r w:rsidRPr="002E0218">
        <w:rPr>
          <w:rFonts w:ascii="Arial" w:hAnsi="Arial" w:cs="Arial"/>
          <w:b/>
          <w:sz w:val="18"/>
          <w:szCs w:val="18"/>
        </w:rPr>
        <w:t>Obligatoria</w:t>
      </w:r>
    </w:p>
    <w:p w:rsidR="002E0218" w:rsidRPr="002E0218" w:rsidRDefault="002E0218" w:rsidP="002E0218">
      <w:pPr>
        <w:jc w:val="both"/>
        <w:rPr>
          <w:rFonts w:ascii="Arial" w:hAnsi="Arial" w:cs="Arial"/>
          <w:sz w:val="18"/>
          <w:szCs w:val="18"/>
        </w:rPr>
      </w:pPr>
    </w:p>
    <w:p w:rsidR="002E0218" w:rsidRPr="002E0218" w:rsidRDefault="002E0218" w:rsidP="002E0218">
      <w:pPr>
        <w:pStyle w:val="Textoindependiente"/>
        <w:spacing w:line="240" w:lineRule="auto"/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Barboza, Julio, Derecho Internacional Público, Zavalia, Buenos Aires, 2004. Catálogo 341.0/B239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Moncayo, Vinuesa, Gutiérrez Posse, Derecho Internacional Público, Ed. Zavalía, 1990. Código 341.0/M744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Podestá Costa – Ruda, Manual de Derecho Internacional Público. Código 341.0/P662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</w:p>
    <w:p w:rsidR="002E0218" w:rsidRPr="002E0218" w:rsidRDefault="002E0218" w:rsidP="002E0218">
      <w:pPr>
        <w:numPr>
          <w:ilvl w:val="1"/>
          <w:numId w:val="6"/>
        </w:numPr>
        <w:rPr>
          <w:rFonts w:ascii="Arial" w:hAnsi="Arial" w:cs="Arial"/>
          <w:b/>
          <w:sz w:val="18"/>
          <w:szCs w:val="18"/>
        </w:rPr>
      </w:pPr>
      <w:r w:rsidRPr="002E0218">
        <w:rPr>
          <w:rFonts w:ascii="Arial" w:hAnsi="Arial" w:cs="Arial"/>
          <w:b/>
          <w:sz w:val="18"/>
          <w:szCs w:val="18"/>
        </w:rPr>
        <w:t>Complementaria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Sorensen, Max, Manual de Derecho Internacional Público, Fondo de Cultura Económica, 1985. Catálogo 341.0/S846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 xml:space="preserve">Pastor Ridruejo, José Antonio: “Curso de Derecho Internacional y Organizaciones Internacionales. Ed. Tecnos. 1994. Código 341.1/P262. </w:t>
      </w:r>
    </w:p>
    <w:p w:rsidR="002E0218" w:rsidRPr="00B5141A" w:rsidRDefault="002E0218" w:rsidP="002E0218">
      <w:pPr>
        <w:rPr>
          <w:rFonts w:ascii="Arial" w:hAnsi="Arial" w:cs="Arial"/>
          <w:sz w:val="18"/>
          <w:szCs w:val="18"/>
          <w:lang w:val="en-US"/>
        </w:rPr>
      </w:pPr>
      <w:r w:rsidRPr="002E0218">
        <w:rPr>
          <w:rFonts w:ascii="Arial" w:hAnsi="Arial" w:cs="Arial"/>
          <w:sz w:val="18"/>
          <w:szCs w:val="18"/>
        </w:rPr>
        <w:t xml:space="preserve">Conforti, Bendetto, Derecho Internacional Público, Ed. </w:t>
      </w:r>
      <w:r w:rsidRPr="00B5141A">
        <w:rPr>
          <w:rFonts w:ascii="Arial" w:hAnsi="Arial" w:cs="Arial"/>
          <w:sz w:val="18"/>
          <w:szCs w:val="18"/>
          <w:lang w:val="en-US"/>
        </w:rPr>
        <w:t>Zavalía, 1995. Código 341/C656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  <w:lang w:val="en-US"/>
        </w:rPr>
        <w:t xml:space="preserve">Malanczuk, Peter: “Akehurst´s Modern Introduction to International Law”. </w:t>
      </w:r>
      <w:r w:rsidRPr="002E0218">
        <w:rPr>
          <w:rFonts w:ascii="Arial" w:hAnsi="Arial" w:cs="Arial"/>
          <w:sz w:val="18"/>
          <w:szCs w:val="18"/>
          <w:lang w:val="es-AR"/>
        </w:rPr>
        <w:t xml:space="preserve">Seventh Revised Edition. </w:t>
      </w:r>
      <w:r w:rsidRPr="002E0218">
        <w:rPr>
          <w:rFonts w:ascii="Arial" w:hAnsi="Arial" w:cs="Arial"/>
          <w:sz w:val="18"/>
          <w:szCs w:val="18"/>
        </w:rPr>
        <w:t>Routledge London. 1997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 xml:space="preserve">Naciones Unidas. Asamblea General. Comisión de Derecho Internacional. Distintos Anuarios e Informes. </w:t>
      </w:r>
    </w:p>
    <w:p w:rsid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Rousseau, Charles, Derecho Internacional Público Profundizado, Ed. Ariel, 1966. Catálogo 341.0/R826.</w:t>
      </w:r>
    </w:p>
    <w:p w:rsidR="002E0218" w:rsidRPr="005A454E" w:rsidRDefault="002E0218" w:rsidP="002E0218">
      <w:pPr>
        <w:rPr>
          <w:rFonts w:ascii="Arial" w:hAnsi="Arial" w:cs="Arial"/>
          <w:sz w:val="18"/>
          <w:szCs w:val="18"/>
          <w:lang w:val="es-AR"/>
        </w:rPr>
      </w:pPr>
      <w:r w:rsidRPr="002E0218">
        <w:rPr>
          <w:rFonts w:ascii="Arial" w:hAnsi="Arial" w:cs="Arial"/>
          <w:sz w:val="18"/>
          <w:szCs w:val="18"/>
        </w:rPr>
        <w:t xml:space="preserve">Verdross, Alfred, Derecho Internacional Público, Ed. </w:t>
      </w:r>
      <w:r w:rsidRPr="002E0218">
        <w:rPr>
          <w:rFonts w:ascii="Arial" w:hAnsi="Arial" w:cs="Arial"/>
          <w:sz w:val="18"/>
          <w:szCs w:val="18"/>
          <w:lang w:val="es-AR"/>
        </w:rPr>
        <w:t xml:space="preserve">Aguilar, 1974. </w:t>
      </w:r>
      <w:r w:rsidRPr="005A454E">
        <w:rPr>
          <w:rFonts w:ascii="Arial" w:hAnsi="Arial" w:cs="Arial"/>
          <w:sz w:val="18"/>
          <w:szCs w:val="18"/>
          <w:lang w:val="es-AR"/>
        </w:rPr>
        <w:t>Catálogo 341/V54.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  <w:lang w:val="en-US"/>
        </w:rPr>
      </w:pPr>
      <w:r w:rsidRPr="005A454E">
        <w:rPr>
          <w:rFonts w:ascii="Arial" w:hAnsi="Arial" w:cs="Arial"/>
          <w:sz w:val="18"/>
          <w:szCs w:val="18"/>
          <w:lang w:val="es-AR"/>
        </w:rPr>
        <w:t xml:space="preserve">Shaw, International Law, Ed. </w:t>
      </w:r>
      <w:r w:rsidRPr="002E0218">
        <w:rPr>
          <w:rFonts w:ascii="Arial" w:hAnsi="Arial" w:cs="Arial"/>
          <w:sz w:val="18"/>
          <w:szCs w:val="18"/>
          <w:lang w:val="en-US"/>
        </w:rPr>
        <w:t>Cambridge, 1991.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  <w:lang w:val="en-GB"/>
        </w:rPr>
      </w:pPr>
      <w:r w:rsidRPr="002E0218">
        <w:rPr>
          <w:rFonts w:ascii="Arial" w:hAnsi="Arial" w:cs="Arial"/>
          <w:sz w:val="18"/>
          <w:szCs w:val="18"/>
          <w:lang w:val="en-GB"/>
        </w:rPr>
        <w:t>D.J. Harris, Cases and Materials of International Law, Ed. Sweet &amp; Maxwell, 1991.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  <w:lang w:val="en-US"/>
        </w:rPr>
      </w:pPr>
      <w:r w:rsidRPr="002E0218">
        <w:rPr>
          <w:rFonts w:ascii="Arial" w:hAnsi="Arial" w:cs="Arial"/>
          <w:sz w:val="18"/>
          <w:szCs w:val="18"/>
          <w:lang w:val="en-US"/>
        </w:rPr>
        <w:t xml:space="preserve">Brownlie, Ian: Principles of Public International Law, 6th Edition. </w:t>
      </w:r>
      <w:smartTag w:uri="urn:schemas-microsoft-com:office:smarttags" w:element="place">
        <w:smartTag w:uri="urn:schemas-microsoft-com:office:smarttags" w:element="PlaceName">
          <w:r w:rsidRPr="002E0218">
            <w:rPr>
              <w:rFonts w:ascii="Arial" w:hAnsi="Arial" w:cs="Arial"/>
              <w:sz w:val="18"/>
              <w:szCs w:val="18"/>
              <w:lang w:val="en-US"/>
            </w:rPr>
            <w:t>Oxford</w:t>
          </w:r>
        </w:smartTag>
        <w:r w:rsidRPr="002E0218">
          <w:rPr>
            <w:rFonts w:ascii="Arial" w:hAnsi="Arial" w:cs="Arial"/>
            <w:sz w:val="18"/>
            <w:szCs w:val="18"/>
            <w:lang w:val="en-US"/>
          </w:rPr>
          <w:t xml:space="preserve"> </w:t>
        </w:r>
        <w:smartTag w:uri="urn:schemas-microsoft-com:office:smarttags" w:element="PlaceType">
          <w:r w:rsidRPr="002E0218">
            <w:rPr>
              <w:rFonts w:ascii="Arial" w:hAnsi="Arial" w:cs="Arial"/>
              <w:sz w:val="18"/>
              <w:szCs w:val="18"/>
              <w:lang w:val="en-US"/>
            </w:rPr>
            <w:t>University</w:t>
          </w:r>
        </w:smartTag>
      </w:smartTag>
      <w:r w:rsidRPr="002E0218">
        <w:rPr>
          <w:rFonts w:ascii="Arial" w:hAnsi="Arial" w:cs="Arial"/>
          <w:sz w:val="18"/>
          <w:szCs w:val="18"/>
          <w:lang w:val="en-US"/>
        </w:rPr>
        <w:t xml:space="preserve"> Press. 2003.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  <w:lang w:val="en-US"/>
        </w:rPr>
      </w:pPr>
      <w:r w:rsidRPr="002E0218">
        <w:rPr>
          <w:rFonts w:ascii="Arial" w:hAnsi="Arial" w:cs="Arial"/>
          <w:sz w:val="18"/>
          <w:szCs w:val="18"/>
          <w:lang w:val="en-US"/>
        </w:rPr>
        <w:t>Cassese, Antonio, International Law, 2</w:t>
      </w:r>
      <w:r w:rsidRPr="002E0218">
        <w:rPr>
          <w:rFonts w:ascii="Arial" w:hAnsi="Arial" w:cs="Arial"/>
          <w:sz w:val="18"/>
          <w:szCs w:val="18"/>
          <w:vertAlign w:val="superscript"/>
          <w:lang w:val="en-US"/>
        </w:rPr>
        <w:t>nd</w:t>
      </w:r>
      <w:r w:rsidRPr="002E0218">
        <w:rPr>
          <w:rFonts w:ascii="Arial" w:hAnsi="Arial" w:cs="Arial"/>
          <w:sz w:val="18"/>
          <w:szCs w:val="18"/>
          <w:lang w:val="en-US"/>
        </w:rPr>
        <w:t xml:space="preserve"> Edition. </w:t>
      </w:r>
      <w:smartTag w:uri="urn:schemas-microsoft-com:office:smarttags" w:element="place">
        <w:smartTag w:uri="urn:schemas-microsoft-com:office:smarttags" w:element="PlaceName">
          <w:r w:rsidRPr="002E0218">
            <w:rPr>
              <w:rFonts w:ascii="Arial" w:hAnsi="Arial" w:cs="Arial"/>
              <w:sz w:val="18"/>
              <w:szCs w:val="18"/>
              <w:lang w:val="en-US"/>
            </w:rPr>
            <w:t>Oxford</w:t>
          </w:r>
        </w:smartTag>
        <w:r w:rsidRPr="002E0218">
          <w:rPr>
            <w:rFonts w:ascii="Arial" w:hAnsi="Arial" w:cs="Arial"/>
            <w:sz w:val="18"/>
            <w:szCs w:val="18"/>
            <w:lang w:val="en-US"/>
          </w:rPr>
          <w:t xml:space="preserve"> </w:t>
        </w:r>
        <w:smartTag w:uri="urn:schemas-microsoft-com:office:smarttags" w:element="PlaceType">
          <w:r w:rsidRPr="002E0218">
            <w:rPr>
              <w:rFonts w:ascii="Arial" w:hAnsi="Arial" w:cs="Arial"/>
              <w:sz w:val="18"/>
              <w:szCs w:val="18"/>
              <w:lang w:val="en-US"/>
            </w:rPr>
            <w:t>University</w:t>
          </w:r>
        </w:smartTag>
      </w:smartTag>
      <w:r w:rsidRPr="002E0218">
        <w:rPr>
          <w:rFonts w:ascii="Arial" w:hAnsi="Arial" w:cs="Arial"/>
          <w:sz w:val="18"/>
          <w:szCs w:val="18"/>
          <w:lang w:val="en-US"/>
        </w:rPr>
        <w:t xml:space="preserve"> Press. 2005</w:t>
      </w:r>
    </w:p>
    <w:p w:rsidR="002E0218" w:rsidRPr="00B5141A" w:rsidRDefault="002E0218" w:rsidP="002E0218">
      <w:pPr>
        <w:rPr>
          <w:rFonts w:ascii="Arial" w:hAnsi="Arial" w:cs="Arial"/>
          <w:sz w:val="18"/>
          <w:szCs w:val="18"/>
          <w:lang w:val="es-AR"/>
        </w:rPr>
      </w:pPr>
      <w:r w:rsidRPr="002E0218">
        <w:rPr>
          <w:rFonts w:ascii="Arial" w:hAnsi="Arial" w:cs="Arial"/>
          <w:sz w:val="18"/>
          <w:szCs w:val="18"/>
          <w:lang w:val="en-US"/>
        </w:rPr>
        <w:t>Joyner, Christopher, International Law in the 21</w:t>
      </w:r>
      <w:r w:rsidRPr="002E0218">
        <w:rPr>
          <w:rFonts w:ascii="Arial" w:hAnsi="Arial" w:cs="Arial"/>
          <w:sz w:val="18"/>
          <w:szCs w:val="18"/>
          <w:vertAlign w:val="superscript"/>
          <w:lang w:val="en-US"/>
        </w:rPr>
        <w:t>st</w:t>
      </w:r>
      <w:r w:rsidRPr="002E0218">
        <w:rPr>
          <w:rFonts w:ascii="Arial" w:hAnsi="Arial" w:cs="Arial"/>
          <w:sz w:val="18"/>
          <w:szCs w:val="18"/>
          <w:lang w:val="en-US"/>
        </w:rPr>
        <w:t xml:space="preserve"> century: rules for global governance, Rowman &amp; Litllefield. </w:t>
      </w:r>
      <w:r w:rsidRPr="00B5141A">
        <w:rPr>
          <w:rFonts w:ascii="Arial" w:hAnsi="Arial" w:cs="Arial"/>
          <w:sz w:val="18"/>
          <w:szCs w:val="18"/>
          <w:lang w:val="es-AR"/>
        </w:rPr>
        <w:t>2005.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Repertorio de jurisprudencia de la Corte Internacional de Justicia, Ed. Zavalía.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Tratados y documentos internacionales, Ed. Zavalía.</w:t>
      </w:r>
    </w:p>
    <w:p w:rsidR="002E0218" w:rsidRPr="002E0218" w:rsidRDefault="002E0218" w:rsidP="002E0218">
      <w:pPr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>Digesto de Legislación Internacional, Ed. AZ.</w:t>
      </w:r>
    </w:p>
    <w:p w:rsidR="002E0218" w:rsidRPr="002E0218" w:rsidRDefault="002E0218" w:rsidP="002E0218">
      <w:pPr>
        <w:rPr>
          <w:rFonts w:ascii="Arial" w:hAnsi="Arial" w:cs="Arial"/>
          <w:b/>
          <w:sz w:val="18"/>
          <w:szCs w:val="18"/>
        </w:rPr>
      </w:pPr>
    </w:p>
    <w:p w:rsidR="002E0218" w:rsidRPr="002E0218" w:rsidRDefault="002E0218" w:rsidP="002E0218">
      <w:pPr>
        <w:rPr>
          <w:rFonts w:ascii="Arial" w:hAnsi="Arial" w:cs="Arial"/>
          <w:b/>
          <w:sz w:val="18"/>
          <w:szCs w:val="18"/>
          <w:lang w:val="es-AR"/>
        </w:rPr>
      </w:pPr>
    </w:p>
    <w:p w:rsidR="002E0218" w:rsidRPr="002E0218" w:rsidRDefault="002E0218" w:rsidP="002E0218">
      <w:pPr>
        <w:rPr>
          <w:rFonts w:ascii="Arial" w:hAnsi="Arial" w:cs="Arial"/>
          <w:b/>
          <w:sz w:val="18"/>
          <w:szCs w:val="18"/>
          <w:lang w:val="es-MX"/>
        </w:rPr>
      </w:pPr>
      <w:r w:rsidRPr="002E0218">
        <w:rPr>
          <w:rFonts w:ascii="Arial" w:hAnsi="Arial" w:cs="Arial"/>
          <w:b/>
          <w:sz w:val="18"/>
          <w:szCs w:val="18"/>
          <w:lang w:val="es-MX"/>
        </w:rPr>
        <w:t>Derecho Internacional Privado</w:t>
      </w:r>
    </w:p>
    <w:p w:rsidR="002E0218" w:rsidRPr="002E0218" w:rsidRDefault="002E0218" w:rsidP="002E0218">
      <w:pPr>
        <w:rPr>
          <w:rFonts w:ascii="Arial" w:hAnsi="Arial" w:cs="Arial"/>
          <w:b/>
          <w:sz w:val="18"/>
          <w:szCs w:val="18"/>
          <w:lang w:val="es-MX"/>
        </w:rPr>
      </w:pPr>
    </w:p>
    <w:p w:rsidR="002E0218" w:rsidRPr="002E0218" w:rsidRDefault="002E0218" w:rsidP="002E0218">
      <w:pPr>
        <w:numPr>
          <w:ilvl w:val="1"/>
          <w:numId w:val="5"/>
        </w:numPr>
        <w:rPr>
          <w:rFonts w:ascii="Arial" w:hAnsi="Arial" w:cs="Arial"/>
          <w:b/>
          <w:sz w:val="18"/>
          <w:szCs w:val="18"/>
        </w:rPr>
      </w:pPr>
      <w:r w:rsidRPr="002E0218">
        <w:rPr>
          <w:rFonts w:ascii="Arial" w:hAnsi="Arial" w:cs="Arial"/>
          <w:b/>
          <w:sz w:val="18"/>
          <w:szCs w:val="18"/>
        </w:rPr>
        <w:t>Obligatoria</w:t>
      </w:r>
    </w:p>
    <w:p w:rsidR="002E0218" w:rsidRPr="002E0218" w:rsidRDefault="002E0218" w:rsidP="002E0218">
      <w:pPr>
        <w:ind w:left="1080"/>
        <w:rPr>
          <w:rFonts w:ascii="Arial" w:hAnsi="Arial" w:cs="Arial"/>
          <w:sz w:val="18"/>
          <w:szCs w:val="18"/>
        </w:rPr>
      </w:pPr>
    </w:p>
    <w:p w:rsidR="002E0218" w:rsidRPr="002E0218" w:rsidRDefault="002E0218" w:rsidP="002E0218">
      <w:pPr>
        <w:rPr>
          <w:rFonts w:ascii="Arial" w:hAnsi="Arial" w:cs="Arial"/>
          <w:sz w:val="18"/>
          <w:szCs w:val="18"/>
          <w:lang w:val="es-MX"/>
        </w:rPr>
      </w:pPr>
    </w:p>
    <w:p w:rsidR="002E0218" w:rsidRPr="002E0218" w:rsidRDefault="002E0218" w:rsidP="002E0218">
      <w:pPr>
        <w:rPr>
          <w:rFonts w:ascii="Arial" w:hAnsi="Arial" w:cs="Arial"/>
          <w:sz w:val="18"/>
          <w:szCs w:val="18"/>
          <w:lang w:val="es-MX"/>
        </w:rPr>
      </w:pPr>
      <w:r w:rsidRPr="002E0218">
        <w:rPr>
          <w:rFonts w:ascii="Arial" w:hAnsi="Arial" w:cs="Arial"/>
          <w:sz w:val="18"/>
          <w:szCs w:val="18"/>
        </w:rPr>
        <w:t>Boggiano, Antonio, Contratos Internacionales, Buenos Aires : Depalma, 1990. Código 347.44/B746</w:t>
      </w:r>
    </w:p>
    <w:p w:rsidR="002E0218" w:rsidRPr="002E0218" w:rsidRDefault="002E0218" w:rsidP="002E0218">
      <w:pPr>
        <w:jc w:val="both"/>
        <w:rPr>
          <w:rFonts w:ascii="Arial" w:hAnsi="Arial" w:cs="Arial"/>
          <w:sz w:val="18"/>
          <w:szCs w:val="18"/>
          <w:lang w:val="es-AR"/>
        </w:rPr>
      </w:pPr>
      <w:r w:rsidRPr="002E0218">
        <w:rPr>
          <w:rFonts w:ascii="Arial" w:hAnsi="Arial" w:cs="Arial"/>
          <w:sz w:val="18"/>
          <w:szCs w:val="18"/>
          <w:lang w:val="es-MX"/>
        </w:rPr>
        <w:t xml:space="preserve">Weinberg de Roca, Inés Mónica. </w:t>
      </w:r>
      <w:r w:rsidRPr="002E0218">
        <w:rPr>
          <w:rFonts w:ascii="Arial" w:hAnsi="Arial" w:cs="Arial"/>
          <w:sz w:val="18"/>
          <w:szCs w:val="18"/>
        </w:rPr>
        <w:t xml:space="preserve">Derecho internacional privado. </w:t>
      </w:r>
      <w:r w:rsidRPr="002E0218">
        <w:rPr>
          <w:rFonts w:ascii="Arial" w:hAnsi="Arial" w:cs="Arial"/>
          <w:sz w:val="18"/>
          <w:szCs w:val="18"/>
          <w:lang w:val="es-MX"/>
        </w:rPr>
        <w:t xml:space="preserve">3a ed. act. </w:t>
      </w:r>
      <w:r w:rsidRPr="002E0218">
        <w:rPr>
          <w:rFonts w:ascii="Arial" w:hAnsi="Arial" w:cs="Arial"/>
          <w:sz w:val="18"/>
          <w:szCs w:val="18"/>
        </w:rPr>
        <w:t xml:space="preserve">Buenos Aires : Depalma, LexisNexis, 2004. </w:t>
      </w:r>
      <w:r w:rsidRPr="002E0218">
        <w:rPr>
          <w:rFonts w:ascii="Arial" w:hAnsi="Arial" w:cs="Arial"/>
          <w:sz w:val="18"/>
          <w:szCs w:val="18"/>
          <w:lang w:val="es-MX"/>
        </w:rPr>
        <w:t>Código 34</w:t>
      </w:r>
      <w:r w:rsidRPr="002E0218">
        <w:rPr>
          <w:rFonts w:ascii="Arial" w:hAnsi="Arial" w:cs="Arial"/>
          <w:sz w:val="18"/>
          <w:szCs w:val="18"/>
          <w:lang w:val="es-AR"/>
        </w:rPr>
        <w:t xml:space="preserve">1.5/W41b </w:t>
      </w:r>
    </w:p>
    <w:p w:rsidR="002E0218" w:rsidRPr="002E0218" w:rsidRDefault="002E0218" w:rsidP="002E0218">
      <w:pPr>
        <w:jc w:val="both"/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  <w:lang w:val="es-AR"/>
        </w:rPr>
        <w:t xml:space="preserve">Goldschmidt, Werner. </w:t>
      </w:r>
      <w:r w:rsidRPr="002E0218">
        <w:rPr>
          <w:rFonts w:ascii="Arial" w:hAnsi="Arial" w:cs="Arial"/>
          <w:sz w:val="18"/>
          <w:szCs w:val="18"/>
        </w:rPr>
        <w:t>Derecho internacional privado, derecho de la tolerancia. 7. ed. Buenos Aires : Depalma, 1990</w:t>
      </w:r>
      <w:r w:rsidRPr="002E0218">
        <w:rPr>
          <w:rFonts w:ascii="Arial" w:hAnsi="Arial" w:cs="Arial"/>
          <w:sz w:val="18"/>
          <w:szCs w:val="18"/>
          <w:lang w:val="es-MX"/>
        </w:rPr>
        <w:t xml:space="preserve"> Código </w:t>
      </w:r>
      <w:r w:rsidRPr="002E0218">
        <w:rPr>
          <w:rFonts w:ascii="Arial" w:hAnsi="Arial" w:cs="Arial"/>
          <w:sz w:val="18"/>
          <w:szCs w:val="18"/>
        </w:rPr>
        <w:t>341.5/G572</w:t>
      </w:r>
    </w:p>
    <w:p w:rsidR="002E0218" w:rsidRPr="002E0218" w:rsidRDefault="002E0218" w:rsidP="002E0218">
      <w:pPr>
        <w:jc w:val="both"/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t xml:space="preserve">Roca, Eduardo A.. Sociedad extranjera no inscripta. Buenos Aires : Abeledo Perrot, 1997. </w:t>
      </w:r>
      <w:r w:rsidRPr="002E0218">
        <w:rPr>
          <w:rFonts w:ascii="Arial" w:hAnsi="Arial" w:cs="Arial"/>
          <w:sz w:val="18"/>
          <w:szCs w:val="18"/>
          <w:lang w:val="es-MX"/>
        </w:rPr>
        <w:t>Código</w:t>
      </w:r>
      <w:r w:rsidRPr="002E0218">
        <w:rPr>
          <w:rFonts w:ascii="Arial" w:hAnsi="Arial" w:cs="Arial"/>
          <w:sz w:val="18"/>
          <w:szCs w:val="18"/>
        </w:rPr>
        <w:t>: 347.471/R652.</w:t>
      </w:r>
    </w:p>
    <w:p w:rsidR="002E0218" w:rsidRPr="002E0218" w:rsidRDefault="002E0218" w:rsidP="002E0218">
      <w:pPr>
        <w:jc w:val="both"/>
        <w:rPr>
          <w:rFonts w:ascii="Arial" w:hAnsi="Arial" w:cs="Arial"/>
          <w:sz w:val="18"/>
          <w:szCs w:val="18"/>
        </w:rPr>
      </w:pPr>
    </w:p>
    <w:p w:rsidR="002E0218" w:rsidRPr="002E0218" w:rsidRDefault="002E0218" w:rsidP="002E0218">
      <w:pPr>
        <w:numPr>
          <w:ilvl w:val="1"/>
          <w:numId w:val="5"/>
        </w:numPr>
        <w:rPr>
          <w:rFonts w:ascii="Arial" w:hAnsi="Arial" w:cs="Arial"/>
          <w:b/>
          <w:sz w:val="18"/>
          <w:szCs w:val="18"/>
        </w:rPr>
      </w:pPr>
      <w:r w:rsidRPr="002E0218">
        <w:rPr>
          <w:rFonts w:ascii="Arial" w:hAnsi="Arial" w:cs="Arial"/>
          <w:b/>
          <w:sz w:val="18"/>
          <w:szCs w:val="18"/>
        </w:rPr>
        <w:t>Complementaria</w:t>
      </w:r>
    </w:p>
    <w:p w:rsidR="002E0218" w:rsidRPr="002E0218" w:rsidRDefault="002E0218" w:rsidP="002E0218">
      <w:pPr>
        <w:jc w:val="both"/>
        <w:rPr>
          <w:rFonts w:ascii="Arial" w:hAnsi="Arial" w:cs="Arial"/>
          <w:sz w:val="18"/>
          <w:szCs w:val="18"/>
        </w:rPr>
      </w:pPr>
    </w:p>
    <w:p w:rsidR="002E0218" w:rsidRPr="002E0218" w:rsidRDefault="002E0218" w:rsidP="002E0218">
      <w:pPr>
        <w:jc w:val="both"/>
        <w:rPr>
          <w:rFonts w:ascii="Arial" w:hAnsi="Arial" w:cs="Arial"/>
          <w:sz w:val="18"/>
          <w:szCs w:val="18"/>
        </w:rPr>
      </w:pPr>
      <w:r w:rsidRPr="002E0218">
        <w:rPr>
          <w:rFonts w:ascii="Arial" w:hAnsi="Arial" w:cs="Arial"/>
          <w:sz w:val="18"/>
          <w:szCs w:val="18"/>
        </w:rPr>
        <w:lastRenderedPageBreak/>
        <w:t xml:space="preserve">Uriondo de Martinolli, Amalia, Dreizyn de Klor, Adriana, Derecho Internacional Privado y de la Integración Regional, Ed. Zavalia, Buenos Aires, 1996. </w:t>
      </w:r>
    </w:p>
    <w:p w:rsidR="005B0BF8" w:rsidRDefault="005B0BF8">
      <w:pPr>
        <w:spacing w:line="360" w:lineRule="auto"/>
      </w:pPr>
    </w:p>
    <w:sectPr w:rsidR="005B0BF8" w:rsidSect="00AB287C">
      <w:footerReference w:type="even" r:id="rId8"/>
      <w:footerReference w:type="default" r:id="rId9"/>
      <w:pgSz w:w="12242" w:h="15842" w:code="1"/>
      <w:pgMar w:top="2835" w:right="1701" w:bottom="1418" w:left="21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695" w:rsidRDefault="00197695">
      <w:r>
        <w:separator/>
      </w:r>
    </w:p>
  </w:endnote>
  <w:endnote w:type="continuationSeparator" w:id="0">
    <w:p w:rsidR="00197695" w:rsidRDefault="00197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4F3" w:rsidRDefault="00E969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D64F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D64F3" w:rsidRDefault="00CD64F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4F3" w:rsidRDefault="00E969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CD64F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74AE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CD64F3" w:rsidRDefault="00CD64F3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695" w:rsidRDefault="00197695">
      <w:r>
        <w:separator/>
      </w:r>
    </w:p>
  </w:footnote>
  <w:footnote w:type="continuationSeparator" w:id="0">
    <w:p w:rsidR="00197695" w:rsidRDefault="001976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170D"/>
    <w:multiLevelType w:val="hybridMultilevel"/>
    <w:tmpl w:val="B30AF31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D457F"/>
    <w:multiLevelType w:val="hybridMultilevel"/>
    <w:tmpl w:val="4B84904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612E47"/>
    <w:multiLevelType w:val="hybridMultilevel"/>
    <w:tmpl w:val="4B84904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6D4471"/>
    <w:multiLevelType w:val="hybridMultilevel"/>
    <w:tmpl w:val="015473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E80B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7751EDB"/>
    <w:multiLevelType w:val="hybridMultilevel"/>
    <w:tmpl w:val="BD84256E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4B2DC4"/>
    <w:multiLevelType w:val="hybridMultilevel"/>
    <w:tmpl w:val="52A29B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4E5B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799"/>
    <w:rsid w:val="000274AB"/>
    <w:rsid w:val="000551A9"/>
    <w:rsid w:val="00065971"/>
    <w:rsid w:val="000A2F6E"/>
    <w:rsid w:val="000B5F41"/>
    <w:rsid w:val="000F420C"/>
    <w:rsid w:val="00175FEA"/>
    <w:rsid w:val="00197695"/>
    <w:rsid w:val="00254A9B"/>
    <w:rsid w:val="002E0218"/>
    <w:rsid w:val="00321598"/>
    <w:rsid w:val="00326D27"/>
    <w:rsid w:val="00392042"/>
    <w:rsid w:val="003E37B9"/>
    <w:rsid w:val="00451958"/>
    <w:rsid w:val="00474097"/>
    <w:rsid w:val="004A194D"/>
    <w:rsid w:val="004C3AE4"/>
    <w:rsid w:val="00545E9F"/>
    <w:rsid w:val="005A454E"/>
    <w:rsid w:val="005B0BF8"/>
    <w:rsid w:val="00605DA9"/>
    <w:rsid w:val="00636A7D"/>
    <w:rsid w:val="006B68F9"/>
    <w:rsid w:val="006E0215"/>
    <w:rsid w:val="006E3D28"/>
    <w:rsid w:val="0074174B"/>
    <w:rsid w:val="00784B19"/>
    <w:rsid w:val="007856BD"/>
    <w:rsid w:val="007D3787"/>
    <w:rsid w:val="007E2C0B"/>
    <w:rsid w:val="00841875"/>
    <w:rsid w:val="008D430E"/>
    <w:rsid w:val="008E2293"/>
    <w:rsid w:val="008E7EF8"/>
    <w:rsid w:val="009005FE"/>
    <w:rsid w:val="00983558"/>
    <w:rsid w:val="00986091"/>
    <w:rsid w:val="009A657F"/>
    <w:rsid w:val="009F20ED"/>
    <w:rsid w:val="00A52E91"/>
    <w:rsid w:val="00A95D74"/>
    <w:rsid w:val="00A97201"/>
    <w:rsid w:val="00AB263F"/>
    <w:rsid w:val="00AB287C"/>
    <w:rsid w:val="00AE4F00"/>
    <w:rsid w:val="00B4164D"/>
    <w:rsid w:val="00B5141A"/>
    <w:rsid w:val="00BE3DA2"/>
    <w:rsid w:val="00BF3C92"/>
    <w:rsid w:val="00CC752B"/>
    <w:rsid w:val="00CD64F3"/>
    <w:rsid w:val="00D01C64"/>
    <w:rsid w:val="00D574AE"/>
    <w:rsid w:val="00DD5247"/>
    <w:rsid w:val="00E00A0B"/>
    <w:rsid w:val="00E9698B"/>
    <w:rsid w:val="00EA71C2"/>
    <w:rsid w:val="00EB1FCC"/>
    <w:rsid w:val="00EC4799"/>
    <w:rsid w:val="00ED19EB"/>
    <w:rsid w:val="00F104C9"/>
    <w:rsid w:val="00F7226B"/>
    <w:rsid w:val="00FB301C"/>
    <w:rsid w:val="00FD1909"/>
    <w:rsid w:val="00FD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68F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B68F9"/>
    <w:pPr>
      <w:keepNext/>
      <w:spacing w:line="360" w:lineRule="auto"/>
      <w:jc w:val="center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rsid w:val="006B68F9"/>
    <w:pPr>
      <w:keepNext/>
      <w:jc w:val="center"/>
      <w:outlineLvl w:val="1"/>
    </w:pPr>
    <w:rPr>
      <w:rFonts w:ascii="Arial" w:hAnsi="Arial" w:cs="Arial"/>
      <w:b/>
      <w:bCs/>
      <w:color w:val="993366"/>
    </w:rPr>
  </w:style>
  <w:style w:type="paragraph" w:styleId="Ttulo3">
    <w:name w:val="heading 3"/>
    <w:basedOn w:val="Normal"/>
    <w:next w:val="Normal"/>
    <w:qFormat/>
    <w:rsid w:val="006B68F9"/>
    <w:pPr>
      <w:keepNext/>
      <w:jc w:val="center"/>
      <w:outlineLvl w:val="2"/>
    </w:pPr>
    <w:rPr>
      <w:rFonts w:ascii="Arial" w:hAnsi="Arial"/>
      <w:b/>
      <w:bCs/>
      <w:sz w:val="16"/>
    </w:rPr>
  </w:style>
  <w:style w:type="paragraph" w:styleId="Ttulo4">
    <w:name w:val="heading 4"/>
    <w:basedOn w:val="Normal"/>
    <w:next w:val="Normal"/>
    <w:qFormat/>
    <w:rsid w:val="006B68F9"/>
    <w:pPr>
      <w:keepNext/>
      <w:ind w:left="360"/>
      <w:jc w:val="center"/>
      <w:outlineLvl w:val="3"/>
    </w:pPr>
    <w:rPr>
      <w:rFonts w:ascii="Arial" w:hAnsi="Arial"/>
      <w:b/>
      <w:sz w:val="16"/>
    </w:rPr>
  </w:style>
  <w:style w:type="paragraph" w:styleId="Ttulo5">
    <w:name w:val="heading 5"/>
    <w:basedOn w:val="Normal"/>
    <w:next w:val="Normal"/>
    <w:qFormat/>
    <w:rsid w:val="006B68F9"/>
    <w:pPr>
      <w:keepNext/>
      <w:jc w:val="center"/>
      <w:outlineLvl w:val="4"/>
    </w:pPr>
    <w:rPr>
      <w:rFonts w:ascii="Arial" w:hAnsi="Arial" w:cs="Arial"/>
      <w:b/>
      <w:bCs/>
      <w:u w:val="single"/>
    </w:rPr>
  </w:style>
  <w:style w:type="paragraph" w:styleId="Ttulo6">
    <w:name w:val="heading 6"/>
    <w:basedOn w:val="Normal"/>
    <w:next w:val="Normal"/>
    <w:qFormat/>
    <w:rsid w:val="00EB1FCC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B1FCC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B1FC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B1FC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B68F9"/>
    <w:pPr>
      <w:spacing w:line="360" w:lineRule="auto"/>
      <w:jc w:val="both"/>
    </w:pPr>
  </w:style>
  <w:style w:type="paragraph" w:styleId="Sangradetextonormal">
    <w:name w:val="Body Text Indent"/>
    <w:basedOn w:val="Normal"/>
    <w:rsid w:val="006B68F9"/>
    <w:pPr>
      <w:ind w:left="900" w:hanging="900"/>
      <w:jc w:val="both"/>
    </w:pPr>
  </w:style>
  <w:style w:type="paragraph" w:styleId="Sangra2detindependiente">
    <w:name w:val="Body Text Indent 2"/>
    <w:basedOn w:val="Normal"/>
    <w:rsid w:val="006B68F9"/>
    <w:pPr>
      <w:ind w:firstLine="708"/>
      <w:jc w:val="both"/>
    </w:pPr>
  </w:style>
  <w:style w:type="paragraph" w:styleId="Textoindependiente3">
    <w:name w:val="Body Text 3"/>
    <w:basedOn w:val="Normal"/>
    <w:rsid w:val="006B68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</w:rPr>
  </w:style>
  <w:style w:type="paragraph" w:styleId="Sangra3detindependiente">
    <w:name w:val="Body Text Indent 3"/>
    <w:basedOn w:val="Normal"/>
    <w:rsid w:val="006B68F9"/>
    <w:pPr>
      <w:ind w:firstLine="1416"/>
      <w:jc w:val="both"/>
    </w:pPr>
  </w:style>
  <w:style w:type="paragraph" w:styleId="Piedepgina">
    <w:name w:val="footer"/>
    <w:basedOn w:val="Normal"/>
    <w:rsid w:val="006B68F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6B68F9"/>
  </w:style>
  <w:style w:type="paragraph" w:styleId="Textoindependiente2">
    <w:name w:val="Body Text 2"/>
    <w:basedOn w:val="Normal"/>
    <w:rsid w:val="006B68F9"/>
    <w:pPr>
      <w:jc w:val="both"/>
    </w:pPr>
    <w:rPr>
      <w:rFonts w:ascii="Arial" w:hAnsi="Arial" w:cs="Arial"/>
      <w:color w:val="000000"/>
    </w:rPr>
  </w:style>
  <w:style w:type="paragraph" w:styleId="Encabezado">
    <w:name w:val="header"/>
    <w:basedOn w:val="Normal"/>
    <w:rsid w:val="006B68F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tulo">
    <w:name w:val="Title"/>
    <w:basedOn w:val="Normal"/>
    <w:qFormat/>
    <w:rsid w:val="006B68F9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Cs w:val="20"/>
    </w:rPr>
  </w:style>
  <w:style w:type="paragraph" w:styleId="Epgrafe">
    <w:name w:val="caption"/>
    <w:basedOn w:val="Normal"/>
    <w:next w:val="Normal"/>
    <w:qFormat/>
    <w:rsid w:val="006B68F9"/>
    <w:pPr>
      <w:overflowPunct w:val="0"/>
      <w:autoSpaceDE w:val="0"/>
      <w:autoSpaceDN w:val="0"/>
      <w:adjustRightInd w:val="0"/>
      <w:textAlignment w:val="baseline"/>
    </w:pPr>
    <w:rPr>
      <w:rFonts w:ascii="Comic Sans MS" w:hAnsi="Comic Sans MS"/>
      <w:b/>
      <w:szCs w:val="20"/>
    </w:rPr>
  </w:style>
  <w:style w:type="paragraph" w:styleId="Textonotapie">
    <w:name w:val="footnote text"/>
    <w:basedOn w:val="Normal"/>
    <w:semiHidden/>
    <w:rsid w:val="006B68F9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3572</Words>
  <Characters>19651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DISPOSITIVA N°   /03</vt:lpstr>
    </vt:vector>
  </TitlesOfParts>
  <Company>UADE</Company>
  <LinksUpToDate>false</LinksUpToDate>
  <CharactersWithSpaces>23177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DISPOSITIVA N°   /03</dc:title>
  <dc:subject/>
  <dc:creator>mtesta</dc:creator>
  <cp:keywords/>
  <dc:description/>
  <cp:lastModifiedBy>Eugenia Bertizzolo</cp:lastModifiedBy>
  <cp:revision>9</cp:revision>
  <cp:lastPrinted>2005-08-12T17:34:00Z</cp:lastPrinted>
  <dcterms:created xsi:type="dcterms:W3CDTF">2010-02-17T20:03:00Z</dcterms:created>
  <dcterms:modified xsi:type="dcterms:W3CDTF">2010-03-02T18:25:00Z</dcterms:modified>
</cp:coreProperties>
</file>