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475"/>
        <w:gridCol w:w="3124"/>
        <w:gridCol w:w="2875"/>
        <w:gridCol w:w="3542"/>
      </w:tblGrid>
      <w:tr w:rsidR="00CB5E01" w:rsidTr="00F85625">
        <w:tc>
          <w:tcPr>
            <w:tcW w:w="0" w:type="auto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84583" w:rsidRPr="006A4A79" w:rsidRDefault="00D84583" w:rsidP="00CB5E01">
            <w:pPr>
              <w:spacing w:before="40" w:after="40"/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FUTURO</w:t>
            </w:r>
          </w:p>
        </w:tc>
        <w:tc>
          <w:tcPr>
            <w:tcW w:w="0" w:type="auto"/>
          </w:tcPr>
          <w:p w:rsidR="00D84583" w:rsidRPr="006A4A79" w:rsidRDefault="00D84583" w:rsidP="00CB5E01">
            <w:pPr>
              <w:spacing w:before="40" w:after="40"/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FORWARD</w:t>
            </w:r>
          </w:p>
        </w:tc>
        <w:tc>
          <w:tcPr>
            <w:tcW w:w="0" w:type="auto"/>
          </w:tcPr>
          <w:p w:rsidR="00D84583" w:rsidRPr="006A4A79" w:rsidRDefault="00D84583" w:rsidP="00CB5E01">
            <w:pPr>
              <w:spacing w:before="40" w:after="40"/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OPCIONES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D84583" w:rsidRPr="006A4A79" w:rsidRDefault="00D84583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Contrato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Acuerdo para comprar o vender un determinado activo luego de transcurrido un cierto tiempo a un determinado precio.</w:t>
            </w:r>
          </w:p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AMBAS PARTES OBLIGADAS.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Acuerdo para comprar o vender un determinado activo luego de transcurrido un cierto tiempo a un determinado precio.</w:t>
            </w:r>
          </w:p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AMBAS PARTES OBLIGADAS.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 xml:space="preserve">El vendedor se obliga frente al comprador a comprar o vender una cantidad de títulos valores, en una fecha determinada y a un precio preestablecido. </w:t>
            </w:r>
          </w:p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OBLIGA AL VENDEDOR.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D84583" w:rsidRPr="006A4A79" w:rsidRDefault="00D84583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Tamaño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Estandarizado por el mercado.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A requerimiento de las partes.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Estandarizado por el mercado.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D84583" w:rsidRPr="006A4A79" w:rsidRDefault="00D84583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Vencimiento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Estandarizado.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Determinado por las partes.</w:t>
            </w:r>
          </w:p>
        </w:tc>
        <w:tc>
          <w:tcPr>
            <w:tcW w:w="0" w:type="auto"/>
            <w:vAlign w:val="center"/>
          </w:tcPr>
          <w:p w:rsidR="00D84583" w:rsidRPr="00CB5E01" w:rsidRDefault="00D84583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Estandarizado.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D84583" w:rsidRPr="006A4A79" w:rsidRDefault="00F85625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Método de transacción</w:t>
            </w:r>
          </w:p>
        </w:tc>
        <w:tc>
          <w:tcPr>
            <w:tcW w:w="0" w:type="auto"/>
            <w:vAlign w:val="center"/>
          </w:tcPr>
          <w:p w:rsidR="00D84583" w:rsidRPr="00CB5E01" w:rsidRDefault="00F85625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Cotización publica.</w:t>
            </w:r>
          </w:p>
        </w:tc>
        <w:tc>
          <w:tcPr>
            <w:tcW w:w="0" w:type="auto"/>
            <w:vAlign w:val="center"/>
          </w:tcPr>
          <w:p w:rsidR="00D84583" w:rsidRPr="00CB5E01" w:rsidRDefault="00F85625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Flexibles, negociados.</w:t>
            </w:r>
          </w:p>
        </w:tc>
        <w:tc>
          <w:tcPr>
            <w:tcW w:w="0" w:type="auto"/>
            <w:vAlign w:val="center"/>
          </w:tcPr>
          <w:p w:rsidR="00D84583" w:rsidRPr="00CB5E01" w:rsidRDefault="00F85625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Cotización publica.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D84583" w:rsidRPr="006A4A79" w:rsidRDefault="00F85625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Garantías</w:t>
            </w:r>
          </w:p>
        </w:tc>
        <w:tc>
          <w:tcPr>
            <w:tcW w:w="0" w:type="auto"/>
            <w:vAlign w:val="center"/>
          </w:tcPr>
          <w:p w:rsidR="00D84583" w:rsidRPr="00CB5E01" w:rsidRDefault="00F85625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Margen de garantía, publico.</w:t>
            </w:r>
          </w:p>
        </w:tc>
        <w:tc>
          <w:tcPr>
            <w:tcW w:w="0" w:type="auto"/>
            <w:vAlign w:val="center"/>
          </w:tcPr>
          <w:p w:rsidR="00D84583" w:rsidRPr="00CB5E01" w:rsidRDefault="00F85625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Dinero para ingresar, negociado.</w:t>
            </w:r>
          </w:p>
        </w:tc>
        <w:tc>
          <w:tcPr>
            <w:tcW w:w="0" w:type="auto"/>
            <w:vAlign w:val="center"/>
          </w:tcPr>
          <w:p w:rsidR="00D84583" w:rsidRPr="00CB5E01" w:rsidRDefault="00F85625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Prima de emisión, negociada.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CB5E01" w:rsidRPr="006A4A79" w:rsidRDefault="00CB5E01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Liquidación</w:t>
            </w:r>
          </w:p>
          <w:p w:rsidR="00D84583" w:rsidRPr="006A4A79" w:rsidRDefault="00CB5E01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Cumplimiento</w:t>
            </w:r>
          </w:p>
        </w:tc>
        <w:tc>
          <w:tcPr>
            <w:tcW w:w="0" w:type="auto"/>
            <w:vAlign w:val="center"/>
          </w:tcPr>
          <w:p w:rsidR="00D84583" w:rsidRPr="00CB5E01" w:rsidRDefault="00CB5E01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Liquidación diaria de pérdidas y ganancias, “</w:t>
            </w:r>
            <w:proofErr w:type="spellStart"/>
            <w:r w:rsidRPr="00CB5E01">
              <w:rPr>
                <w:sz w:val="20"/>
                <w:szCs w:val="20"/>
              </w:rPr>
              <w:t>mark</w:t>
            </w:r>
            <w:proofErr w:type="spellEnd"/>
            <w:r w:rsidRPr="00CB5E01">
              <w:rPr>
                <w:sz w:val="20"/>
                <w:szCs w:val="20"/>
              </w:rPr>
              <w:t xml:space="preserve"> </w:t>
            </w:r>
            <w:proofErr w:type="spellStart"/>
            <w:r w:rsidRPr="00CB5E01">
              <w:rPr>
                <w:sz w:val="20"/>
                <w:szCs w:val="20"/>
              </w:rPr>
              <w:t>to</w:t>
            </w:r>
            <w:proofErr w:type="spellEnd"/>
            <w:r w:rsidRPr="00CB5E01">
              <w:rPr>
                <w:sz w:val="20"/>
                <w:szCs w:val="20"/>
              </w:rPr>
              <w:t xml:space="preserve"> </w:t>
            </w:r>
            <w:proofErr w:type="spellStart"/>
            <w:r w:rsidRPr="00CB5E01">
              <w:rPr>
                <w:sz w:val="20"/>
                <w:szCs w:val="20"/>
              </w:rPr>
              <w:t>market</w:t>
            </w:r>
            <w:proofErr w:type="spellEnd"/>
            <w:r w:rsidRPr="00CB5E01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vAlign w:val="center"/>
          </w:tcPr>
          <w:p w:rsidR="00D84583" w:rsidRPr="00CB5E01" w:rsidRDefault="00CB5E01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Liquidación total al vencimiento.</w:t>
            </w:r>
          </w:p>
        </w:tc>
        <w:tc>
          <w:tcPr>
            <w:tcW w:w="0" w:type="auto"/>
            <w:vAlign w:val="center"/>
          </w:tcPr>
          <w:p w:rsidR="00D84583" w:rsidRPr="00CB5E01" w:rsidRDefault="00CB5E01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Liquidación cuando el comprador ejerce la opción.</w:t>
            </w:r>
          </w:p>
        </w:tc>
      </w:tr>
      <w:tr w:rsidR="00CB5E01" w:rsidTr="00CB5E01">
        <w:tc>
          <w:tcPr>
            <w:tcW w:w="0" w:type="auto"/>
            <w:vAlign w:val="center"/>
          </w:tcPr>
          <w:p w:rsidR="00D84583" w:rsidRPr="006A4A79" w:rsidRDefault="00CB5E01" w:rsidP="00CB5E01">
            <w:pPr>
              <w:spacing w:before="40" w:after="40"/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Riesgo</w:t>
            </w:r>
          </w:p>
        </w:tc>
        <w:tc>
          <w:tcPr>
            <w:tcW w:w="0" w:type="auto"/>
            <w:vAlign w:val="center"/>
          </w:tcPr>
          <w:p w:rsidR="00D84583" w:rsidRPr="00CB5E01" w:rsidRDefault="00CB5E01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Bajo. Mercado institucionalizado.</w:t>
            </w:r>
          </w:p>
        </w:tc>
        <w:tc>
          <w:tcPr>
            <w:tcW w:w="0" w:type="auto"/>
            <w:vAlign w:val="center"/>
          </w:tcPr>
          <w:p w:rsidR="00D84583" w:rsidRPr="00CB5E01" w:rsidRDefault="00CB5E01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Alto. Mercado OTC.</w:t>
            </w:r>
          </w:p>
        </w:tc>
        <w:tc>
          <w:tcPr>
            <w:tcW w:w="0" w:type="auto"/>
            <w:vAlign w:val="center"/>
          </w:tcPr>
          <w:p w:rsidR="00D84583" w:rsidRPr="00CB5E01" w:rsidRDefault="00CB5E01" w:rsidP="00CB5E01">
            <w:pPr>
              <w:spacing w:before="40" w:after="40"/>
              <w:rPr>
                <w:sz w:val="20"/>
                <w:szCs w:val="20"/>
              </w:rPr>
            </w:pPr>
            <w:r w:rsidRPr="00CB5E01">
              <w:rPr>
                <w:sz w:val="20"/>
                <w:szCs w:val="20"/>
              </w:rPr>
              <w:t>Bajo. Mercado institucionalizado.</w:t>
            </w:r>
          </w:p>
        </w:tc>
      </w:tr>
    </w:tbl>
    <w:p w:rsidR="00CB3FD5" w:rsidRDefault="00CB3FD5"/>
    <w:tbl>
      <w:tblPr>
        <w:tblStyle w:val="Tablaconcuadrcula"/>
        <w:tblW w:w="0" w:type="auto"/>
        <w:jc w:val="center"/>
        <w:tblInd w:w="360" w:type="dxa"/>
        <w:tblLook w:val="04A0"/>
      </w:tblPr>
      <w:tblGrid>
        <w:gridCol w:w="1591"/>
        <w:gridCol w:w="3828"/>
        <w:gridCol w:w="4892"/>
      </w:tblGrid>
      <w:tr w:rsidR="00CB5E01" w:rsidRPr="00AC1D57" w:rsidTr="009832FC">
        <w:trPr>
          <w:trHeight w:val="267"/>
          <w:jc w:val="center"/>
        </w:trPr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B5E01" w:rsidRPr="006A4A79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Prestamos Sindicado</w:t>
            </w:r>
          </w:p>
        </w:tc>
        <w:tc>
          <w:tcPr>
            <w:tcW w:w="0" w:type="auto"/>
            <w:vAlign w:val="center"/>
          </w:tcPr>
          <w:p w:rsidR="00CB5E01" w:rsidRPr="006A4A79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Emisión de Bonos</w:t>
            </w:r>
          </w:p>
        </w:tc>
      </w:tr>
      <w:tr w:rsidR="00CB5E01" w:rsidRPr="00AC1D57" w:rsidTr="009832FC">
        <w:trPr>
          <w:trHeight w:val="372"/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7030A0"/>
                <w:sz w:val="20"/>
                <w:szCs w:val="20"/>
              </w:rPr>
            </w:pPr>
            <w:r w:rsidRPr="006A4A79">
              <w:rPr>
                <w:b/>
                <w:color w:val="7030A0"/>
                <w:sz w:val="20"/>
                <w:szCs w:val="20"/>
              </w:rPr>
              <w:t>Publico inversor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Número determinado.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Número impreciso.</w:t>
            </w:r>
          </w:p>
        </w:tc>
      </w:tr>
      <w:tr w:rsidR="00CB5E01" w:rsidRPr="00AC1D57" w:rsidTr="009832FC">
        <w:trPr>
          <w:trHeight w:val="372"/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7030A0"/>
                <w:sz w:val="20"/>
                <w:szCs w:val="20"/>
              </w:rPr>
            </w:pPr>
            <w:r w:rsidRPr="006A4A79">
              <w:rPr>
                <w:b/>
                <w:color w:val="7030A0"/>
                <w:sz w:val="20"/>
                <w:szCs w:val="20"/>
              </w:rPr>
              <w:t>Refinanciación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Negociación con número reducido.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Negociación con número amplio.</w:t>
            </w:r>
          </w:p>
        </w:tc>
      </w:tr>
      <w:tr w:rsidR="00CB5E01" w:rsidRPr="00AC1D57" w:rsidTr="009832FC">
        <w:trPr>
          <w:trHeight w:val="320"/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7030A0"/>
                <w:sz w:val="20"/>
                <w:szCs w:val="20"/>
              </w:rPr>
            </w:pPr>
            <w:r w:rsidRPr="006A4A79">
              <w:rPr>
                <w:b/>
                <w:color w:val="7030A0"/>
                <w:sz w:val="20"/>
                <w:szCs w:val="20"/>
              </w:rPr>
              <w:t>Tasa de interés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Calificación de riesgo crediticio – tasa activa.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Calificación y condiciones de mercado – tasa de mercado.</w:t>
            </w:r>
          </w:p>
        </w:tc>
      </w:tr>
      <w:tr w:rsidR="00CB5E01" w:rsidRPr="00AC1D57" w:rsidTr="009832FC">
        <w:trPr>
          <w:trHeight w:val="423"/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9832FC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7030A0"/>
                <w:sz w:val="20"/>
                <w:szCs w:val="20"/>
              </w:rPr>
            </w:pPr>
            <w:r w:rsidRPr="006A4A79">
              <w:rPr>
                <w:b/>
                <w:color w:val="7030A0"/>
                <w:sz w:val="20"/>
                <w:szCs w:val="20"/>
              </w:rPr>
              <w:t>Instrumentación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Menores gastos.</w:t>
            </w:r>
          </w:p>
        </w:tc>
        <w:tc>
          <w:tcPr>
            <w:tcW w:w="0" w:type="auto"/>
            <w:vAlign w:val="center"/>
          </w:tcPr>
          <w:p w:rsidR="00CB5E01" w:rsidRPr="005304F2" w:rsidRDefault="00CB5E01" w:rsidP="009832FC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5304F2">
              <w:rPr>
                <w:sz w:val="20"/>
                <w:szCs w:val="20"/>
              </w:rPr>
              <w:t>Más gastos, información pública, listado en bolsa.</w:t>
            </w:r>
          </w:p>
        </w:tc>
      </w:tr>
    </w:tbl>
    <w:p w:rsidR="00CB5E01" w:rsidRDefault="00CB5E01"/>
    <w:tbl>
      <w:tblPr>
        <w:tblStyle w:val="Tablaconcuadrcula"/>
        <w:tblW w:w="0" w:type="auto"/>
        <w:jc w:val="center"/>
        <w:tblLook w:val="04A0"/>
      </w:tblPr>
      <w:tblGrid>
        <w:gridCol w:w="3135"/>
        <w:gridCol w:w="2447"/>
        <w:gridCol w:w="2408"/>
      </w:tblGrid>
      <w:tr w:rsidR="00CB5E01" w:rsidTr="00CB5E01">
        <w:trPr>
          <w:jc w:val="center"/>
        </w:trPr>
        <w:tc>
          <w:tcPr>
            <w:tcW w:w="0" w:type="auto"/>
          </w:tcPr>
          <w:p w:rsidR="00CB5E01" w:rsidRPr="00CB5E01" w:rsidRDefault="00CB5E01" w:rsidP="00CB5E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B5E01" w:rsidRPr="006A4A79" w:rsidRDefault="00CB5E01" w:rsidP="00CB5E01">
            <w:pPr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SRP LONG - Activo</w:t>
            </w:r>
          </w:p>
        </w:tc>
        <w:tc>
          <w:tcPr>
            <w:tcW w:w="0" w:type="auto"/>
          </w:tcPr>
          <w:p w:rsidR="00CB5E01" w:rsidRPr="006A4A79" w:rsidRDefault="00CB5E01" w:rsidP="00CB5E01">
            <w:pPr>
              <w:jc w:val="center"/>
              <w:rPr>
                <w:b/>
                <w:color w:val="FF0066"/>
                <w:sz w:val="20"/>
                <w:szCs w:val="20"/>
              </w:rPr>
            </w:pPr>
            <w:r w:rsidRPr="006A4A79">
              <w:rPr>
                <w:b/>
                <w:color w:val="FF0066"/>
                <w:sz w:val="20"/>
                <w:szCs w:val="20"/>
              </w:rPr>
              <w:t>SRP SHORT - Pasivo</w:t>
            </w:r>
          </w:p>
        </w:tc>
      </w:tr>
      <w:tr w:rsidR="00CB5E01" w:rsidTr="00CB5E01">
        <w:trPr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CB5E01">
            <w:pPr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Cobertura – Plena aversión al riesgo</w:t>
            </w:r>
          </w:p>
        </w:tc>
        <w:tc>
          <w:tcPr>
            <w:tcW w:w="0" w:type="auto"/>
            <w:vAlign w:val="center"/>
          </w:tcPr>
          <w:p w:rsidR="00CB5E01" w:rsidRP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</w:tcPr>
          <w:p w:rsidR="00CB5E01" w:rsidRP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</w:tr>
      <w:tr w:rsidR="00CB5E01" w:rsidTr="00CB5E01">
        <w:trPr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CB5E01">
            <w:pPr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Riesgo – Pierde</w:t>
            </w:r>
          </w:p>
        </w:tc>
        <w:tc>
          <w:tcPr>
            <w:tcW w:w="0" w:type="auto"/>
            <w:vAlign w:val="center"/>
          </w:tcPr>
          <w:p w:rsidR="00CB5E01" w:rsidRP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 del precio del activo</w:t>
            </w:r>
          </w:p>
        </w:tc>
        <w:tc>
          <w:tcPr>
            <w:tcW w:w="0" w:type="auto"/>
            <w:vAlign w:val="center"/>
          </w:tcPr>
          <w:p w:rsidR="00CB5E01" w:rsidRP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 del precio del activo</w:t>
            </w:r>
          </w:p>
        </w:tc>
      </w:tr>
      <w:tr w:rsidR="00CB5E01" w:rsidTr="00CB5E01">
        <w:trPr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CB5E01">
            <w:pPr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Contrato</w:t>
            </w:r>
          </w:p>
        </w:tc>
        <w:tc>
          <w:tcPr>
            <w:tcW w:w="0" w:type="auto"/>
            <w:vAlign w:val="center"/>
          </w:tcPr>
          <w:p w:rsid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</w:t>
            </w:r>
          </w:p>
        </w:tc>
        <w:tc>
          <w:tcPr>
            <w:tcW w:w="0" w:type="auto"/>
            <w:vAlign w:val="center"/>
          </w:tcPr>
          <w:p w:rsid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</w:t>
            </w:r>
          </w:p>
        </w:tc>
      </w:tr>
      <w:tr w:rsidR="00CB5E01" w:rsidTr="00CB5E01">
        <w:trPr>
          <w:jc w:val="center"/>
        </w:trPr>
        <w:tc>
          <w:tcPr>
            <w:tcW w:w="0" w:type="auto"/>
            <w:vAlign w:val="center"/>
          </w:tcPr>
          <w:p w:rsidR="00CB5E01" w:rsidRPr="006A4A79" w:rsidRDefault="00CB5E01" w:rsidP="00CB5E01">
            <w:pPr>
              <w:jc w:val="center"/>
              <w:rPr>
                <w:i/>
                <w:color w:val="7030A0"/>
                <w:sz w:val="20"/>
                <w:szCs w:val="20"/>
              </w:rPr>
            </w:pPr>
            <w:r w:rsidRPr="006A4A79">
              <w:rPr>
                <w:i/>
                <w:color w:val="7030A0"/>
                <w:sz w:val="20"/>
                <w:szCs w:val="20"/>
              </w:rPr>
              <w:t>Gestión activa al riesgo</w:t>
            </w:r>
          </w:p>
        </w:tc>
        <w:tc>
          <w:tcPr>
            <w:tcW w:w="0" w:type="auto"/>
            <w:vAlign w:val="center"/>
          </w:tcPr>
          <w:p w:rsidR="00CB5E01" w:rsidRDefault="00CB5E01" w:rsidP="00CB5E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Gana con la suba del precio</w:t>
            </w:r>
          </w:p>
        </w:tc>
        <w:tc>
          <w:tcPr>
            <w:tcW w:w="0" w:type="auto"/>
            <w:vAlign w:val="center"/>
          </w:tcPr>
          <w:p w:rsidR="00CB5E01" w:rsidRDefault="00CB5E01" w:rsidP="00CB5E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Gana con la baja del precio</w:t>
            </w:r>
          </w:p>
        </w:tc>
      </w:tr>
    </w:tbl>
    <w:p w:rsidR="006A4A79" w:rsidRDefault="006A4A79" w:rsidP="00A2646D"/>
    <w:tbl>
      <w:tblPr>
        <w:tblStyle w:val="Tablaconcuadrcula"/>
        <w:tblW w:w="0" w:type="auto"/>
        <w:jc w:val="center"/>
        <w:tblInd w:w="786" w:type="dxa"/>
        <w:tblLook w:val="04A0"/>
      </w:tblPr>
      <w:tblGrid>
        <w:gridCol w:w="1700"/>
        <w:gridCol w:w="4378"/>
        <w:gridCol w:w="4152"/>
      </w:tblGrid>
      <w:tr w:rsidR="00A2646D" w:rsidRPr="00CE3B47" w:rsidTr="0007173F">
        <w:trPr>
          <w:trHeight w:val="22"/>
          <w:jc w:val="center"/>
        </w:trPr>
        <w:tc>
          <w:tcPr>
            <w:tcW w:w="1700" w:type="dxa"/>
          </w:tcPr>
          <w:p w:rsidR="00A2646D" w:rsidRPr="00CE3B47" w:rsidRDefault="006A4A79" w:rsidP="0007173F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>
              <w:tab/>
            </w:r>
          </w:p>
        </w:tc>
        <w:tc>
          <w:tcPr>
            <w:tcW w:w="4378" w:type="dxa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 w:rsidRPr="00CE3B47">
              <w:rPr>
                <w:b/>
                <w:color w:val="CC0066"/>
                <w:sz w:val="20"/>
                <w:szCs w:val="20"/>
              </w:rPr>
              <w:t>Mercado Bancario/Dinero</w:t>
            </w:r>
          </w:p>
        </w:tc>
        <w:tc>
          <w:tcPr>
            <w:tcW w:w="0" w:type="auto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 w:rsidRPr="00CE3B47">
              <w:rPr>
                <w:b/>
                <w:color w:val="CC0066"/>
                <w:sz w:val="20"/>
                <w:szCs w:val="20"/>
              </w:rPr>
              <w:t>Mercado de Capitales</w:t>
            </w:r>
          </w:p>
        </w:tc>
      </w:tr>
      <w:tr w:rsidR="00A2646D" w:rsidRPr="00CE3B47" w:rsidTr="0007173F">
        <w:trPr>
          <w:trHeight w:val="22"/>
          <w:jc w:val="center"/>
        </w:trPr>
        <w:tc>
          <w:tcPr>
            <w:tcW w:w="1700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 w:rsidRPr="00CE3B47">
              <w:rPr>
                <w:b/>
                <w:color w:val="CC0066"/>
                <w:sz w:val="20"/>
                <w:szCs w:val="20"/>
              </w:rPr>
              <w:t>Plazo</w:t>
            </w:r>
          </w:p>
        </w:tc>
        <w:tc>
          <w:tcPr>
            <w:tcW w:w="4378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Corto plazo</w:t>
            </w:r>
            <w:r>
              <w:rPr>
                <w:sz w:val="20"/>
                <w:szCs w:val="20"/>
              </w:rPr>
              <w:t xml:space="preserve"> – Liquidez</w:t>
            </w:r>
          </w:p>
        </w:tc>
        <w:tc>
          <w:tcPr>
            <w:tcW w:w="0" w:type="auto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Mediano – Largo plazo</w:t>
            </w:r>
          </w:p>
        </w:tc>
      </w:tr>
      <w:tr w:rsidR="00A2646D" w:rsidRPr="00CE3B47" w:rsidTr="0007173F">
        <w:trPr>
          <w:trHeight w:val="22"/>
          <w:jc w:val="center"/>
        </w:trPr>
        <w:tc>
          <w:tcPr>
            <w:tcW w:w="1700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 w:rsidRPr="00CE3B47">
              <w:rPr>
                <w:b/>
                <w:color w:val="CC0066"/>
                <w:sz w:val="20"/>
                <w:szCs w:val="20"/>
              </w:rPr>
              <w:t>Intermediación</w:t>
            </w:r>
          </w:p>
        </w:tc>
        <w:tc>
          <w:tcPr>
            <w:tcW w:w="4378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CE3B47">
              <w:rPr>
                <w:b/>
                <w:sz w:val="20"/>
                <w:szCs w:val="20"/>
              </w:rPr>
              <w:t xml:space="preserve">Indirecta: </w:t>
            </w:r>
            <w:r w:rsidRPr="00CE3B47">
              <w:rPr>
                <w:sz w:val="20"/>
                <w:szCs w:val="20"/>
              </w:rPr>
              <w:t>Inversor coloca fondos en el banco, el banco se los presta a otra persona – El vínculo es con el banco.</w:t>
            </w:r>
          </w:p>
        </w:tc>
        <w:tc>
          <w:tcPr>
            <w:tcW w:w="0" w:type="auto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CE3B47">
              <w:rPr>
                <w:b/>
                <w:sz w:val="20"/>
                <w:szCs w:val="20"/>
              </w:rPr>
              <w:t xml:space="preserve">Directa: </w:t>
            </w:r>
            <w:r w:rsidRPr="00CE3B47">
              <w:rPr>
                <w:sz w:val="20"/>
                <w:szCs w:val="20"/>
              </w:rPr>
              <w:t>Aunque exista un agente de bolsa, el derecho y la obligación está ligada al inversor y la empresa emisora.</w:t>
            </w:r>
          </w:p>
        </w:tc>
      </w:tr>
      <w:tr w:rsidR="00A2646D" w:rsidRPr="00CE3B47" w:rsidTr="0007173F">
        <w:trPr>
          <w:trHeight w:val="22"/>
          <w:jc w:val="center"/>
        </w:trPr>
        <w:tc>
          <w:tcPr>
            <w:tcW w:w="1700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>
              <w:rPr>
                <w:b/>
                <w:color w:val="CC0066"/>
                <w:sz w:val="20"/>
                <w:szCs w:val="20"/>
              </w:rPr>
              <w:t>Asume el riesgo</w:t>
            </w:r>
            <w:r w:rsidRPr="00CE3B47">
              <w:rPr>
                <w:b/>
                <w:color w:val="CC0066"/>
                <w:sz w:val="20"/>
                <w:szCs w:val="20"/>
              </w:rPr>
              <w:t xml:space="preserve"> </w:t>
            </w:r>
          </w:p>
        </w:tc>
        <w:tc>
          <w:tcPr>
            <w:tcW w:w="4378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l banco asume el riesgo porque </w:t>
            </w:r>
            <w:r w:rsidRPr="00CE3B47">
              <w:rPr>
                <w:sz w:val="20"/>
                <w:szCs w:val="20"/>
              </w:rPr>
              <w:t>es quien hace la colocación con los fondos prestados (</w:t>
            </w:r>
            <w:r>
              <w:rPr>
                <w:sz w:val="20"/>
                <w:szCs w:val="20"/>
              </w:rPr>
              <w:t>BAJO).</w:t>
            </w:r>
          </w:p>
        </w:tc>
        <w:tc>
          <w:tcPr>
            <w:tcW w:w="0" w:type="auto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 xml:space="preserve">El agente de bolsa </w:t>
            </w:r>
            <w:r>
              <w:rPr>
                <w:sz w:val="20"/>
                <w:szCs w:val="20"/>
              </w:rPr>
              <w:t>NO asume</w:t>
            </w:r>
            <w:r w:rsidRPr="00CE3B47">
              <w:rPr>
                <w:sz w:val="20"/>
                <w:szCs w:val="20"/>
              </w:rPr>
              <w:t xml:space="preserve"> el riesgo de las operaciones.</w:t>
            </w:r>
            <w:r>
              <w:rPr>
                <w:sz w:val="20"/>
                <w:szCs w:val="20"/>
              </w:rPr>
              <w:t xml:space="preserve"> El inversor asume el riesgo. </w:t>
            </w:r>
          </w:p>
        </w:tc>
      </w:tr>
      <w:tr w:rsidR="00A2646D" w:rsidRPr="00CE3B47" w:rsidTr="0007173F">
        <w:trPr>
          <w:trHeight w:val="22"/>
          <w:jc w:val="center"/>
        </w:trPr>
        <w:tc>
          <w:tcPr>
            <w:tcW w:w="1700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 w:rsidRPr="00CE3B47">
              <w:rPr>
                <w:b/>
                <w:color w:val="CC0066"/>
                <w:sz w:val="20"/>
                <w:szCs w:val="20"/>
              </w:rPr>
              <w:t>Tasa</w:t>
            </w:r>
          </w:p>
        </w:tc>
        <w:tc>
          <w:tcPr>
            <w:tcW w:w="4378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SPREAD (Tasa activa – Tasa pasiva).</w:t>
            </w:r>
          </w:p>
        </w:tc>
        <w:tc>
          <w:tcPr>
            <w:tcW w:w="0" w:type="auto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Comisión</w:t>
            </w:r>
          </w:p>
        </w:tc>
      </w:tr>
      <w:tr w:rsidR="00A2646D" w:rsidRPr="00CE3B47" w:rsidTr="0007173F">
        <w:trPr>
          <w:trHeight w:val="22"/>
          <w:jc w:val="center"/>
        </w:trPr>
        <w:tc>
          <w:tcPr>
            <w:tcW w:w="1700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b/>
                <w:color w:val="CC0066"/>
                <w:sz w:val="20"/>
                <w:szCs w:val="20"/>
              </w:rPr>
            </w:pPr>
            <w:r>
              <w:rPr>
                <w:b/>
                <w:color w:val="CC0066"/>
                <w:sz w:val="20"/>
                <w:szCs w:val="20"/>
              </w:rPr>
              <w:t>Instrumentos</w:t>
            </w:r>
          </w:p>
        </w:tc>
        <w:tc>
          <w:tcPr>
            <w:tcW w:w="4378" w:type="dxa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Depósitos a la vista, plazo fijo</w:t>
            </w:r>
          </w:p>
        </w:tc>
        <w:tc>
          <w:tcPr>
            <w:tcW w:w="0" w:type="auto"/>
            <w:vAlign w:val="center"/>
          </w:tcPr>
          <w:p w:rsidR="00A2646D" w:rsidRPr="00CE3B47" w:rsidRDefault="00A2646D" w:rsidP="0007173F">
            <w:pPr>
              <w:pStyle w:val="Prrafodelista"/>
              <w:spacing w:before="40" w:after="40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CE3B47">
              <w:rPr>
                <w:sz w:val="20"/>
                <w:szCs w:val="20"/>
              </w:rPr>
              <w:t>Acciones, bonos.</w:t>
            </w:r>
          </w:p>
        </w:tc>
      </w:tr>
    </w:tbl>
    <w:p w:rsidR="00CB5E01" w:rsidRPr="006A4A79" w:rsidRDefault="00CB5E01" w:rsidP="006A4A79">
      <w:pPr>
        <w:tabs>
          <w:tab w:val="left" w:pos="1590"/>
        </w:tabs>
      </w:pPr>
    </w:p>
    <w:sectPr w:rsidR="00CB5E01" w:rsidRPr="006A4A79" w:rsidSect="00C04BD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266" w:rsidRDefault="00AC4266" w:rsidP="00C04BD7">
      <w:pPr>
        <w:spacing w:after="0" w:line="240" w:lineRule="auto"/>
      </w:pPr>
      <w:r>
        <w:separator/>
      </w:r>
    </w:p>
  </w:endnote>
  <w:endnote w:type="continuationSeparator" w:id="0">
    <w:p w:rsidR="00AC4266" w:rsidRDefault="00AC4266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266" w:rsidRDefault="00AC4266" w:rsidP="00C04BD7">
      <w:pPr>
        <w:spacing w:after="0" w:line="240" w:lineRule="auto"/>
      </w:pPr>
      <w:r>
        <w:separator/>
      </w:r>
    </w:p>
  </w:footnote>
  <w:footnote w:type="continuationSeparator" w:id="0">
    <w:p w:rsidR="00AC4266" w:rsidRDefault="00AC4266" w:rsidP="00C04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625"/>
    <w:rsid w:val="001A3305"/>
    <w:rsid w:val="00394F96"/>
    <w:rsid w:val="006521A9"/>
    <w:rsid w:val="006A4A79"/>
    <w:rsid w:val="0070656A"/>
    <w:rsid w:val="00864FD2"/>
    <w:rsid w:val="00A2646D"/>
    <w:rsid w:val="00AB26A7"/>
    <w:rsid w:val="00AC4266"/>
    <w:rsid w:val="00C04BD7"/>
    <w:rsid w:val="00C2203D"/>
    <w:rsid w:val="00CB3FD5"/>
    <w:rsid w:val="00CB5E01"/>
    <w:rsid w:val="00D84583"/>
    <w:rsid w:val="00E02A11"/>
    <w:rsid w:val="00F8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table" w:styleId="Tablaconcuadrcula">
    <w:name w:val="Table Grid"/>
    <w:basedOn w:val="Tablanormal"/>
    <w:uiPriority w:val="59"/>
    <w:rsid w:val="00D84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5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41</TotalTime>
  <Pages>1</Pages>
  <Words>391</Words>
  <Characters>2030</Characters>
  <Application>Microsoft Office Word</Application>
  <DocSecurity>0</DocSecurity>
  <Lines>29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3</cp:revision>
  <dcterms:created xsi:type="dcterms:W3CDTF">2018-12-03T16:48:00Z</dcterms:created>
  <dcterms:modified xsi:type="dcterms:W3CDTF">2018-12-04T02:08:00Z</dcterms:modified>
</cp:coreProperties>
</file>