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540" w:rsidRPr="00E43540" w:rsidRDefault="00E43540" w:rsidP="00E43540">
      <w:pPr>
        <w:pStyle w:val="Ttulo2"/>
        <w:rPr>
          <w:color w:val="7030A0"/>
        </w:rPr>
      </w:pPr>
      <w:r w:rsidRPr="00E43540">
        <w:rPr>
          <w:color w:val="7030A0"/>
        </w:rPr>
        <w:t>TASAS</w:t>
      </w:r>
    </w:p>
    <w:p w:rsidR="00E43540" w:rsidRPr="00B16A93" w:rsidRDefault="00E43540" w:rsidP="00E43540">
      <w:pPr>
        <w:pStyle w:val="Prrafodelista"/>
        <w:numPr>
          <w:ilvl w:val="0"/>
          <w:numId w:val="1"/>
        </w:numPr>
        <w:spacing w:before="120" w:after="120"/>
        <w:ind w:hanging="357"/>
        <w:contextualSpacing w:val="0"/>
        <w:rPr>
          <w:color w:val="CC0066"/>
          <w:sz w:val="20"/>
          <w:szCs w:val="20"/>
        </w:rPr>
      </w:pPr>
      <w:r w:rsidRPr="00B16A93">
        <w:rPr>
          <w:b/>
          <w:i/>
          <w:color w:val="CC0066"/>
          <w:sz w:val="20"/>
          <w:szCs w:val="20"/>
          <w:u w:val="single"/>
        </w:rPr>
        <w:t>Euromercado:</w:t>
      </w:r>
      <w:r>
        <w:rPr>
          <w:b/>
          <w:i/>
          <w:color w:val="CC0066"/>
          <w:sz w:val="20"/>
          <w:szCs w:val="20"/>
        </w:rPr>
        <w:t xml:space="preserve"> </w:t>
      </w:r>
      <w:r>
        <w:rPr>
          <w:sz w:val="20"/>
          <w:szCs w:val="20"/>
        </w:rPr>
        <w:t>Mercado</w:t>
      </w:r>
      <w:r w:rsidRPr="00F546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donde se </w:t>
      </w:r>
      <w:r w:rsidRPr="00F5466B">
        <w:rPr>
          <w:sz w:val="20"/>
          <w:szCs w:val="20"/>
        </w:rPr>
        <w:t>colocan bonos y obligaciones denominados en una divisa que no es la de su país de origen.</w:t>
      </w:r>
    </w:p>
    <w:p w:rsidR="00E43540" w:rsidRPr="00B16A93" w:rsidRDefault="00E43540" w:rsidP="00E43540">
      <w:pPr>
        <w:pStyle w:val="Prrafodelista"/>
        <w:numPr>
          <w:ilvl w:val="0"/>
          <w:numId w:val="2"/>
        </w:numPr>
        <w:spacing w:before="120" w:after="120"/>
        <w:ind w:hanging="357"/>
        <w:contextualSpacing w:val="0"/>
        <w:rPr>
          <w:sz w:val="20"/>
          <w:szCs w:val="20"/>
        </w:rPr>
      </w:pPr>
      <w:r w:rsidRPr="00B16A93">
        <w:rPr>
          <w:b/>
          <w:color w:val="FF0066"/>
          <w:sz w:val="20"/>
          <w:szCs w:val="20"/>
        </w:rPr>
        <w:t>LIBOR:</w:t>
      </w:r>
      <w:r w:rsidRPr="00B16A93">
        <w:rPr>
          <w:b/>
          <w:i/>
          <w:sz w:val="20"/>
          <w:szCs w:val="20"/>
        </w:rPr>
        <w:t xml:space="preserve"> </w:t>
      </w:r>
      <w:r w:rsidRPr="00B16A93">
        <w:rPr>
          <w:sz w:val="20"/>
          <w:szCs w:val="20"/>
        </w:rPr>
        <w:t xml:space="preserve">Es la tasa de interés de referencia interbancaria utilizada en todo el mundo para operaciones en diversa monedas. Está determinada por la Asociación de Banqueros Británicos en Londres. </w:t>
      </w:r>
    </w:p>
    <w:p w:rsidR="00E43540" w:rsidRPr="00B16A93" w:rsidRDefault="00E43540" w:rsidP="00E43540">
      <w:pPr>
        <w:pStyle w:val="Prrafodelista"/>
        <w:numPr>
          <w:ilvl w:val="0"/>
          <w:numId w:val="2"/>
        </w:numPr>
        <w:spacing w:before="120" w:after="120"/>
        <w:ind w:hanging="357"/>
        <w:contextualSpacing w:val="0"/>
        <w:rPr>
          <w:sz w:val="20"/>
          <w:szCs w:val="20"/>
        </w:rPr>
      </w:pPr>
      <w:r w:rsidRPr="00B16A93">
        <w:rPr>
          <w:b/>
          <w:color w:val="FF0066"/>
          <w:sz w:val="20"/>
          <w:szCs w:val="20"/>
        </w:rPr>
        <w:t>EUROLIBOR:</w:t>
      </w:r>
      <w:r w:rsidRPr="00B16A93">
        <w:rPr>
          <w:sz w:val="20"/>
          <w:szCs w:val="20"/>
        </w:rPr>
        <w:t xml:space="preserve"> Es una tasa de interés de referencia interbancaria utilizada para operaciones entre bancos de Londres.</w:t>
      </w:r>
    </w:p>
    <w:p w:rsidR="00E43540" w:rsidRPr="00B16A93" w:rsidRDefault="00E43540" w:rsidP="00E43540">
      <w:pPr>
        <w:pStyle w:val="Prrafodelista"/>
        <w:numPr>
          <w:ilvl w:val="0"/>
          <w:numId w:val="3"/>
        </w:numPr>
        <w:spacing w:before="120" w:after="120" w:line="259" w:lineRule="auto"/>
        <w:ind w:hanging="357"/>
        <w:contextualSpacing w:val="0"/>
        <w:jc w:val="both"/>
        <w:rPr>
          <w:rFonts w:ascii="Calibri" w:eastAsia="Calibri" w:hAnsi="Calibri" w:cs="Times New Roman"/>
          <w:b/>
          <w:i/>
          <w:color w:val="CC0066"/>
          <w:sz w:val="20"/>
          <w:szCs w:val="20"/>
          <w:u w:val="single"/>
          <w:lang w:eastAsia="en-US"/>
        </w:rPr>
      </w:pPr>
      <w:r w:rsidRPr="00B16A93">
        <w:rPr>
          <w:rFonts w:ascii="Calibri" w:eastAsia="Calibri" w:hAnsi="Calibri" w:cs="Times New Roman"/>
          <w:b/>
          <w:i/>
          <w:color w:val="CC0066"/>
          <w:sz w:val="20"/>
          <w:szCs w:val="20"/>
          <w:u w:val="single"/>
          <w:lang w:eastAsia="en-US"/>
        </w:rPr>
        <w:t>Eurozona:</w:t>
      </w:r>
      <w:r>
        <w:rPr>
          <w:rFonts w:ascii="Calibri" w:eastAsia="Calibri" w:hAnsi="Calibri" w:cs="Times New Roman"/>
          <w:color w:val="CC0066"/>
          <w:sz w:val="20"/>
          <w:szCs w:val="20"/>
          <w:lang w:eastAsia="en-US"/>
        </w:rPr>
        <w:t xml:space="preserve"> </w:t>
      </w:r>
      <w:r w:rsidRPr="00F5466B">
        <w:rPr>
          <w:rFonts w:ascii="Calibri" w:eastAsia="Calibri" w:hAnsi="Calibri" w:cs="Times New Roman"/>
          <w:sz w:val="20"/>
          <w:szCs w:val="20"/>
          <w:lang w:eastAsia="en-US"/>
        </w:rPr>
        <w:t xml:space="preserve">Países de la zona del euro – </w:t>
      </w:r>
      <w:proofErr w:type="spellStart"/>
      <w:r w:rsidRPr="00F5466B">
        <w:rPr>
          <w:rFonts w:ascii="Calibri" w:eastAsia="Calibri" w:hAnsi="Calibri" w:cs="Times New Roman"/>
          <w:sz w:val="20"/>
          <w:szCs w:val="20"/>
          <w:lang w:eastAsia="en-US"/>
        </w:rPr>
        <w:t>Union</w:t>
      </w:r>
      <w:proofErr w:type="spellEnd"/>
      <w:r w:rsidRPr="00F5466B">
        <w:rPr>
          <w:rFonts w:ascii="Calibri" w:eastAsia="Calibri" w:hAnsi="Calibri" w:cs="Times New Roman"/>
          <w:sz w:val="20"/>
          <w:szCs w:val="20"/>
          <w:lang w:eastAsia="en-US"/>
        </w:rPr>
        <w:t xml:space="preserve"> Europea.</w:t>
      </w:r>
    </w:p>
    <w:p w:rsidR="00E43540" w:rsidRPr="00B16A93" w:rsidRDefault="00E43540" w:rsidP="00E43540">
      <w:pPr>
        <w:pStyle w:val="Prrafodelista"/>
        <w:numPr>
          <w:ilvl w:val="0"/>
          <w:numId w:val="4"/>
        </w:numPr>
        <w:spacing w:before="120" w:after="120" w:line="259" w:lineRule="auto"/>
        <w:ind w:hanging="357"/>
        <w:contextualSpacing w:val="0"/>
        <w:jc w:val="both"/>
        <w:rPr>
          <w:rFonts w:ascii="Calibri" w:eastAsia="Calibri" w:hAnsi="Calibri" w:cs="Times New Roman"/>
          <w:sz w:val="20"/>
          <w:szCs w:val="20"/>
          <w:lang w:eastAsia="en-US"/>
        </w:rPr>
      </w:pPr>
      <w:r w:rsidRPr="00B16A93">
        <w:rPr>
          <w:rFonts w:ascii="Calibri" w:eastAsia="Calibri" w:hAnsi="Calibri" w:cs="Times New Roman"/>
          <w:b/>
          <w:color w:val="FF0066"/>
          <w:sz w:val="20"/>
          <w:szCs w:val="20"/>
          <w:lang w:eastAsia="en-US"/>
        </w:rPr>
        <w:t>EURIBOR:</w:t>
      </w:r>
      <w:r w:rsidRPr="00B16A93">
        <w:rPr>
          <w:rFonts w:ascii="Calibri" w:eastAsia="Calibri" w:hAnsi="Calibri" w:cs="Times New Roman"/>
          <w:sz w:val="20"/>
          <w:szCs w:val="20"/>
          <w:lang w:eastAsia="en-US"/>
        </w:rPr>
        <w:t xml:space="preserve"> Es la tasa para colocaciones interbancarias a plazo en la zona del euro. Es una tasa domestica. TNA o TEA.</w:t>
      </w:r>
    </w:p>
    <w:p w:rsidR="00E43540" w:rsidRPr="00B16A93" w:rsidRDefault="00E43540" w:rsidP="00E43540">
      <w:pPr>
        <w:pStyle w:val="Prrafodelista"/>
        <w:numPr>
          <w:ilvl w:val="0"/>
          <w:numId w:val="4"/>
        </w:numPr>
        <w:spacing w:before="120" w:after="120" w:line="259" w:lineRule="auto"/>
        <w:ind w:hanging="357"/>
        <w:contextualSpacing w:val="0"/>
        <w:jc w:val="both"/>
        <w:rPr>
          <w:rFonts w:ascii="Calibri" w:eastAsia="Calibri" w:hAnsi="Calibri" w:cs="Times New Roman"/>
          <w:sz w:val="20"/>
          <w:szCs w:val="20"/>
          <w:lang w:eastAsia="en-US"/>
        </w:rPr>
      </w:pPr>
      <w:r w:rsidRPr="00B16A93">
        <w:rPr>
          <w:rFonts w:ascii="Calibri" w:eastAsia="Calibri" w:hAnsi="Calibri" w:cs="Times New Roman"/>
          <w:b/>
          <w:color w:val="FF0066"/>
          <w:sz w:val="20"/>
          <w:szCs w:val="20"/>
          <w:lang w:eastAsia="en-US"/>
        </w:rPr>
        <w:t>EONIA:</w:t>
      </w:r>
      <w:r w:rsidRPr="00B16A93">
        <w:rPr>
          <w:rFonts w:ascii="Calibri" w:eastAsia="Calibri" w:hAnsi="Calibri" w:cs="Times New Roman"/>
          <w:sz w:val="20"/>
          <w:szCs w:val="20"/>
          <w:lang w:eastAsia="en-US"/>
        </w:rPr>
        <w:t xml:space="preserve"> Tasa en euros, para préstamos overnight, es puramente interbancaria.</w:t>
      </w:r>
    </w:p>
    <w:p w:rsidR="00E43540" w:rsidRPr="00B16A93" w:rsidRDefault="00E43540" w:rsidP="00E43540">
      <w:pPr>
        <w:pStyle w:val="Prrafodelista"/>
        <w:numPr>
          <w:ilvl w:val="0"/>
          <w:numId w:val="4"/>
        </w:numPr>
        <w:spacing w:before="120" w:after="120" w:line="259" w:lineRule="auto"/>
        <w:ind w:hanging="357"/>
        <w:contextualSpacing w:val="0"/>
        <w:jc w:val="both"/>
        <w:rPr>
          <w:rFonts w:ascii="Calibri" w:eastAsia="Calibri" w:hAnsi="Calibri" w:cs="Times New Roman"/>
          <w:sz w:val="20"/>
          <w:szCs w:val="20"/>
          <w:lang w:eastAsia="en-US"/>
        </w:rPr>
      </w:pPr>
      <w:r w:rsidRPr="00B16A93">
        <w:rPr>
          <w:rFonts w:ascii="Calibri" w:eastAsia="Calibri" w:hAnsi="Calibri" w:cs="Times New Roman"/>
          <w:b/>
          <w:color w:val="FF0066"/>
          <w:sz w:val="20"/>
          <w:szCs w:val="20"/>
          <w:lang w:eastAsia="en-US"/>
        </w:rPr>
        <w:t>T</w:t>
      </w:r>
      <w:r>
        <w:rPr>
          <w:rFonts w:ascii="Calibri" w:eastAsia="Calibri" w:hAnsi="Calibri" w:cs="Times New Roman"/>
          <w:b/>
          <w:color w:val="FF0066"/>
          <w:sz w:val="20"/>
          <w:szCs w:val="20"/>
          <w:lang w:eastAsia="en-US"/>
        </w:rPr>
        <w:t xml:space="preserve">ASA </w:t>
      </w:r>
      <w:r w:rsidRPr="00B16A93">
        <w:rPr>
          <w:rFonts w:ascii="Calibri" w:eastAsia="Calibri" w:hAnsi="Calibri" w:cs="Times New Roman"/>
          <w:b/>
          <w:color w:val="FF0066"/>
          <w:sz w:val="20"/>
          <w:szCs w:val="20"/>
          <w:lang w:eastAsia="en-US"/>
        </w:rPr>
        <w:t>BCE:</w:t>
      </w:r>
      <w:r w:rsidRPr="00B16A93">
        <w:rPr>
          <w:rFonts w:ascii="Calibri" w:eastAsia="Calibri" w:hAnsi="Calibri" w:cs="Times New Roman"/>
          <w:sz w:val="20"/>
          <w:szCs w:val="20"/>
          <w:lang w:eastAsia="en-US"/>
        </w:rPr>
        <w:t xml:space="preserve"> Tasa objetivo del Banco Central Europeo, autoridad monetaria de la eurozona.</w:t>
      </w:r>
    </w:p>
    <w:p w:rsidR="00E43540" w:rsidRPr="00E43540" w:rsidRDefault="00E43540" w:rsidP="00E43540">
      <w:pPr>
        <w:pStyle w:val="Ttulo2"/>
        <w:rPr>
          <w:color w:val="7030A0"/>
        </w:rPr>
      </w:pPr>
      <w:r w:rsidRPr="00E43540">
        <w:rPr>
          <w:color w:val="7030A0"/>
        </w:rPr>
        <w:t>SISTEMA MONETARIO – PATRÓN ORO</w:t>
      </w:r>
    </w:p>
    <w:p w:rsidR="00E43540" w:rsidRPr="00B16A93" w:rsidRDefault="00E43540" w:rsidP="00E43540">
      <w:pPr>
        <w:pStyle w:val="Prrafodelista"/>
        <w:numPr>
          <w:ilvl w:val="0"/>
          <w:numId w:val="5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B16A93">
        <w:rPr>
          <w:b/>
          <w:i/>
          <w:color w:val="CC0066"/>
          <w:sz w:val="20"/>
          <w:szCs w:val="20"/>
          <w:u w:val="single"/>
        </w:rPr>
        <w:t>Primera etapa:</w:t>
      </w:r>
      <w:r w:rsidRPr="00B16A93">
        <w:rPr>
          <w:sz w:val="20"/>
          <w:szCs w:val="20"/>
        </w:rPr>
        <w:t xml:space="preserve"> Desde la primera guerra mundial, hasta el final de la segunda (1914 – 1944). Rige la convertibilidad de las monedas respecto del oro. El dólar le pone precio al oro. </w:t>
      </w:r>
    </w:p>
    <w:p w:rsidR="00E43540" w:rsidRDefault="00E43540" w:rsidP="00E43540">
      <w:pPr>
        <w:pStyle w:val="Prrafodelista"/>
        <w:spacing w:before="120" w:after="120"/>
        <w:ind w:left="357"/>
        <w:contextualSpacing w:val="0"/>
        <w:rPr>
          <w:sz w:val="20"/>
          <w:szCs w:val="20"/>
        </w:rPr>
      </w:pPr>
      <w:r w:rsidRPr="00B16A93">
        <w:rPr>
          <w:sz w:val="20"/>
          <w:szCs w:val="20"/>
        </w:rPr>
        <w:t xml:space="preserve">Post guerra había que recuperar la economía. Las potencias se reúnen en </w:t>
      </w:r>
      <w:proofErr w:type="spellStart"/>
      <w:r w:rsidRPr="00B16A93">
        <w:rPr>
          <w:sz w:val="20"/>
          <w:szCs w:val="20"/>
        </w:rPr>
        <w:t>Bretton</w:t>
      </w:r>
      <w:proofErr w:type="spellEnd"/>
      <w:r w:rsidRPr="00B16A93">
        <w:rPr>
          <w:sz w:val="20"/>
          <w:szCs w:val="20"/>
        </w:rPr>
        <w:t xml:space="preserve"> Woods para crear un acuerdo en el que se establece un nuevo sistema monetario internacional post guerra basado en el Dólar estadounidense.</w:t>
      </w:r>
      <w:r>
        <w:rPr>
          <w:sz w:val="20"/>
          <w:szCs w:val="20"/>
        </w:rPr>
        <w:t xml:space="preserve"> </w:t>
      </w:r>
      <w:r w:rsidRPr="00CA4809">
        <w:rPr>
          <w:sz w:val="20"/>
          <w:szCs w:val="20"/>
        </w:rPr>
        <w:t>Esto posibilito la formación de dos nuevas instituciones. El FMI</w:t>
      </w:r>
      <w:r>
        <w:rPr>
          <w:sz w:val="20"/>
          <w:szCs w:val="20"/>
        </w:rPr>
        <w:t>,</w:t>
      </w:r>
      <w:r w:rsidRPr="00CA4809">
        <w:rPr>
          <w:sz w:val="20"/>
          <w:szCs w:val="20"/>
        </w:rPr>
        <w:t xml:space="preserve"> que ayuda a los países con problemas en su balanza de pagos y tipos de cambio y el Banco Mundial que ayudo a fondear la reconstrucción post guerra y desde entonces apoya el desarrollo económico general a largo plazo. </w:t>
      </w:r>
    </w:p>
    <w:p w:rsidR="00E43540" w:rsidRPr="00CA4809" w:rsidRDefault="00E43540" w:rsidP="00E43540">
      <w:pPr>
        <w:pStyle w:val="Prrafodelista"/>
        <w:spacing w:before="120" w:after="120"/>
        <w:ind w:left="357"/>
        <w:contextualSpacing w:val="0"/>
        <w:rPr>
          <w:sz w:val="20"/>
          <w:szCs w:val="20"/>
        </w:rPr>
      </w:pPr>
      <w:proofErr w:type="spellStart"/>
      <w:r w:rsidRPr="00CA4809">
        <w:rPr>
          <w:sz w:val="20"/>
          <w:szCs w:val="20"/>
        </w:rPr>
        <w:t>Bretton</w:t>
      </w:r>
      <w:proofErr w:type="spellEnd"/>
      <w:r w:rsidRPr="00CA4809">
        <w:rPr>
          <w:sz w:val="20"/>
          <w:szCs w:val="20"/>
        </w:rPr>
        <w:t xml:space="preserve"> Woods dice que solo USA va la obligación de hacer la convertibilidad de monedas respecto del oro. Las monedas de todo el mundo se empiezan a cotizar a través del dólar.</w:t>
      </w:r>
    </w:p>
    <w:p w:rsidR="00E43540" w:rsidRPr="00B16A93" w:rsidRDefault="00E43540" w:rsidP="00E43540">
      <w:pPr>
        <w:pStyle w:val="Prrafodelista"/>
        <w:numPr>
          <w:ilvl w:val="0"/>
          <w:numId w:val="5"/>
        </w:numPr>
        <w:spacing w:before="120" w:after="120"/>
        <w:ind w:left="357" w:hanging="357"/>
        <w:contextualSpacing w:val="0"/>
        <w:rPr>
          <w:sz w:val="20"/>
          <w:szCs w:val="20"/>
        </w:rPr>
      </w:pPr>
      <w:r w:rsidRPr="00B16A93">
        <w:rPr>
          <w:b/>
          <w:i/>
          <w:color w:val="CC0066"/>
          <w:sz w:val="20"/>
          <w:szCs w:val="20"/>
          <w:u w:val="single"/>
        </w:rPr>
        <w:t>Segunda etapa:</w:t>
      </w:r>
      <w:r w:rsidRPr="00B16A93">
        <w:rPr>
          <w:sz w:val="20"/>
          <w:szCs w:val="20"/>
        </w:rPr>
        <w:t xml:space="preserve"> Después del año 1945, en pleno acuerdo del </w:t>
      </w:r>
      <w:proofErr w:type="spellStart"/>
      <w:r w:rsidRPr="00B16A93">
        <w:rPr>
          <w:sz w:val="20"/>
          <w:szCs w:val="20"/>
        </w:rPr>
        <w:t>Bretton</w:t>
      </w:r>
      <w:proofErr w:type="spellEnd"/>
      <w:r w:rsidRPr="00B16A93">
        <w:rPr>
          <w:sz w:val="20"/>
          <w:szCs w:val="20"/>
        </w:rPr>
        <w:t xml:space="preserve"> Woods. Se vio un creciente aumento del déficit presupuestario de los Estados Unidos porque incremento su gasto. </w:t>
      </w:r>
    </w:p>
    <w:p w:rsidR="00E43540" w:rsidRPr="00B16A93" w:rsidRDefault="00E43540" w:rsidP="00E43540">
      <w:pPr>
        <w:pStyle w:val="Prrafodelista"/>
        <w:spacing w:before="120" w:after="120"/>
        <w:ind w:left="357"/>
        <w:contextualSpacing w:val="0"/>
        <w:rPr>
          <w:sz w:val="20"/>
          <w:szCs w:val="20"/>
        </w:rPr>
      </w:pPr>
      <w:r w:rsidRPr="00B16A93">
        <w:rPr>
          <w:sz w:val="20"/>
          <w:szCs w:val="20"/>
        </w:rPr>
        <w:t>Justamente era el único país que debía convertir el precio del Dólar en oro. Su gasto era en defensa, además del gasto publico. Esto hace que el mundo empiece a mirar con otros ojos, dudaban de la capacidad de USA para cumplir su compromiso de convertir dólares a oro.</w:t>
      </w:r>
    </w:p>
    <w:p w:rsidR="00E43540" w:rsidRPr="00CA4809" w:rsidRDefault="00E43540" w:rsidP="00E43540">
      <w:pPr>
        <w:pStyle w:val="Prrafodelista"/>
        <w:spacing w:before="120" w:after="120"/>
        <w:ind w:left="357"/>
        <w:contextualSpacing w:val="0"/>
        <w:rPr>
          <w:sz w:val="20"/>
          <w:szCs w:val="20"/>
        </w:rPr>
      </w:pPr>
      <w:r w:rsidRPr="00B16A93">
        <w:rPr>
          <w:sz w:val="20"/>
          <w:szCs w:val="20"/>
        </w:rPr>
        <w:t xml:space="preserve">Los inversionistas iban a la Reserva Federal a cambiar sus Dólares por oro. Se veía un sistema de </w:t>
      </w:r>
      <w:r w:rsidRPr="00B16A93">
        <w:rPr>
          <w:i/>
          <w:sz w:val="20"/>
          <w:szCs w:val="20"/>
          <w:u w:val="single"/>
        </w:rPr>
        <w:t>tipo de cambio fijo</w:t>
      </w:r>
      <w:r w:rsidRPr="00B16A93">
        <w:rPr>
          <w:sz w:val="20"/>
          <w:szCs w:val="20"/>
        </w:rPr>
        <w:t xml:space="preserve"> debido a la paridad de la moneda con el oro (Vendes mercadería por oro). </w:t>
      </w:r>
      <w:r>
        <w:rPr>
          <w:sz w:val="20"/>
          <w:szCs w:val="20"/>
        </w:rPr>
        <w:t xml:space="preserve">Los </w:t>
      </w:r>
      <w:r w:rsidRPr="00CA4809">
        <w:rPr>
          <w:sz w:val="20"/>
          <w:szCs w:val="20"/>
        </w:rPr>
        <w:t xml:space="preserve">comerciantes </w:t>
      </w:r>
      <w:r w:rsidR="00994F40">
        <w:rPr>
          <w:sz w:val="20"/>
          <w:szCs w:val="20"/>
        </w:rPr>
        <w:t>seguían</w:t>
      </w:r>
      <w:r>
        <w:rPr>
          <w:sz w:val="20"/>
          <w:szCs w:val="20"/>
        </w:rPr>
        <w:t xml:space="preserve"> aceptando el dólar porque estaba </w:t>
      </w:r>
      <w:r w:rsidRPr="00CA4809">
        <w:rPr>
          <w:sz w:val="20"/>
          <w:szCs w:val="20"/>
        </w:rPr>
        <w:t xml:space="preserve">cotizado en oro. Nixon emite dólares, porque necesita comprar armas, gasta en guerra y por ende aumenta el déficit. </w:t>
      </w:r>
    </w:p>
    <w:p w:rsidR="00E43540" w:rsidRPr="00B16A93" w:rsidRDefault="00E43540" w:rsidP="00E43540">
      <w:pPr>
        <w:pStyle w:val="Prrafodelista"/>
        <w:spacing w:before="120" w:after="120"/>
        <w:ind w:left="357"/>
        <w:contextualSpacing w:val="0"/>
        <w:rPr>
          <w:sz w:val="20"/>
          <w:szCs w:val="20"/>
        </w:rPr>
      </w:pPr>
      <w:r w:rsidRPr="00B16A93">
        <w:rPr>
          <w:sz w:val="20"/>
          <w:szCs w:val="20"/>
        </w:rPr>
        <w:t xml:space="preserve">USA gastaba en dólares y salían de la emisión, se devaluó la moneda, hay más dólares pero no creció la cantidad de oro. </w:t>
      </w:r>
    </w:p>
    <w:p w:rsidR="00E43540" w:rsidRPr="00B16A93" w:rsidRDefault="00E43540" w:rsidP="00E43540">
      <w:pPr>
        <w:pStyle w:val="Prrafodelista"/>
        <w:numPr>
          <w:ilvl w:val="0"/>
          <w:numId w:val="1"/>
        </w:numPr>
        <w:spacing w:before="120" w:after="120"/>
        <w:ind w:left="357"/>
        <w:contextualSpacing w:val="0"/>
        <w:rPr>
          <w:sz w:val="20"/>
          <w:szCs w:val="20"/>
        </w:rPr>
      </w:pPr>
      <w:r w:rsidRPr="00B16A93">
        <w:rPr>
          <w:b/>
          <w:i/>
          <w:color w:val="CC0066"/>
          <w:sz w:val="20"/>
          <w:szCs w:val="20"/>
          <w:u w:val="single"/>
        </w:rPr>
        <w:t>Tercera etapa:</w:t>
      </w:r>
      <w:r w:rsidRPr="00B16A93">
        <w:rPr>
          <w:sz w:val="20"/>
          <w:szCs w:val="20"/>
        </w:rPr>
        <w:t xml:space="preserve"> FIN DE TIPO DE CAMBIO FIJO, FIN DEL PATRON ORO.</w:t>
      </w:r>
    </w:p>
    <w:p w:rsidR="00E43540" w:rsidRPr="00CA4809" w:rsidRDefault="00E43540" w:rsidP="00E43540">
      <w:pPr>
        <w:pStyle w:val="Prrafodelista"/>
        <w:spacing w:before="120" w:after="120"/>
        <w:ind w:left="357"/>
        <w:contextualSpacing w:val="0"/>
        <w:rPr>
          <w:sz w:val="20"/>
          <w:szCs w:val="20"/>
        </w:rPr>
      </w:pPr>
      <w:r w:rsidRPr="00B16A93">
        <w:rPr>
          <w:sz w:val="20"/>
          <w:szCs w:val="20"/>
        </w:rPr>
        <w:t>En 1971 empieza la corrida del oro. Los poseedores de Dólares van a la Reserva Federal en busca de oro. Empieza e</w:t>
      </w:r>
      <w:r>
        <w:rPr>
          <w:sz w:val="20"/>
          <w:szCs w:val="20"/>
        </w:rPr>
        <w:t xml:space="preserve">l “corralito del oro”, el cepo. </w:t>
      </w:r>
      <w:r w:rsidRPr="00CA4809">
        <w:rPr>
          <w:sz w:val="20"/>
          <w:szCs w:val="20"/>
        </w:rPr>
        <w:t>En e</w:t>
      </w:r>
      <w:r>
        <w:rPr>
          <w:sz w:val="20"/>
          <w:szCs w:val="20"/>
        </w:rPr>
        <w:t>l 1973 por decreto presidencial, Nixon</w:t>
      </w:r>
      <w:r w:rsidRPr="00CA4809">
        <w:rPr>
          <w:sz w:val="20"/>
          <w:szCs w:val="20"/>
        </w:rPr>
        <w:t xml:space="preserve"> decreta la </w:t>
      </w:r>
      <w:proofErr w:type="spellStart"/>
      <w:r w:rsidRPr="00CA4809">
        <w:rPr>
          <w:sz w:val="20"/>
          <w:szCs w:val="20"/>
        </w:rPr>
        <w:t>inconvertibilidad</w:t>
      </w:r>
      <w:proofErr w:type="spellEnd"/>
      <w:r w:rsidRPr="00CA4809">
        <w:rPr>
          <w:sz w:val="20"/>
          <w:szCs w:val="20"/>
        </w:rPr>
        <w:t xml:space="preserve"> del oro</w:t>
      </w:r>
      <w:r>
        <w:rPr>
          <w:sz w:val="20"/>
          <w:szCs w:val="20"/>
        </w:rPr>
        <w:t>. Nacieron las Eurodivisas.</w:t>
      </w:r>
    </w:p>
    <w:p w:rsidR="00E43540" w:rsidRPr="00B16A93" w:rsidRDefault="00E43540" w:rsidP="00E43540">
      <w:pPr>
        <w:pStyle w:val="Prrafodelista"/>
        <w:spacing w:before="120" w:after="120"/>
        <w:ind w:left="360"/>
        <w:contextualSpacing w:val="0"/>
        <w:rPr>
          <w:sz w:val="20"/>
          <w:szCs w:val="20"/>
        </w:rPr>
      </w:pPr>
      <w:r w:rsidRPr="00B16A93">
        <w:rPr>
          <w:sz w:val="20"/>
          <w:szCs w:val="20"/>
        </w:rPr>
        <w:t xml:space="preserve">A partir de la finalización del tipo de cambio fijo (1973), las monedas empiezan a medirse en función del Dólar. El dólar empieza a ser el que le pone el precio a todos los tipos de cambio. </w:t>
      </w:r>
    </w:p>
    <w:p w:rsidR="00E43540" w:rsidRPr="00B16A93" w:rsidRDefault="00E43540" w:rsidP="00E43540">
      <w:pPr>
        <w:pStyle w:val="Prrafodelista"/>
        <w:spacing w:before="120" w:after="120"/>
        <w:ind w:left="357"/>
        <w:contextualSpacing w:val="0"/>
        <w:rPr>
          <w:sz w:val="20"/>
          <w:szCs w:val="20"/>
        </w:rPr>
      </w:pPr>
      <w:r w:rsidRPr="00B16A93">
        <w:rPr>
          <w:sz w:val="20"/>
          <w:szCs w:val="20"/>
        </w:rPr>
        <w:t>Después del 1973, el sistema monetario queda compuesto de monedas nacionales, monedas artificiales (DEG) y el Euro que sustituyo las monedas nacionales de la Unión Europea.</w:t>
      </w:r>
    </w:p>
    <w:p w:rsidR="00E43540" w:rsidRPr="00B16A93" w:rsidRDefault="00E43540" w:rsidP="00E43540">
      <w:pPr>
        <w:pStyle w:val="Prrafodelista"/>
        <w:spacing w:before="120" w:after="120"/>
        <w:ind w:left="357"/>
        <w:contextualSpacing w:val="0"/>
        <w:rPr>
          <w:sz w:val="20"/>
          <w:szCs w:val="20"/>
        </w:rPr>
      </w:pPr>
      <w:r w:rsidRPr="00B16A93">
        <w:rPr>
          <w:sz w:val="20"/>
          <w:szCs w:val="20"/>
        </w:rPr>
        <w:t>Cada país tiene un régimen monetario (TC fijo, sucio, flexible, administrad0, independiente, etc.)</w:t>
      </w:r>
    </w:p>
    <w:p w:rsidR="00CB3FD5" w:rsidRDefault="00CB3FD5"/>
    <w:sectPr w:rsidR="00CB3FD5" w:rsidSect="00C04BD7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2E3" w:rsidRDefault="003A42E3" w:rsidP="00C04BD7">
      <w:pPr>
        <w:spacing w:after="0" w:line="240" w:lineRule="auto"/>
      </w:pPr>
      <w:r>
        <w:separator/>
      </w:r>
    </w:p>
  </w:endnote>
  <w:endnote w:type="continuationSeparator" w:id="0">
    <w:p w:rsidR="003A42E3" w:rsidRDefault="003A42E3" w:rsidP="00C0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2E3" w:rsidRDefault="003A42E3" w:rsidP="00C04BD7">
      <w:pPr>
        <w:spacing w:after="0" w:line="240" w:lineRule="auto"/>
      </w:pPr>
      <w:r>
        <w:separator/>
      </w:r>
    </w:p>
  </w:footnote>
  <w:footnote w:type="continuationSeparator" w:id="0">
    <w:p w:rsidR="003A42E3" w:rsidRDefault="003A42E3" w:rsidP="00C04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6375"/>
    <w:multiLevelType w:val="hybridMultilevel"/>
    <w:tmpl w:val="8BA4B0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441D2E"/>
    <w:multiLevelType w:val="hybridMultilevel"/>
    <w:tmpl w:val="4BB83540"/>
    <w:lvl w:ilvl="0" w:tplc="A6B03CA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color w:val="CC006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D6CFC"/>
    <w:multiLevelType w:val="hybridMultilevel"/>
    <w:tmpl w:val="DB62EB30"/>
    <w:lvl w:ilvl="0" w:tplc="C1EE3D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C006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AA07D0"/>
    <w:multiLevelType w:val="hybridMultilevel"/>
    <w:tmpl w:val="A3A2EDBC"/>
    <w:lvl w:ilvl="0" w:tplc="C1EE3D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C0066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5413A1"/>
    <w:multiLevelType w:val="hybridMultilevel"/>
    <w:tmpl w:val="836AE96A"/>
    <w:lvl w:ilvl="0" w:tplc="A6B03CA8">
      <w:start w:val="1"/>
      <w:numFmt w:val="bullet"/>
      <w:lvlText w:val="­"/>
      <w:lvlJc w:val="left"/>
      <w:pPr>
        <w:ind w:left="786" w:hanging="360"/>
      </w:pPr>
      <w:rPr>
        <w:rFonts w:ascii="Courier New" w:hAnsi="Courier New" w:hint="default"/>
        <w:color w:val="CC0066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4F40"/>
    <w:rsid w:val="001A3305"/>
    <w:rsid w:val="00394F96"/>
    <w:rsid w:val="003A42E3"/>
    <w:rsid w:val="005A7C9E"/>
    <w:rsid w:val="00994F40"/>
    <w:rsid w:val="00AB26A7"/>
    <w:rsid w:val="00C04BD7"/>
    <w:rsid w:val="00CB3FD5"/>
    <w:rsid w:val="00E43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30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35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04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04BD7"/>
  </w:style>
  <w:style w:type="paragraph" w:styleId="Piedepgina">
    <w:name w:val="footer"/>
    <w:basedOn w:val="Normal"/>
    <w:link w:val="PiedepginaCar"/>
    <w:uiPriority w:val="99"/>
    <w:semiHidden/>
    <w:unhideWhenUsed/>
    <w:rsid w:val="00C04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4BD7"/>
  </w:style>
  <w:style w:type="paragraph" w:styleId="Prrafodelista">
    <w:name w:val="List Paragraph"/>
    <w:basedOn w:val="Normal"/>
    <w:uiPriority w:val="34"/>
    <w:qFormat/>
    <w:rsid w:val="00E4354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435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man\AppData\Roaming\Microsoft\Plantillas\Dot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1</TotalTime>
  <Pages>1</Pages>
  <Words>518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2</cp:revision>
  <dcterms:created xsi:type="dcterms:W3CDTF">2018-12-02T18:44:00Z</dcterms:created>
  <dcterms:modified xsi:type="dcterms:W3CDTF">2018-12-02T18:47:00Z</dcterms:modified>
</cp:coreProperties>
</file>