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2EC" w:rsidRPr="003E0D9D" w:rsidRDefault="003D42EC" w:rsidP="007F08EE">
      <w:pPr>
        <w:pBdr>
          <w:top w:val="single" w:sz="4" w:space="1" w:color="auto"/>
          <w:left w:val="single" w:sz="4" w:space="4" w:color="auto"/>
          <w:bottom w:val="single" w:sz="4" w:space="1" w:color="auto"/>
          <w:right w:val="single" w:sz="4" w:space="4" w:color="auto"/>
        </w:pBdr>
        <w:shd w:val="clear" w:color="auto" w:fill="FFFFFF"/>
        <w:spacing w:after="0" w:line="240" w:lineRule="auto"/>
        <w:jc w:val="center"/>
        <w:outlineLvl w:val="1"/>
        <w:rPr>
          <w:rFonts w:eastAsia="Times New Roman" w:cstheme="minorHAnsi"/>
          <w:b/>
          <w:sz w:val="36"/>
          <w:szCs w:val="36"/>
          <w:lang w:eastAsia="es-AR"/>
        </w:rPr>
      </w:pPr>
      <w:r w:rsidRPr="003E0D9D">
        <w:rPr>
          <w:rFonts w:eastAsia="Times New Roman" w:cstheme="minorHAnsi"/>
          <w:b/>
          <w:sz w:val="36"/>
          <w:szCs w:val="36"/>
          <w:lang w:eastAsia="es-AR"/>
        </w:rPr>
        <w:t>Derechos especiales de giro (DEG)</w:t>
      </w:r>
    </w:p>
    <w:p w:rsidR="007F08EE" w:rsidRPr="003E0D9D" w:rsidRDefault="0010192A" w:rsidP="007F08EE">
      <w:pPr>
        <w:pBdr>
          <w:top w:val="single" w:sz="4" w:space="1" w:color="auto"/>
          <w:left w:val="single" w:sz="4" w:space="4" w:color="auto"/>
          <w:bottom w:val="single" w:sz="4" w:space="1" w:color="auto"/>
          <w:right w:val="single" w:sz="4" w:space="4" w:color="auto"/>
        </w:pBdr>
        <w:shd w:val="clear" w:color="auto" w:fill="FFFFFF"/>
        <w:spacing w:after="0" w:line="240" w:lineRule="auto"/>
        <w:jc w:val="center"/>
        <w:outlineLvl w:val="1"/>
        <w:rPr>
          <w:rFonts w:eastAsia="Times New Roman" w:cstheme="minorHAnsi"/>
          <w:b/>
          <w:sz w:val="36"/>
          <w:szCs w:val="36"/>
          <w:lang w:eastAsia="es-AR"/>
        </w:rPr>
      </w:pPr>
      <w:r w:rsidRPr="003E0D9D">
        <w:rPr>
          <w:rFonts w:eastAsia="Times New Roman" w:cstheme="minorHAnsi"/>
          <w:b/>
          <w:sz w:val="36"/>
          <w:szCs w:val="36"/>
          <w:lang w:eastAsia="es-AR"/>
        </w:rPr>
        <w:t xml:space="preserve">FMI </w:t>
      </w:r>
      <w:r w:rsidR="007F08EE" w:rsidRPr="003E0D9D">
        <w:rPr>
          <w:rStyle w:val="Refdenotaalpie"/>
          <w:rFonts w:eastAsia="Times New Roman" w:cstheme="minorHAnsi"/>
          <w:b/>
          <w:sz w:val="36"/>
          <w:szCs w:val="36"/>
          <w:lang w:eastAsia="es-AR"/>
        </w:rPr>
        <w:footnoteReference w:id="1"/>
      </w:r>
    </w:p>
    <w:p w:rsidR="003D42EC" w:rsidRPr="007F08EE" w:rsidRDefault="003D42EC" w:rsidP="003D42EC">
      <w:pPr>
        <w:shd w:val="clear" w:color="auto" w:fill="EFEFEF"/>
        <w:spacing w:before="240" w:after="240" w:line="240" w:lineRule="auto"/>
        <w:jc w:val="both"/>
        <w:rPr>
          <w:rFonts w:eastAsia="Times New Roman" w:cstheme="minorHAnsi"/>
          <w:color w:val="2C2825"/>
          <w:lang w:eastAsia="es-AR"/>
        </w:rPr>
      </w:pPr>
      <w:r w:rsidRPr="007F08EE">
        <w:rPr>
          <w:rFonts w:eastAsia="Times New Roman" w:cstheme="minorHAnsi"/>
          <w:b/>
          <w:color w:val="2C2825"/>
          <w:lang w:eastAsia="es-AR"/>
        </w:rPr>
        <w:t>El DEG es un activo de reserva internacional</w:t>
      </w:r>
      <w:r w:rsidRPr="007F08EE">
        <w:rPr>
          <w:rFonts w:eastAsia="Times New Roman" w:cstheme="minorHAnsi"/>
          <w:color w:val="2C2825"/>
          <w:lang w:eastAsia="es-AR"/>
        </w:rPr>
        <w:t xml:space="preserve"> creado en 1969 por el FMI para complementar las reservas oficiales de los países miembros. En marzo de 2016 se habían creado y asignado a los países miembros DEG 204.100 millones (equivalentes a unos USD 285.000 millones). El DEG se puede intercambiar por monedas de libre uso. Al 1 de octubre de 2016, el valor del DEG se base en una cesta de cinco monedas principales: el dólar de EE.UU., el euro, el </w:t>
      </w:r>
      <w:proofErr w:type="spellStart"/>
      <w:r w:rsidRPr="007F08EE">
        <w:rPr>
          <w:rFonts w:eastAsia="Times New Roman" w:cstheme="minorHAnsi"/>
          <w:color w:val="2C2825"/>
          <w:lang w:eastAsia="es-AR"/>
        </w:rPr>
        <w:t>renminbi</w:t>
      </w:r>
      <w:proofErr w:type="spellEnd"/>
      <w:r w:rsidRPr="007F08EE">
        <w:rPr>
          <w:rFonts w:eastAsia="Times New Roman" w:cstheme="minorHAnsi"/>
          <w:color w:val="2C2825"/>
          <w:lang w:eastAsia="es-AR"/>
        </w:rPr>
        <w:t xml:space="preserve"> chino (RMB), el yen japonés y la libra esterlina.</w:t>
      </w:r>
    </w:p>
    <w:p w:rsidR="00F87F8F" w:rsidRDefault="00F87F8F" w:rsidP="003D42EC">
      <w:pPr>
        <w:shd w:val="clear" w:color="auto" w:fill="FFFFFF"/>
        <w:spacing w:before="240" w:after="240" w:line="240" w:lineRule="auto"/>
        <w:jc w:val="both"/>
        <w:rPr>
          <w:rFonts w:eastAsia="Times New Roman" w:cstheme="minorHAnsi"/>
          <w:b/>
          <w:bCs/>
          <w:color w:val="2C2825"/>
          <w:lang w:eastAsia="es-AR"/>
        </w:rPr>
      </w:pPr>
    </w:p>
    <w:p w:rsidR="003D42EC" w:rsidRPr="007F08EE" w:rsidRDefault="003D42EC" w:rsidP="003D42EC">
      <w:pPr>
        <w:shd w:val="clear" w:color="auto" w:fill="FFFFFF"/>
        <w:spacing w:before="240" w:after="240" w:line="240" w:lineRule="auto"/>
        <w:jc w:val="both"/>
        <w:rPr>
          <w:rFonts w:eastAsia="Times New Roman" w:cstheme="minorHAnsi"/>
          <w:color w:val="2C2825"/>
          <w:lang w:eastAsia="es-AR"/>
        </w:rPr>
      </w:pPr>
      <w:r w:rsidRPr="007F08EE">
        <w:rPr>
          <w:rFonts w:eastAsia="Times New Roman" w:cstheme="minorHAnsi"/>
          <w:b/>
          <w:bCs/>
          <w:color w:val="2C2825"/>
          <w:lang w:eastAsia="es-AR"/>
        </w:rPr>
        <w:t>La función del DEG</w:t>
      </w:r>
    </w:p>
    <w:p w:rsidR="003D42EC" w:rsidRPr="007F08EE" w:rsidRDefault="003D42EC" w:rsidP="003D42EC">
      <w:pPr>
        <w:shd w:val="clear" w:color="auto" w:fill="FFFFFF"/>
        <w:spacing w:before="240" w:after="240" w:line="240" w:lineRule="auto"/>
        <w:jc w:val="both"/>
        <w:rPr>
          <w:rFonts w:eastAsia="Times New Roman" w:cstheme="minorHAnsi"/>
          <w:color w:val="2C2825"/>
          <w:lang w:eastAsia="es-AR"/>
        </w:rPr>
      </w:pPr>
      <w:r w:rsidRPr="00F87F8F">
        <w:rPr>
          <w:rFonts w:eastAsia="Times New Roman" w:cstheme="minorHAnsi"/>
          <w:color w:val="2C2825"/>
          <w:u w:val="single"/>
          <w:lang w:eastAsia="es-AR"/>
        </w:rPr>
        <w:t xml:space="preserve">El DEG fue creado por el FMI en 1969 como una reserva internacional complementaria en el contexto del sistema de paridades fijas de </w:t>
      </w:r>
      <w:proofErr w:type="spellStart"/>
      <w:r w:rsidRPr="00F87F8F">
        <w:rPr>
          <w:rFonts w:eastAsia="Times New Roman" w:cstheme="minorHAnsi"/>
          <w:color w:val="2C2825"/>
          <w:u w:val="single"/>
          <w:lang w:eastAsia="es-AR"/>
        </w:rPr>
        <w:t>Bretton</w:t>
      </w:r>
      <w:proofErr w:type="spellEnd"/>
      <w:r w:rsidRPr="00F87F8F">
        <w:rPr>
          <w:rFonts w:eastAsia="Times New Roman" w:cstheme="minorHAnsi"/>
          <w:color w:val="2C2825"/>
          <w:u w:val="single"/>
          <w:lang w:eastAsia="es-AR"/>
        </w:rPr>
        <w:t xml:space="preserve"> Woods.</w:t>
      </w:r>
      <w:r w:rsidRPr="007F08EE">
        <w:rPr>
          <w:rFonts w:eastAsia="Times New Roman" w:cstheme="minorHAnsi"/>
          <w:color w:val="2C2825"/>
          <w:lang w:eastAsia="es-AR"/>
        </w:rPr>
        <w:t xml:space="preserve"> Los países que participaban en este sistema necesitaban reservas oficiales—tenencias del gobierno o el banco central en oro y monedas extranjeras de amplia aceptación— que pudiesen ser utilizadas para adquirir la moneda nacional en los mercados cambiarios, de ser necesario, a fin de mantener su paridad cambiaria. Pero la oferta internacional de dos activos de reserva fundamentales —el </w:t>
      </w:r>
      <w:hyperlink r:id="rId8" w:history="1">
        <w:r w:rsidRPr="007F08EE">
          <w:rPr>
            <w:rFonts w:eastAsia="Times New Roman" w:cstheme="minorHAnsi"/>
            <w:color w:val="3979A6"/>
            <w:lang w:eastAsia="es-AR"/>
          </w:rPr>
          <w:t>oro</w:t>
        </w:r>
      </w:hyperlink>
      <w:r w:rsidRPr="007F08EE">
        <w:rPr>
          <w:rFonts w:eastAsia="Times New Roman" w:cstheme="minorHAnsi"/>
          <w:color w:val="2C2825"/>
          <w:lang w:eastAsia="es-AR"/>
        </w:rPr>
        <w:t> y el dólar de EE.UU</w:t>
      </w:r>
      <w:proofErr w:type="gramStart"/>
      <w:r w:rsidRPr="007F08EE">
        <w:rPr>
          <w:rFonts w:eastAsia="Times New Roman" w:cstheme="minorHAnsi"/>
          <w:color w:val="2C2825"/>
          <w:lang w:eastAsia="es-AR"/>
        </w:rPr>
        <w:t>.—</w:t>
      </w:r>
      <w:proofErr w:type="gramEnd"/>
      <w:r w:rsidRPr="007F08EE">
        <w:rPr>
          <w:rFonts w:eastAsia="Times New Roman" w:cstheme="minorHAnsi"/>
          <w:color w:val="2C2825"/>
          <w:lang w:eastAsia="es-AR"/>
        </w:rPr>
        <w:t xml:space="preserve"> resultaba inadecuada para apoyar la expansión de los flujos comerciales y financieros internacionales que estaba teniendo lugar. Por consiguiente, la comunidad internacional decidió crear un nuevo activo de reserva internacional con el auspicio del FMI.</w:t>
      </w:r>
    </w:p>
    <w:p w:rsidR="003D42EC" w:rsidRPr="007F08EE" w:rsidRDefault="003D42EC" w:rsidP="003D42EC">
      <w:pPr>
        <w:shd w:val="clear" w:color="auto" w:fill="FFFFFF"/>
        <w:spacing w:before="240" w:after="240" w:line="240" w:lineRule="auto"/>
        <w:jc w:val="both"/>
        <w:rPr>
          <w:rFonts w:eastAsia="Times New Roman" w:cstheme="minorHAnsi"/>
          <w:color w:val="2C2825"/>
          <w:lang w:eastAsia="es-AR"/>
        </w:rPr>
      </w:pPr>
      <w:r w:rsidRPr="007F08EE">
        <w:rPr>
          <w:rFonts w:eastAsia="Times New Roman" w:cstheme="minorHAnsi"/>
          <w:color w:val="2C2825"/>
          <w:lang w:eastAsia="es-AR"/>
        </w:rPr>
        <w:t xml:space="preserve">Unos pocos años después de la creación del DEG, el sistema de </w:t>
      </w:r>
      <w:proofErr w:type="spellStart"/>
      <w:r w:rsidRPr="007F08EE">
        <w:rPr>
          <w:rFonts w:eastAsia="Times New Roman" w:cstheme="minorHAnsi"/>
          <w:color w:val="2C2825"/>
          <w:lang w:eastAsia="es-AR"/>
        </w:rPr>
        <w:t>Bretton</w:t>
      </w:r>
      <w:proofErr w:type="spellEnd"/>
      <w:r w:rsidRPr="007F08EE">
        <w:rPr>
          <w:rFonts w:eastAsia="Times New Roman" w:cstheme="minorHAnsi"/>
          <w:color w:val="2C2825"/>
          <w:lang w:eastAsia="es-AR"/>
        </w:rPr>
        <w:t xml:space="preserve"> Woods se derrumbó, y las principales monedas pasaron a regímenes de tipo de cambio flotante. Posteriormente, el crecimiento de los mercados internacionales de capital facilitó el endeudamiento de los gobiernos solventes y muchos países acumularon volúmenes significativos de reservas internacionales. Estos fenómenos redujeron la dependencia del DEG como activo de reserva mundial. Sin embargo, más recientemente las asignaciones de DEG de 2009, por un total de DEG 182.600 millones, desempeñaron un papel crucial para proporcionar liquidez al sistema económico mundial y complementar las reservas oficiales de los países miembros en medio de la crisis financiera mundial.</w:t>
      </w:r>
    </w:p>
    <w:p w:rsidR="003D42EC" w:rsidRPr="007F08EE" w:rsidRDefault="003D42EC" w:rsidP="003D42EC">
      <w:pPr>
        <w:shd w:val="clear" w:color="auto" w:fill="FFFFFF"/>
        <w:spacing w:before="240" w:after="240" w:line="240" w:lineRule="auto"/>
        <w:jc w:val="both"/>
        <w:rPr>
          <w:rFonts w:eastAsia="Times New Roman" w:cstheme="minorHAnsi"/>
          <w:color w:val="2C2825"/>
          <w:lang w:eastAsia="es-AR"/>
        </w:rPr>
      </w:pPr>
      <w:r w:rsidRPr="00F87F8F">
        <w:rPr>
          <w:rFonts w:eastAsia="Times New Roman" w:cstheme="minorHAnsi"/>
          <w:color w:val="2C2825"/>
          <w:u w:val="single"/>
          <w:lang w:eastAsia="es-AR"/>
        </w:rPr>
        <w:t>El DEG no es ni una moneda ni un activo frente al FMI. Más bien representa un activo potencial frente a las monedas de libre uso de los países miembros del FMI. Los tenedores de DEG pueden obtener estas monedas a cambio de sus DEG mediante dos operaciones</w:t>
      </w:r>
      <w:r w:rsidRPr="007F08EE">
        <w:rPr>
          <w:rFonts w:eastAsia="Times New Roman" w:cstheme="minorHAnsi"/>
          <w:color w:val="2C2825"/>
          <w:lang w:eastAsia="es-AR"/>
        </w:rPr>
        <w:t>: primero, la concertación de acuerdos de canje voluntario entre países miembros y, segundo, la designación, por parte del FMI, de países miembros con una sólida situación externa para que compren DEG a países miembros con una situación externa poco firme. Además de su función de activo de reserva complementario, el DEG sirve como unidad de cuenta del FMI y de algunos organismos internacionales.</w:t>
      </w:r>
    </w:p>
    <w:p w:rsidR="003D42EC" w:rsidRPr="007F08EE" w:rsidRDefault="003D42EC" w:rsidP="003D42EC">
      <w:pPr>
        <w:shd w:val="clear" w:color="auto" w:fill="FFFFFF"/>
        <w:spacing w:before="240" w:after="240" w:line="240" w:lineRule="auto"/>
        <w:jc w:val="both"/>
        <w:rPr>
          <w:rFonts w:eastAsia="Times New Roman" w:cstheme="minorHAnsi"/>
          <w:color w:val="2C2825"/>
          <w:lang w:eastAsia="es-AR"/>
        </w:rPr>
      </w:pPr>
      <w:r w:rsidRPr="007F08EE">
        <w:rPr>
          <w:rFonts w:eastAsia="Times New Roman" w:cstheme="minorHAnsi"/>
          <w:b/>
          <w:bCs/>
          <w:color w:val="2C2825"/>
          <w:lang w:eastAsia="es-AR"/>
        </w:rPr>
        <w:t>La cesta de monedas que determina el valor del DEG</w:t>
      </w:r>
    </w:p>
    <w:p w:rsidR="003D42EC" w:rsidRPr="007F08EE" w:rsidRDefault="003D42EC" w:rsidP="003D42EC">
      <w:pPr>
        <w:shd w:val="clear" w:color="auto" w:fill="FFFFFF"/>
        <w:spacing w:before="240" w:after="240" w:line="240" w:lineRule="auto"/>
        <w:jc w:val="both"/>
        <w:rPr>
          <w:rFonts w:eastAsia="Times New Roman" w:cstheme="minorHAnsi"/>
          <w:color w:val="2C2825"/>
          <w:lang w:eastAsia="es-AR"/>
        </w:rPr>
      </w:pPr>
      <w:r w:rsidRPr="007F08EE">
        <w:rPr>
          <w:rFonts w:eastAsia="Times New Roman" w:cstheme="minorHAnsi"/>
          <w:color w:val="2C2825"/>
          <w:lang w:eastAsia="es-AR"/>
        </w:rPr>
        <w:t xml:space="preserve">Inicialmente, el valor del DEG se definió como un valor equivalente a 0,888671 gramos de oro fino, que, en ese entonces, era también equivalente a un dólar de EE.UU. Tras derrumbarse el sistema de </w:t>
      </w:r>
      <w:proofErr w:type="spellStart"/>
      <w:r w:rsidRPr="007F08EE">
        <w:rPr>
          <w:rFonts w:eastAsia="Times New Roman" w:cstheme="minorHAnsi"/>
          <w:color w:val="2C2825"/>
          <w:lang w:eastAsia="es-AR"/>
        </w:rPr>
        <w:t>Bretton</w:t>
      </w:r>
      <w:proofErr w:type="spellEnd"/>
      <w:r w:rsidRPr="007F08EE">
        <w:rPr>
          <w:rFonts w:eastAsia="Times New Roman" w:cstheme="minorHAnsi"/>
          <w:color w:val="2C2825"/>
          <w:lang w:eastAsia="es-AR"/>
        </w:rPr>
        <w:t xml:space="preserve"> Woods en 1973, el DEG se redefinió en base a una cesta de monedas. Con efecto a partir del 1 de octubre de 2016, la cesta del DEG está compuesta por el dólar de EE.UU., el euro, el </w:t>
      </w:r>
      <w:proofErr w:type="spellStart"/>
      <w:r w:rsidRPr="007F08EE">
        <w:rPr>
          <w:rFonts w:eastAsia="Times New Roman" w:cstheme="minorHAnsi"/>
          <w:color w:val="2C2825"/>
          <w:lang w:eastAsia="es-AR"/>
        </w:rPr>
        <w:t>renminbi</w:t>
      </w:r>
      <w:proofErr w:type="spellEnd"/>
      <w:r w:rsidRPr="007F08EE">
        <w:rPr>
          <w:rFonts w:eastAsia="Times New Roman" w:cstheme="minorHAnsi"/>
          <w:color w:val="2C2825"/>
          <w:lang w:eastAsia="es-AR"/>
        </w:rPr>
        <w:t xml:space="preserve"> chino, el yen japonés y la libra esterlina.</w:t>
      </w:r>
    </w:p>
    <w:p w:rsidR="003D42EC" w:rsidRPr="007F08EE" w:rsidRDefault="003D42EC" w:rsidP="003D42EC">
      <w:pPr>
        <w:shd w:val="clear" w:color="auto" w:fill="FFFFFF"/>
        <w:spacing w:before="240" w:after="240" w:line="240" w:lineRule="auto"/>
        <w:jc w:val="both"/>
        <w:rPr>
          <w:rFonts w:eastAsia="Times New Roman" w:cstheme="minorHAnsi"/>
          <w:color w:val="2C2825"/>
          <w:lang w:eastAsia="es-AR"/>
        </w:rPr>
      </w:pPr>
      <w:r w:rsidRPr="007F08EE">
        <w:rPr>
          <w:rFonts w:eastAsia="Times New Roman" w:cstheme="minorHAnsi"/>
          <w:color w:val="2C2825"/>
          <w:lang w:eastAsia="es-AR"/>
        </w:rPr>
        <w:lastRenderedPageBreak/>
        <w:t>El valor del DEG, en términos de dólares de EE.UU., se determina diariamente y se publica en el </w:t>
      </w:r>
      <w:hyperlink r:id="rId9" w:history="1">
        <w:r w:rsidRPr="007F08EE">
          <w:rPr>
            <w:rFonts w:eastAsia="Times New Roman" w:cstheme="minorHAnsi"/>
            <w:color w:val="3979A6"/>
            <w:lang w:eastAsia="es-AR"/>
          </w:rPr>
          <w:t>sitio del FMI en Internet</w:t>
        </w:r>
      </w:hyperlink>
      <w:r w:rsidRPr="007F08EE">
        <w:rPr>
          <w:rFonts w:eastAsia="Times New Roman" w:cstheme="minorHAnsi"/>
          <w:color w:val="2C2825"/>
          <w:lang w:eastAsia="es-AR"/>
        </w:rPr>
        <w:t>. Se calcula sumando determinados montos de cada una de las monedas de la cesta valorados en dólares de EE.UU., sobre la base de los tipos de cambio cotizados a mediodía en el mercado de Londres.</w:t>
      </w:r>
    </w:p>
    <w:p w:rsidR="003D42EC" w:rsidRPr="007F08EE" w:rsidRDefault="003D42EC" w:rsidP="003D42EC">
      <w:pPr>
        <w:shd w:val="clear" w:color="auto" w:fill="FFFFFF"/>
        <w:spacing w:before="240" w:after="240" w:line="240" w:lineRule="auto"/>
        <w:jc w:val="both"/>
        <w:rPr>
          <w:rFonts w:eastAsia="Times New Roman" w:cstheme="minorHAnsi"/>
          <w:color w:val="2C2825"/>
          <w:lang w:eastAsia="es-AR"/>
        </w:rPr>
      </w:pPr>
      <w:r w:rsidRPr="007F08EE">
        <w:rPr>
          <w:rFonts w:eastAsia="Times New Roman" w:cstheme="minorHAnsi"/>
          <w:color w:val="2C2825"/>
          <w:lang w:eastAsia="es-AR"/>
        </w:rPr>
        <w:t>La composición de la cesta se somete a un examen en el Directorio Ejecutivo cada cinco años, o antes si el FMI determina que las circunstancias lo justifican, a fin de velar por que refleje la importancia relativa de cada moneda en los sistemas comerciales y financieros mundiales. En el </w:t>
      </w:r>
      <w:hyperlink r:id="rId10" w:history="1">
        <w:r w:rsidRPr="007F08EE">
          <w:rPr>
            <w:rFonts w:eastAsia="Times New Roman" w:cstheme="minorHAnsi"/>
            <w:color w:val="3979A6"/>
            <w:lang w:eastAsia="es-AR"/>
          </w:rPr>
          <w:t>examen más reciente</w:t>
        </w:r>
      </w:hyperlink>
      <w:r w:rsidRPr="007F08EE">
        <w:rPr>
          <w:rFonts w:eastAsia="Times New Roman" w:cstheme="minorHAnsi"/>
          <w:color w:val="2C2825"/>
          <w:lang w:eastAsia="es-AR"/>
        </w:rPr>
        <w:t xml:space="preserve"> (concluido en noviembre de 2015), el Directorio Ejecutivo decidió que, con efecto a partir del 1 de octubre de 2016, el </w:t>
      </w:r>
      <w:proofErr w:type="spellStart"/>
      <w:r w:rsidRPr="007F08EE">
        <w:rPr>
          <w:rFonts w:eastAsia="Times New Roman" w:cstheme="minorHAnsi"/>
          <w:color w:val="2C2825"/>
          <w:lang w:eastAsia="es-AR"/>
        </w:rPr>
        <w:t>renminbi</w:t>
      </w:r>
      <w:proofErr w:type="spellEnd"/>
      <w:r w:rsidRPr="007F08EE">
        <w:rPr>
          <w:rFonts w:eastAsia="Times New Roman" w:cstheme="minorHAnsi"/>
          <w:color w:val="2C2825"/>
          <w:lang w:eastAsia="es-AR"/>
        </w:rPr>
        <w:t xml:space="preserve"> chino se considerará moneda de libre uso (Véase el </w:t>
      </w:r>
      <w:hyperlink r:id="rId11" w:history="1">
        <w:r w:rsidRPr="007F08EE">
          <w:rPr>
            <w:rFonts w:eastAsia="Times New Roman" w:cstheme="minorHAnsi"/>
            <w:color w:val="3979A6"/>
            <w:lang w:eastAsia="es-AR"/>
          </w:rPr>
          <w:t>Artículo XXX </w:t>
        </w:r>
        <w:r w:rsidRPr="007F08EE">
          <w:rPr>
            <w:rFonts w:eastAsia="Times New Roman" w:cstheme="minorHAnsi"/>
            <w:i/>
            <w:iCs/>
            <w:color w:val="3979A6"/>
            <w:lang w:eastAsia="es-AR"/>
          </w:rPr>
          <w:t>f</w:t>
        </w:r>
      </w:hyperlink>
      <w:r w:rsidRPr="007F08EE">
        <w:rPr>
          <w:rFonts w:eastAsia="Times New Roman" w:cstheme="minorHAnsi"/>
          <w:color w:val="2C2825"/>
          <w:lang w:eastAsia="es-AR"/>
        </w:rPr>
        <w:t>)) y se incluyó en la cesta del DEG.</w:t>
      </w:r>
    </w:p>
    <w:p w:rsidR="003D42EC" w:rsidRPr="007F08EE" w:rsidRDefault="003D42EC" w:rsidP="003D42EC">
      <w:pPr>
        <w:shd w:val="clear" w:color="auto" w:fill="FFFFFF"/>
        <w:spacing w:before="240" w:after="240" w:line="240" w:lineRule="auto"/>
        <w:jc w:val="both"/>
        <w:rPr>
          <w:rFonts w:eastAsia="Times New Roman" w:cstheme="minorHAnsi"/>
          <w:color w:val="2C2825"/>
          <w:lang w:eastAsia="es-AR"/>
        </w:rPr>
      </w:pPr>
      <w:r w:rsidRPr="007F08EE">
        <w:rPr>
          <w:rFonts w:eastAsia="Times New Roman" w:cstheme="minorHAnsi"/>
          <w:color w:val="2C2825"/>
          <w:lang w:eastAsia="es-AR"/>
        </w:rPr>
        <w:t>En el examen de 2015 se adoptó también una nueva fórmula de ponderación. Asigna la misma proporción a las exportaciones del emisor de la moneda y a un indicador financiero compuesto. El indicador financiero comprende, en igual proporción, las reservas oficiales denominadas en la moneda del país miembro (o de la unión monetaria) mantenidas por otras autoridades monetarias que no son emisoras de la moneda en cuestión, el volumen de operaciones cambiarias en esta moneda, y la suma del saldo de pasivos bancarios internacionales y títulos de deuda internacionales denominados en esta moneda.</w:t>
      </w:r>
    </w:p>
    <w:p w:rsidR="003D42EC" w:rsidRPr="007F08EE" w:rsidRDefault="003D42EC" w:rsidP="003D42EC">
      <w:pPr>
        <w:shd w:val="clear" w:color="auto" w:fill="FFFFFF"/>
        <w:spacing w:before="240" w:after="240" w:line="240" w:lineRule="auto"/>
        <w:jc w:val="both"/>
        <w:rPr>
          <w:rFonts w:eastAsia="Times New Roman" w:cstheme="minorHAnsi"/>
          <w:color w:val="2C2825"/>
          <w:lang w:eastAsia="es-AR"/>
        </w:rPr>
      </w:pPr>
      <w:r w:rsidRPr="007F08EE">
        <w:rPr>
          <w:rFonts w:eastAsia="Times New Roman" w:cstheme="minorHAnsi"/>
          <w:color w:val="2C2825"/>
          <w:lang w:eastAsia="es-AR"/>
        </w:rPr>
        <w:t xml:space="preserve">Las ponderaciones respectivas eran 41,73% para el dólar de EE.UU.; 30,93% para el euro; 10,92% para el </w:t>
      </w:r>
      <w:proofErr w:type="spellStart"/>
      <w:r w:rsidRPr="007F08EE">
        <w:rPr>
          <w:rFonts w:eastAsia="Times New Roman" w:cstheme="minorHAnsi"/>
          <w:color w:val="2C2825"/>
          <w:lang w:eastAsia="es-AR"/>
        </w:rPr>
        <w:t>renminbi</w:t>
      </w:r>
      <w:proofErr w:type="spellEnd"/>
      <w:r w:rsidRPr="007F08EE">
        <w:rPr>
          <w:rFonts w:eastAsia="Times New Roman" w:cstheme="minorHAnsi"/>
          <w:color w:val="2C2825"/>
          <w:lang w:eastAsia="es-AR"/>
        </w:rPr>
        <w:t xml:space="preserve"> chino; 8,33% para el yen japonés; y 8,09% para la libra esterlina. Estas ponderaciones se utilizaron para determinar el monto de cada una de las cinco monedas incluidas en la nueva cesta de valoración del DEG que entró en vigor el 1 de octubre de 2016. Estos nuevos montos de cada moneda se mantendrán fijos durante el próximo período quinquenal de valoración del DEG (véase la </w:t>
      </w:r>
      <w:hyperlink r:id="rId12" w:history="1">
        <w:r w:rsidRPr="007F08EE">
          <w:rPr>
            <w:rFonts w:eastAsia="Times New Roman" w:cstheme="minorHAnsi"/>
            <w:color w:val="3979A6"/>
            <w:lang w:eastAsia="es-AR"/>
          </w:rPr>
          <w:t>valoración diaria del DEG</w:t>
        </w:r>
      </w:hyperlink>
      <w:r w:rsidRPr="007F08EE">
        <w:rPr>
          <w:rFonts w:eastAsia="Times New Roman" w:cstheme="minorHAnsi"/>
          <w:color w:val="2C2825"/>
          <w:lang w:eastAsia="es-AR"/>
        </w:rPr>
        <w:t>). Dado que los montos de cada moneda son fijos, la ponderación relativa de las monedas en la cesta del DEG puede cambiar durante un período de valoración; las ponderaciones aumentan (disminuyen) en el caso de las monedas que se aprecian (deprecian) en relación con otras monedas a lo largo del tiempo.</w:t>
      </w:r>
    </w:p>
    <w:p w:rsidR="003D42EC" w:rsidRPr="007F08EE" w:rsidRDefault="003D42EC" w:rsidP="003D42EC">
      <w:pPr>
        <w:shd w:val="clear" w:color="auto" w:fill="FFFFFF"/>
        <w:spacing w:before="240" w:after="240" w:line="240" w:lineRule="auto"/>
        <w:jc w:val="both"/>
        <w:rPr>
          <w:rFonts w:eastAsia="Times New Roman" w:cstheme="minorHAnsi"/>
          <w:color w:val="2C2825"/>
          <w:lang w:eastAsia="es-AR"/>
        </w:rPr>
      </w:pPr>
      <w:r w:rsidRPr="007F08EE">
        <w:rPr>
          <w:rFonts w:eastAsia="Times New Roman" w:cstheme="minorHAnsi"/>
          <w:color w:val="2C2825"/>
          <w:lang w:eastAsia="es-AR"/>
        </w:rPr>
        <w:t>Actualmente está programado que el próximo examen tendrá lugar a más tardar el 30 de septiembre de 2021.</w:t>
      </w:r>
    </w:p>
    <w:p w:rsidR="003D42EC" w:rsidRPr="007F08EE" w:rsidRDefault="003D42EC" w:rsidP="003D42EC">
      <w:pPr>
        <w:shd w:val="clear" w:color="auto" w:fill="FFFFFF"/>
        <w:spacing w:before="240" w:after="240" w:line="240" w:lineRule="auto"/>
        <w:jc w:val="both"/>
        <w:rPr>
          <w:rFonts w:eastAsia="Times New Roman" w:cstheme="minorHAnsi"/>
          <w:color w:val="2C2825"/>
          <w:lang w:eastAsia="es-AR"/>
        </w:rPr>
      </w:pPr>
      <w:r w:rsidRPr="007F08EE">
        <w:rPr>
          <w:rFonts w:eastAsia="Times New Roman" w:cstheme="minorHAnsi"/>
          <w:b/>
          <w:bCs/>
          <w:color w:val="2C2825"/>
          <w:lang w:eastAsia="es-AR"/>
        </w:rPr>
        <w:t>La tasa de interés del DEG</w:t>
      </w:r>
    </w:p>
    <w:p w:rsidR="003D42EC" w:rsidRPr="007F08EE" w:rsidRDefault="003D42EC" w:rsidP="003D42EC">
      <w:pPr>
        <w:shd w:val="clear" w:color="auto" w:fill="FFFFFF"/>
        <w:spacing w:before="240" w:after="240" w:line="240" w:lineRule="auto"/>
        <w:jc w:val="both"/>
        <w:rPr>
          <w:rFonts w:eastAsia="Times New Roman" w:cstheme="minorHAnsi"/>
          <w:color w:val="2C2825"/>
          <w:lang w:eastAsia="es-AR"/>
        </w:rPr>
      </w:pPr>
      <w:r w:rsidRPr="007F08EE">
        <w:rPr>
          <w:rFonts w:eastAsia="Times New Roman" w:cstheme="minorHAnsi"/>
          <w:color w:val="2C2825"/>
          <w:lang w:eastAsia="es-AR"/>
        </w:rPr>
        <w:t>La </w:t>
      </w:r>
      <w:hyperlink r:id="rId13" w:history="1">
        <w:r w:rsidRPr="007F08EE">
          <w:rPr>
            <w:rFonts w:eastAsia="Times New Roman" w:cstheme="minorHAnsi"/>
            <w:color w:val="3979A6"/>
            <w:lang w:eastAsia="es-AR"/>
          </w:rPr>
          <w:t>tasa de interés del DEG</w:t>
        </w:r>
      </w:hyperlink>
      <w:r w:rsidRPr="007F08EE">
        <w:rPr>
          <w:rFonts w:eastAsia="Times New Roman" w:cstheme="minorHAnsi"/>
          <w:color w:val="2C2825"/>
          <w:lang w:eastAsia="es-AR"/>
        </w:rPr>
        <w:t> constituye la base para calcular los intereses que se cobran a los países miembros que obtienen préstamos y los intereses que se pagan a los países miembros por el uso de sus recursos para la concesión de </w:t>
      </w:r>
      <w:hyperlink r:id="rId14" w:history="1">
        <w:r w:rsidRPr="007F08EE">
          <w:rPr>
            <w:rFonts w:eastAsia="Times New Roman" w:cstheme="minorHAnsi"/>
            <w:color w:val="3979A6"/>
            <w:lang w:eastAsia="es-AR"/>
          </w:rPr>
          <w:t>préstamos del FMI</w:t>
        </w:r>
      </w:hyperlink>
      <w:r w:rsidRPr="007F08EE">
        <w:rPr>
          <w:rFonts w:eastAsia="Times New Roman" w:cstheme="minorHAnsi"/>
          <w:color w:val="2C2825"/>
          <w:lang w:eastAsia="es-AR"/>
        </w:rPr>
        <w:t> ordinarios (no concesionarios). La tasa es asimismo el interés que se paga a los países miembros por sus tenencias de DEG y que se les cobran por su asignación de DEG. La tasa de interés del DEG se </w:t>
      </w:r>
      <w:hyperlink r:id="rId15" w:history="1">
        <w:r w:rsidRPr="007F08EE">
          <w:rPr>
            <w:rFonts w:eastAsia="Times New Roman" w:cstheme="minorHAnsi"/>
            <w:color w:val="3979A6"/>
            <w:lang w:eastAsia="es-AR"/>
          </w:rPr>
          <w:t>determina semanalmente</w:t>
        </w:r>
      </w:hyperlink>
      <w:r w:rsidR="00F87F8F">
        <w:rPr>
          <w:rFonts w:eastAsia="Times New Roman" w:cstheme="minorHAnsi"/>
          <w:color w:val="3979A6"/>
          <w:lang w:eastAsia="es-AR"/>
        </w:rPr>
        <w:t xml:space="preserve"> </w:t>
      </w:r>
      <w:r w:rsidRPr="007F08EE">
        <w:rPr>
          <w:rFonts w:eastAsia="Times New Roman" w:cstheme="minorHAnsi"/>
          <w:color w:val="2C2825"/>
          <w:lang w:eastAsia="es-AR"/>
        </w:rPr>
        <w:t>y se basa en el promedio ponderado de las tasas de interés representativas de los instrumentos de deuda a corto plazo en los mercados de dinero de las monedas que integran la cesta de valoración del DEG.</w:t>
      </w:r>
    </w:p>
    <w:p w:rsidR="003D42EC" w:rsidRPr="007F08EE" w:rsidRDefault="003D42EC" w:rsidP="003D42EC">
      <w:pPr>
        <w:shd w:val="clear" w:color="auto" w:fill="FFFFFF"/>
        <w:spacing w:before="240" w:after="240" w:line="240" w:lineRule="auto"/>
        <w:jc w:val="both"/>
        <w:rPr>
          <w:rFonts w:eastAsia="Times New Roman" w:cstheme="minorHAnsi"/>
          <w:color w:val="2C2825"/>
          <w:lang w:eastAsia="es-AR"/>
        </w:rPr>
      </w:pPr>
      <w:r w:rsidRPr="007F08EE">
        <w:rPr>
          <w:rFonts w:eastAsia="Times New Roman" w:cstheme="minorHAnsi"/>
          <w:b/>
          <w:bCs/>
          <w:color w:val="2C2825"/>
          <w:lang w:eastAsia="es-AR"/>
        </w:rPr>
        <w:t>Asignaciones de DEG a los países miembros</w:t>
      </w:r>
    </w:p>
    <w:p w:rsidR="003D42EC" w:rsidRPr="007F08EE" w:rsidRDefault="003D42EC" w:rsidP="003D42EC">
      <w:pPr>
        <w:shd w:val="clear" w:color="auto" w:fill="FFFFFF"/>
        <w:spacing w:before="240" w:after="240" w:line="240" w:lineRule="auto"/>
        <w:jc w:val="both"/>
        <w:rPr>
          <w:rFonts w:eastAsia="Times New Roman" w:cstheme="minorHAnsi"/>
          <w:color w:val="2C2825"/>
          <w:lang w:eastAsia="es-AR"/>
        </w:rPr>
      </w:pPr>
      <w:r w:rsidRPr="00F87F8F">
        <w:rPr>
          <w:rFonts w:eastAsia="Times New Roman" w:cstheme="minorHAnsi"/>
          <w:b/>
          <w:color w:val="2C2825"/>
          <w:lang w:eastAsia="es-AR"/>
        </w:rPr>
        <w:t>En virtud de su </w:t>
      </w:r>
      <w:hyperlink r:id="rId16" w:history="1">
        <w:r w:rsidRPr="00F87F8F">
          <w:rPr>
            <w:rFonts w:eastAsia="Times New Roman" w:cstheme="minorHAnsi"/>
            <w:b/>
            <w:color w:val="3979A6"/>
            <w:lang w:eastAsia="es-AR"/>
          </w:rPr>
          <w:t>Convenio Constitutivo</w:t>
        </w:r>
      </w:hyperlink>
      <w:r w:rsidRPr="00F87F8F">
        <w:rPr>
          <w:rFonts w:eastAsia="Times New Roman" w:cstheme="minorHAnsi"/>
          <w:b/>
          <w:color w:val="2C2825"/>
          <w:lang w:eastAsia="es-AR"/>
        </w:rPr>
        <w:t> (Artículo XV, Sección 1, y Artículo XVIII), el FMI puede asignar DEG a los países miembros en proporción a sus </w:t>
      </w:r>
      <w:hyperlink r:id="rId17" w:history="1">
        <w:r w:rsidRPr="00F87F8F">
          <w:rPr>
            <w:rFonts w:eastAsia="Times New Roman" w:cstheme="minorHAnsi"/>
            <w:b/>
            <w:color w:val="3979A6"/>
            <w:lang w:eastAsia="es-AR"/>
          </w:rPr>
          <w:t>cuotas</w:t>
        </w:r>
      </w:hyperlink>
      <w:r w:rsidRPr="00F87F8F">
        <w:rPr>
          <w:rFonts w:eastAsia="Times New Roman" w:cstheme="minorHAnsi"/>
          <w:b/>
          <w:color w:val="2C2825"/>
          <w:lang w:eastAsia="es-AR"/>
        </w:rPr>
        <w:t> en el FMI</w:t>
      </w:r>
      <w:r w:rsidRPr="007F08EE">
        <w:rPr>
          <w:rFonts w:eastAsia="Times New Roman" w:cstheme="minorHAnsi"/>
          <w:color w:val="2C2825"/>
          <w:lang w:eastAsia="es-AR"/>
        </w:rPr>
        <w:t>. Dicha asignación ofrece a cada país miembro un activo de reserva internacional incondicional que no le implica costo alguno. El mecanismo de DEG se autofinancia y aplica cargos sobre las asignaciones, que posteriormente serán utilizados para pagar los intereses sobre las tenencias de DEG. Si un país miembro no utiliza sus tenencias de DEG, los cargos serán iguales a los intereses recibidos. Sin embargo, si las tenencias de DEG de un país miembro superan el nivel asignado, este devenga intereses sobre el excedente. A la inversa, si mantiene un nivel inferior al asignado paga intereses sobre el déficit. El Convenio Constitutivo también permite la cancelación de DEG, pero esa disposición no se ha empleado nunca.</w:t>
      </w:r>
    </w:p>
    <w:p w:rsidR="003D42EC" w:rsidRPr="007F08EE" w:rsidRDefault="003D42EC" w:rsidP="003D42EC">
      <w:pPr>
        <w:shd w:val="clear" w:color="auto" w:fill="FFFFFF"/>
        <w:spacing w:before="240" w:after="240" w:line="240" w:lineRule="auto"/>
        <w:jc w:val="both"/>
        <w:rPr>
          <w:rFonts w:eastAsia="Times New Roman" w:cstheme="minorHAnsi"/>
          <w:color w:val="2C2825"/>
          <w:lang w:eastAsia="es-AR"/>
        </w:rPr>
      </w:pPr>
      <w:r w:rsidRPr="007F08EE">
        <w:rPr>
          <w:rFonts w:eastAsia="Times New Roman" w:cstheme="minorHAnsi"/>
          <w:color w:val="2C2825"/>
          <w:lang w:eastAsia="es-AR"/>
        </w:rPr>
        <w:lastRenderedPageBreak/>
        <w:t>El Convenio Constitutivo del FMI admite la posibilidad de autorizar que, además de los países miembros, sean autorizados como tenedores de derechos especiales de giro ciertos tipos de organismos oficiales como el BPI, el BCE y algunos bancos regionales de desarrollo. Un tenedor autorizado puede adquirir y utilizar DEG en transacciones y operaciones con otros tenedores autorizados y países miembros del FMI. El FMI no puede asignarse DEG a sí mismo ni asignárselos a tenedores autorizados.</w:t>
      </w:r>
    </w:p>
    <w:p w:rsidR="003D42EC" w:rsidRPr="007F08EE" w:rsidRDefault="003D42EC" w:rsidP="003D42EC">
      <w:pPr>
        <w:shd w:val="clear" w:color="auto" w:fill="FFFFFF"/>
        <w:spacing w:before="240" w:after="240" w:line="240" w:lineRule="auto"/>
        <w:jc w:val="both"/>
        <w:rPr>
          <w:rFonts w:eastAsia="Times New Roman" w:cstheme="minorHAnsi"/>
          <w:color w:val="2C2825"/>
          <w:lang w:eastAsia="es-AR"/>
        </w:rPr>
      </w:pPr>
      <w:r w:rsidRPr="007F08EE">
        <w:rPr>
          <w:rFonts w:eastAsia="Times New Roman" w:cstheme="minorHAnsi"/>
          <w:color w:val="2C2825"/>
          <w:lang w:eastAsia="es-AR"/>
        </w:rPr>
        <w:t>Las asignaciones generales de DEG deben basarse en una necesidad mundial y a largo plazo de complementar los activos de reserva existentes. Las decisiones sobre asignaciones generales se toman por períodos básicos sucesivos de hasta cinco años (el último informe data de </w:t>
      </w:r>
      <w:hyperlink r:id="rId18" w:history="1">
        <w:r w:rsidRPr="007F08EE">
          <w:rPr>
            <w:rFonts w:eastAsia="Times New Roman" w:cstheme="minorHAnsi"/>
            <w:color w:val="3979A6"/>
            <w:lang w:eastAsia="es-AR"/>
          </w:rPr>
          <w:t>junio de 2016</w:t>
        </w:r>
      </w:hyperlink>
      <w:r w:rsidRPr="007F08EE">
        <w:rPr>
          <w:rFonts w:eastAsia="Times New Roman" w:cstheme="minorHAnsi"/>
          <w:color w:val="2C2825"/>
          <w:lang w:eastAsia="es-AR"/>
        </w:rPr>
        <w:t>), aunque las asignaciones generales de DEG se han efectuado solo en tres ocasiones. La primera asignación, por un total de DEG 9.300 millones, se distribuyó en 1970-72; la segunda, por DEG 12.100 millones, se distribuyó en 1979–81; y la tercera, por DEG 161.200 millones, se efectuó el 28 de agosto de 2009.</w:t>
      </w:r>
    </w:p>
    <w:p w:rsidR="003D42EC" w:rsidRPr="007F08EE" w:rsidRDefault="003D42EC" w:rsidP="003D42EC">
      <w:pPr>
        <w:shd w:val="clear" w:color="auto" w:fill="FFFFFF"/>
        <w:spacing w:before="240" w:after="240" w:line="240" w:lineRule="auto"/>
        <w:jc w:val="both"/>
        <w:rPr>
          <w:rFonts w:eastAsia="Times New Roman" w:cstheme="minorHAnsi"/>
          <w:color w:val="2C2825"/>
          <w:lang w:eastAsia="es-AR"/>
        </w:rPr>
      </w:pPr>
      <w:r w:rsidRPr="007F08EE">
        <w:rPr>
          <w:rFonts w:eastAsia="Times New Roman" w:cstheme="minorHAnsi"/>
          <w:color w:val="2C2825"/>
          <w:lang w:eastAsia="es-AR"/>
        </w:rPr>
        <w:t xml:space="preserve">Por otro lado, la Cuarta Enmienda del Convenio Constitutivo entró en vigor el 10 de agosto de 2009 y contemplaba una asignación especial y extraordinaria de DEG 21.500 millones. El propósito de la Cuarta Enmienda era permitir que todos los países miembros del FMI participaran en el sistema de DEG de manera equitativa y corregir el hecho de que los países que ingresaron en el FMI después de 1981 —es decir, más de una quinta parte del total actual— nunca </w:t>
      </w:r>
      <w:proofErr w:type="gramStart"/>
      <w:r w:rsidRPr="007F08EE">
        <w:rPr>
          <w:rFonts w:eastAsia="Times New Roman" w:cstheme="minorHAnsi"/>
          <w:color w:val="2C2825"/>
          <w:lang w:eastAsia="es-AR"/>
        </w:rPr>
        <w:t>recibieron</w:t>
      </w:r>
      <w:proofErr w:type="gramEnd"/>
      <w:r w:rsidRPr="007F08EE">
        <w:rPr>
          <w:rFonts w:eastAsia="Times New Roman" w:cstheme="minorHAnsi"/>
          <w:color w:val="2C2825"/>
          <w:lang w:eastAsia="es-AR"/>
        </w:rPr>
        <w:t xml:space="preserve"> una asignación de DEG hasta 2009.</w:t>
      </w:r>
    </w:p>
    <w:p w:rsidR="003D42EC" w:rsidRPr="007F08EE" w:rsidRDefault="003D42EC" w:rsidP="003D42EC">
      <w:pPr>
        <w:shd w:val="clear" w:color="auto" w:fill="FFFFFF"/>
        <w:spacing w:before="240" w:after="240" w:line="240" w:lineRule="auto"/>
        <w:jc w:val="both"/>
        <w:rPr>
          <w:rFonts w:eastAsia="Times New Roman" w:cstheme="minorHAnsi"/>
          <w:color w:val="2C2825"/>
          <w:lang w:eastAsia="es-AR"/>
        </w:rPr>
      </w:pPr>
      <w:r w:rsidRPr="007F08EE">
        <w:rPr>
          <w:rFonts w:eastAsia="Times New Roman" w:cstheme="minorHAnsi"/>
          <w:color w:val="2C2825"/>
          <w:lang w:eastAsia="es-AR"/>
        </w:rPr>
        <w:t>Tras la asignación especial y la general de 2009, el total acumulativo de DEG asignados ascendió a DEG 204.100 millones.</w:t>
      </w:r>
    </w:p>
    <w:p w:rsidR="003D42EC" w:rsidRPr="007F08EE" w:rsidRDefault="003D42EC" w:rsidP="003D42EC">
      <w:pPr>
        <w:shd w:val="clear" w:color="auto" w:fill="FFFFFF"/>
        <w:spacing w:before="240" w:after="240" w:line="240" w:lineRule="auto"/>
        <w:jc w:val="both"/>
        <w:rPr>
          <w:rFonts w:eastAsia="Times New Roman" w:cstheme="minorHAnsi"/>
          <w:color w:val="2C2825"/>
          <w:lang w:eastAsia="es-AR"/>
        </w:rPr>
      </w:pPr>
      <w:r w:rsidRPr="007F08EE">
        <w:rPr>
          <w:rFonts w:eastAsia="Times New Roman" w:cstheme="minorHAnsi"/>
          <w:b/>
          <w:bCs/>
          <w:color w:val="2C2825"/>
          <w:lang w:eastAsia="es-AR"/>
        </w:rPr>
        <w:t>Compraventa de DEG</w:t>
      </w:r>
    </w:p>
    <w:p w:rsidR="0010192A" w:rsidRDefault="003D42EC" w:rsidP="003D42EC">
      <w:pPr>
        <w:shd w:val="clear" w:color="auto" w:fill="FFFFFF"/>
        <w:spacing w:before="240" w:after="240" w:line="240" w:lineRule="auto"/>
        <w:jc w:val="both"/>
        <w:rPr>
          <w:rFonts w:eastAsia="Times New Roman" w:cstheme="minorHAnsi"/>
          <w:color w:val="2C2825"/>
          <w:lang w:eastAsia="es-AR"/>
        </w:rPr>
      </w:pPr>
      <w:r w:rsidRPr="0010192A">
        <w:rPr>
          <w:rFonts w:eastAsia="Times New Roman" w:cstheme="minorHAnsi"/>
          <w:color w:val="2C2825"/>
          <w:u w:val="single"/>
          <w:lang w:eastAsia="es-AR"/>
        </w:rPr>
        <w:t>Los países miembros a menudo necesitan comprar DEG para cumplir con sus obligaciones ante el FMI, o pueden optar por venderlos para ajustar la composición de sus reservas. El FMI puede actuar como intermediario entre estos países y los tenedores autorizados para asegurar que los DEG se puedan canjear por monedas de libre uso.</w:t>
      </w:r>
      <w:r w:rsidRPr="007F08EE">
        <w:rPr>
          <w:rFonts w:eastAsia="Times New Roman" w:cstheme="minorHAnsi"/>
          <w:color w:val="2C2825"/>
          <w:lang w:eastAsia="es-AR"/>
        </w:rPr>
        <w:t xml:space="preserve"> </w:t>
      </w:r>
    </w:p>
    <w:p w:rsidR="003D42EC" w:rsidRPr="007F08EE" w:rsidRDefault="003D42EC" w:rsidP="003D42EC">
      <w:pPr>
        <w:shd w:val="clear" w:color="auto" w:fill="FFFFFF"/>
        <w:spacing w:before="240" w:after="240" w:line="240" w:lineRule="auto"/>
        <w:jc w:val="both"/>
        <w:rPr>
          <w:rFonts w:eastAsia="Times New Roman" w:cstheme="minorHAnsi"/>
          <w:color w:val="2C2825"/>
          <w:lang w:eastAsia="es-AR"/>
        </w:rPr>
      </w:pPr>
      <w:r w:rsidRPr="007F08EE">
        <w:rPr>
          <w:rFonts w:eastAsia="Times New Roman" w:cstheme="minorHAnsi"/>
          <w:color w:val="2C2825"/>
          <w:lang w:eastAsia="es-AR"/>
        </w:rPr>
        <w:t>Durante más de dos décadas, el mercado de DEG funcionó mediante acuerdos de intercambio voluntarios,  en virtud de los cuales un grupo de países miembros y un tenedor autorizado se ofrecían a comprar o vender DEG dentro de determinados límites establecidos en el marco de sus respectivos acuerdos. Después de las asignaciones de DEG de 2009, se ampliaron el número y el volumen de los acuerdos voluntarios para mantener la liquidez del mercado de DEG. El número de acuerdos de intercambio voluntario de DEG asciende en este momento a 32, incluidos 19 acuerdos nuevos desde la asignación de 2009.</w:t>
      </w:r>
    </w:p>
    <w:p w:rsidR="003D42EC" w:rsidRDefault="003D42EC" w:rsidP="003D42EC">
      <w:pPr>
        <w:shd w:val="clear" w:color="auto" w:fill="FFFFFF"/>
        <w:spacing w:before="240" w:after="240" w:line="240" w:lineRule="auto"/>
        <w:jc w:val="both"/>
        <w:rPr>
          <w:rFonts w:eastAsia="Times New Roman" w:cstheme="minorHAnsi"/>
          <w:color w:val="2C2825"/>
          <w:lang w:eastAsia="es-AR"/>
        </w:rPr>
      </w:pPr>
      <w:r w:rsidRPr="007F08EE">
        <w:rPr>
          <w:rFonts w:eastAsia="Times New Roman" w:cstheme="minorHAnsi"/>
          <w:color w:val="2C2825"/>
          <w:lang w:eastAsia="es-AR"/>
        </w:rPr>
        <w:t>Desde septiembre de 1987, las transacciones voluntarias han asegurado la liquidez de los DEG. Sin embargo, en caso de que no haya suficiente capacidad para acuerdos de intercambio voluntarios, el FMI puede activar el mecanismo de designación  mediante el cual designa a países miembros con una posición externa suficientemente sólida para comprar DEG a cambio de monedas de libre uso, hasta determinadas cantidades, a países miembros con una posición externa débil. Este mecanismo garantiza la liquidez y el carácter de activo de reserva de los DEG.</w:t>
      </w:r>
    </w:p>
    <w:p w:rsidR="00353DAD" w:rsidRDefault="00353DAD" w:rsidP="003D42EC">
      <w:pPr>
        <w:shd w:val="clear" w:color="auto" w:fill="FFFFFF"/>
        <w:spacing w:before="240" w:after="240" w:line="240" w:lineRule="auto"/>
        <w:jc w:val="both"/>
        <w:rPr>
          <w:rFonts w:eastAsia="Times New Roman" w:cstheme="minorHAnsi"/>
          <w:color w:val="2C2825"/>
          <w:lang w:eastAsia="es-AR"/>
        </w:rPr>
      </w:pPr>
    </w:p>
    <w:p w:rsidR="00353DAD" w:rsidRDefault="00353DAD" w:rsidP="003D42EC">
      <w:pPr>
        <w:shd w:val="clear" w:color="auto" w:fill="FFFFFF"/>
        <w:spacing w:before="240" w:after="240" w:line="240" w:lineRule="auto"/>
        <w:jc w:val="both"/>
        <w:rPr>
          <w:rFonts w:eastAsia="Times New Roman" w:cstheme="minorHAnsi"/>
          <w:color w:val="2C2825"/>
          <w:lang w:eastAsia="es-AR"/>
        </w:rPr>
      </w:pPr>
    </w:p>
    <w:p w:rsidR="00353DAD" w:rsidRDefault="00353DAD" w:rsidP="003D42EC">
      <w:pPr>
        <w:shd w:val="clear" w:color="auto" w:fill="FFFFFF"/>
        <w:spacing w:before="240" w:after="240" w:line="240" w:lineRule="auto"/>
        <w:jc w:val="both"/>
        <w:rPr>
          <w:rFonts w:eastAsia="Times New Roman" w:cstheme="minorHAnsi"/>
          <w:color w:val="2C2825"/>
          <w:lang w:eastAsia="es-AR"/>
        </w:rPr>
      </w:pPr>
    </w:p>
    <w:p w:rsidR="0010192A" w:rsidRPr="007F08EE" w:rsidRDefault="0010192A" w:rsidP="003D42EC">
      <w:pPr>
        <w:shd w:val="clear" w:color="auto" w:fill="FFFFFF"/>
        <w:spacing w:before="240" w:after="240" w:line="240" w:lineRule="auto"/>
        <w:jc w:val="both"/>
        <w:rPr>
          <w:rFonts w:eastAsia="Times New Roman" w:cstheme="minorHAnsi"/>
          <w:color w:val="2C2825"/>
          <w:lang w:eastAsia="es-AR"/>
        </w:rPr>
      </w:pPr>
    </w:p>
    <w:p w:rsidR="007F08EE" w:rsidRPr="003E0D9D" w:rsidRDefault="003E0D9D" w:rsidP="007F08EE">
      <w:pPr>
        <w:pBdr>
          <w:top w:val="single" w:sz="4" w:space="1" w:color="auto"/>
          <w:left w:val="single" w:sz="4" w:space="4" w:color="auto"/>
          <w:bottom w:val="single" w:sz="4" w:space="1" w:color="auto"/>
          <w:right w:val="single" w:sz="4" w:space="4" w:color="auto"/>
        </w:pBdr>
        <w:jc w:val="center"/>
        <w:rPr>
          <w:b/>
          <w:sz w:val="36"/>
          <w:szCs w:val="36"/>
        </w:rPr>
      </w:pPr>
      <w:r>
        <w:rPr>
          <w:b/>
          <w:sz w:val="36"/>
          <w:szCs w:val="36"/>
        </w:rPr>
        <w:lastRenderedPageBreak/>
        <w:t xml:space="preserve">Boletín del FMI. </w:t>
      </w:r>
      <w:r w:rsidR="007F08EE" w:rsidRPr="003E0D9D">
        <w:rPr>
          <w:b/>
          <w:sz w:val="36"/>
          <w:szCs w:val="36"/>
        </w:rPr>
        <w:t xml:space="preserve">Inclusión del </w:t>
      </w:r>
      <w:proofErr w:type="spellStart"/>
      <w:r w:rsidR="007F08EE" w:rsidRPr="003E0D9D">
        <w:rPr>
          <w:b/>
          <w:sz w:val="36"/>
          <w:szCs w:val="36"/>
        </w:rPr>
        <w:t>Renminbi</w:t>
      </w:r>
      <w:proofErr w:type="spellEnd"/>
      <w:r w:rsidR="007F08EE" w:rsidRPr="003E0D9D">
        <w:rPr>
          <w:b/>
          <w:sz w:val="36"/>
          <w:szCs w:val="36"/>
        </w:rPr>
        <w:t xml:space="preserve"> como 5ta. Moneda</w:t>
      </w:r>
    </w:p>
    <w:p w:rsidR="007F08EE" w:rsidRPr="003E0D9D" w:rsidRDefault="007F08EE" w:rsidP="007F08EE">
      <w:pPr>
        <w:pBdr>
          <w:top w:val="single" w:sz="4" w:space="1" w:color="auto"/>
          <w:left w:val="single" w:sz="4" w:space="4" w:color="auto"/>
          <w:bottom w:val="single" w:sz="4" w:space="1" w:color="auto"/>
          <w:right w:val="single" w:sz="4" w:space="4" w:color="auto"/>
        </w:pBdr>
        <w:jc w:val="center"/>
        <w:rPr>
          <w:b/>
          <w:sz w:val="36"/>
          <w:szCs w:val="36"/>
          <w:u w:val="single"/>
        </w:rPr>
      </w:pPr>
      <w:r w:rsidRPr="003E0D9D">
        <w:rPr>
          <w:sz w:val="36"/>
          <w:szCs w:val="36"/>
          <w:u w:val="single"/>
        </w:rPr>
        <w:t>01 de diciembre de 2015</w:t>
      </w:r>
      <w:r w:rsidR="009D4B4C" w:rsidRPr="003E0D9D">
        <w:rPr>
          <w:rStyle w:val="Refdenotaalpie"/>
          <w:sz w:val="36"/>
          <w:szCs w:val="36"/>
          <w:u w:val="single"/>
        </w:rPr>
        <w:footnoteReference w:id="2"/>
      </w:r>
    </w:p>
    <w:p w:rsidR="007F08EE" w:rsidRPr="009D4B4C" w:rsidRDefault="007F08EE" w:rsidP="007F08EE">
      <w:pPr>
        <w:jc w:val="both"/>
        <w:rPr>
          <w:b/>
        </w:rPr>
      </w:pPr>
      <w:r w:rsidRPr="009D4B4C">
        <w:rPr>
          <w:b/>
        </w:rPr>
        <w:t xml:space="preserve">El Directorio Ejecutivo del FMI ha determinado que la moneda china es “de libre uso” </w:t>
      </w:r>
    </w:p>
    <w:p w:rsidR="007F08EE" w:rsidRDefault="007F08EE" w:rsidP="007F08EE">
      <w:pPr>
        <w:jc w:val="both"/>
      </w:pPr>
      <w:r>
        <w:t xml:space="preserve">LA CESTA DE DEG DEL FMI - El </w:t>
      </w:r>
      <w:proofErr w:type="spellStart"/>
      <w:r>
        <w:t>renminbi</w:t>
      </w:r>
      <w:proofErr w:type="spellEnd"/>
      <w:r>
        <w:t xml:space="preserve"> chino se suma a la cesta del derecho especial de giro del FMI</w:t>
      </w:r>
    </w:p>
    <w:p w:rsidR="007F08EE" w:rsidRDefault="007F08EE" w:rsidP="007F08EE">
      <w:pPr>
        <w:jc w:val="both"/>
      </w:pPr>
      <w:r>
        <w:t>•</w:t>
      </w:r>
      <w:r>
        <w:tab/>
        <w:t xml:space="preserve">El </w:t>
      </w:r>
      <w:proofErr w:type="spellStart"/>
      <w:r>
        <w:t>renminbi</w:t>
      </w:r>
      <w:proofErr w:type="spellEnd"/>
      <w:r>
        <w:t xml:space="preserve"> es la quinta moneda que conforma la cesta de DEG</w:t>
      </w:r>
    </w:p>
    <w:p w:rsidR="007F08EE" w:rsidRDefault="007F08EE" w:rsidP="007F08EE">
      <w:pPr>
        <w:jc w:val="both"/>
      </w:pPr>
      <w:r>
        <w:t>•</w:t>
      </w:r>
      <w:r>
        <w:tab/>
        <w:t>Su inclusión constituye un importante hito en la integración financiera mundial de China</w:t>
      </w:r>
    </w:p>
    <w:p w:rsidR="007F08EE" w:rsidRDefault="007F08EE" w:rsidP="007F08EE">
      <w:pPr>
        <w:jc w:val="both"/>
      </w:pPr>
      <w:r>
        <w:t>•</w:t>
      </w:r>
      <w:r>
        <w:tab/>
        <w:t xml:space="preserve">La decisión refleja el creciente grado de uso y negociación del </w:t>
      </w:r>
      <w:proofErr w:type="spellStart"/>
      <w:r>
        <w:t>renminbi</w:t>
      </w:r>
      <w:proofErr w:type="spellEnd"/>
      <w:r>
        <w:t xml:space="preserve"> a nivel internacional</w:t>
      </w:r>
    </w:p>
    <w:p w:rsidR="007F08EE" w:rsidRDefault="007F08EE" w:rsidP="007F08EE">
      <w:pPr>
        <w:jc w:val="both"/>
      </w:pPr>
      <w:r>
        <w:t xml:space="preserve">El </w:t>
      </w:r>
      <w:proofErr w:type="spellStart"/>
      <w:r>
        <w:t>renminbi</w:t>
      </w:r>
      <w:proofErr w:type="spellEnd"/>
      <w:r>
        <w:t xml:space="preserve"> (RMB) —la moneda de China— se sumará a la cesta de monedas que conforman el derecho especial de giro (DEG) del FMI.</w:t>
      </w:r>
    </w:p>
    <w:p w:rsidR="007F08EE" w:rsidRDefault="007F08EE" w:rsidP="007F08EE">
      <w:pPr>
        <w:jc w:val="both"/>
      </w:pPr>
      <w:r>
        <w:t xml:space="preserve">Es la primera vez en más de 15 años que cambia la lista de monedas que integran el DEG. El cambio fue acordado por el Directorio Ejecutivo del FMI tras un examen regular de las monedas que integran la cesta de DEG. </w:t>
      </w:r>
    </w:p>
    <w:p w:rsidR="007F08EE" w:rsidRDefault="007F08EE" w:rsidP="007F08EE">
      <w:pPr>
        <w:jc w:val="both"/>
      </w:pPr>
      <w:r>
        <w:t xml:space="preserve">“La decisión del Directorio Ejecutivo constituye un importante hito en la integración de la economía china en el sistema financiero internacional. Asimismo, constituye un reconocimiento del progreso realizado por las autoridades del país en los últimos años en pos de la reforma de los sistemas monetarios y financieros de China”, afirmó la Directora Gerente del FMI, Christine </w:t>
      </w:r>
      <w:proofErr w:type="spellStart"/>
      <w:r>
        <w:t>Lagarde</w:t>
      </w:r>
      <w:proofErr w:type="spellEnd"/>
      <w:r>
        <w:t>.  “La continuación y profundización de estos esfuerzos fortalecerán el sistema monetario y financiero internacional, lo cual a su vez respaldará el crecimiento y la estabilidad de China y la economía mundial”, añadió.</w:t>
      </w:r>
    </w:p>
    <w:p w:rsidR="007F08EE" w:rsidRPr="009D4B4C" w:rsidRDefault="007F08EE" w:rsidP="007F08EE">
      <w:pPr>
        <w:jc w:val="both"/>
        <w:rPr>
          <w:b/>
        </w:rPr>
      </w:pPr>
      <w:r w:rsidRPr="009D4B4C">
        <w:rPr>
          <w:b/>
        </w:rPr>
        <w:t>DEG: Un activo de reserva internacional</w:t>
      </w:r>
    </w:p>
    <w:p w:rsidR="007F08EE" w:rsidRDefault="007F08EE" w:rsidP="007F08EE">
      <w:pPr>
        <w:jc w:val="both"/>
      </w:pPr>
      <w:r>
        <w:t xml:space="preserve">El DEG es un activo de reserva internacional creado por el FMI en 1969 para complementar las reservas oficiales de los países miembros. Desde 1999, cuando el euro reemplazó el marco alemán y el franco francés, su valor se ha basado en una cesta de cuatro monedas: el dólar de EE.UU., el euro, el yen japonés y la libra esterlina, que cumplen con los criterios de inclusión del FMI. </w:t>
      </w:r>
    </w:p>
    <w:p w:rsidR="007F08EE" w:rsidRDefault="007F08EE" w:rsidP="007F08EE">
      <w:pPr>
        <w:jc w:val="both"/>
      </w:pPr>
      <w:r>
        <w:t xml:space="preserve">La composición y la valoración del DEG por lo general se examinan cada cinco años para garantizar que refleje la importancia relativa de las monedas que lo integran en los sistemas comerciales y financieros internacionales. </w:t>
      </w:r>
    </w:p>
    <w:p w:rsidR="007F08EE" w:rsidRPr="009D4B4C" w:rsidRDefault="007F08EE" w:rsidP="007F08EE">
      <w:pPr>
        <w:jc w:val="both"/>
        <w:rPr>
          <w:u w:val="single"/>
        </w:rPr>
      </w:pPr>
      <w:r w:rsidRPr="009D4B4C">
        <w:rPr>
          <w:u w:val="single"/>
        </w:rPr>
        <w:t xml:space="preserve">El último examen que realizó el Directorio Ejecutivo del FMI concluyó que China y su moneda cumplen con los dos criterios de inclusión en la cesta: que el país emisor esté entre los principales exportadores del mundo y que la moneda sea “de libre uso.” </w:t>
      </w:r>
    </w:p>
    <w:p w:rsidR="007F08EE" w:rsidRDefault="007F08EE" w:rsidP="007F08EE">
      <w:pPr>
        <w:jc w:val="both"/>
      </w:pPr>
      <w:r>
        <w:t xml:space="preserve">Se estima que una moneda es de libre uso cuando se la utiliza ampliamente para saldar transacciones internacionales y se la negocia ampliamente en los principales mercados de cambio. La determinación del Directorio Ejecutivo del FMI en </w:t>
      </w:r>
      <w:r>
        <w:lastRenderedPageBreak/>
        <w:t xml:space="preserve">el sentido de que el </w:t>
      </w:r>
      <w:proofErr w:type="spellStart"/>
      <w:r>
        <w:t>renminbi</w:t>
      </w:r>
      <w:proofErr w:type="spellEnd"/>
      <w:r>
        <w:t xml:space="preserve"> es de libre uso y la decisión de incluirlo en la cesta de DEG </w:t>
      </w:r>
      <w:proofErr w:type="gramStart"/>
      <w:r>
        <w:t>entrarán</w:t>
      </w:r>
      <w:proofErr w:type="gramEnd"/>
      <w:r>
        <w:t xml:space="preserve"> en vigencia el 1 de octubre de 2016.</w:t>
      </w:r>
    </w:p>
    <w:p w:rsidR="007F08EE" w:rsidRDefault="007F08EE" w:rsidP="007F08EE">
      <w:pPr>
        <w:jc w:val="both"/>
      </w:pPr>
      <w:r>
        <w:t xml:space="preserve">El examen también reconoció las medidas tomadas en los últimos tiempos por las autoridades chinas para conceder a administradores de reservas oficiales extranjeros y sus agentes pleno acceso a los mercados de divisas y renta fija del país, así como pasos para mejorar la divulgación de datos. </w:t>
      </w:r>
    </w:p>
    <w:p w:rsidR="007F08EE" w:rsidRPr="009D4B4C" w:rsidRDefault="007F08EE" w:rsidP="007F08EE">
      <w:pPr>
        <w:jc w:val="both"/>
        <w:rPr>
          <w:b/>
        </w:rPr>
      </w:pPr>
      <w:r w:rsidRPr="009D4B4C">
        <w:rPr>
          <w:b/>
        </w:rPr>
        <w:t>El FMI refleja cambios en la economía mundial</w:t>
      </w:r>
    </w:p>
    <w:p w:rsidR="007F08EE" w:rsidRDefault="007F08EE" w:rsidP="007F08EE">
      <w:pPr>
        <w:jc w:val="both"/>
      </w:pPr>
      <w:r>
        <w:t xml:space="preserve">La decisión de incluir el </w:t>
      </w:r>
      <w:proofErr w:type="spellStart"/>
      <w:r>
        <w:t>renminbi</w:t>
      </w:r>
      <w:proofErr w:type="spellEnd"/>
      <w:r>
        <w:t xml:space="preserve"> en la cesta de DEG refleja profundos cambios en la economía mundial y constituye un reconocimiento del avance realizado por China en las últimas décadas hacia una economía de mercado más abierta.</w:t>
      </w:r>
    </w:p>
    <w:p w:rsidR="007F08EE" w:rsidRDefault="007F08EE" w:rsidP="007F08EE">
      <w:pPr>
        <w:jc w:val="both"/>
      </w:pPr>
      <w:r>
        <w:t xml:space="preserve">El informe del personal técnico del FMI al Directorio Ejecutivo señala que desde el último examen del DEG en 2010, el uso del </w:t>
      </w:r>
      <w:proofErr w:type="spellStart"/>
      <w:r>
        <w:t>renminbi</w:t>
      </w:r>
      <w:proofErr w:type="spellEnd"/>
      <w:r>
        <w:t xml:space="preserve"> en los pagos internacionales ha aumentado sustancialmente. Además, la compraventa de </w:t>
      </w:r>
      <w:proofErr w:type="spellStart"/>
      <w:r>
        <w:t>renminbi</w:t>
      </w:r>
      <w:proofErr w:type="spellEnd"/>
      <w:r>
        <w:t xml:space="preserve"> en los mercados de divisas ubicados en dos de los tres principales husos horarios comerciales ha aumentado significativamente, y ahora hace posible transacciones de la magnitud acostumbrada en las operaciones del FMI. </w:t>
      </w:r>
    </w:p>
    <w:p w:rsidR="007F08EE" w:rsidRDefault="007F08EE" w:rsidP="007F08EE">
      <w:pPr>
        <w:jc w:val="both"/>
      </w:pPr>
      <w:r>
        <w:t xml:space="preserve">Estos cambios podrían encerrar oportunidades para un sistema financiero internacional más estable y </w:t>
      </w:r>
      <w:proofErr w:type="spellStart"/>
      <w:r>
        <w:t>resiliente</w:t>
      </w:r>
      <w:proofErr w:type="spellEnd"/>
      <w:r>
        <w:t xml:space="preserve">. “A medida que la integración de China continúe y se profundice, y se vea reflejada en otras economías de mercados emergentes, el sistema monetario y financiero internacional podría fortalecerse, lo cual a su vez respaldaría el crecimiento y la estabilidad de la economía mundial”, afirmó el Director del Departamento de Estrategia, Políticas y Evaluación del FMI, </w:t>
      </w:r>
      <w:proofErr w:type="spellStart"/>
      <w:r>
        <w:t>Siddharth</w:t>
      </w:r>
      <w:proofErr w:type="spellEnd"/>
      <w:r>
        <w:t xml:space="preserve"> </w:t>
      </w:r>
      <w:proofErr w:type="spellStart"/>
      <w:r>
        <w:t>Tiwari</w:t>
      </w:r>
      <w:proofErr w:type="spellEnd"/>
      <w:r>
        <w:t>.</w:t>
      </w:r>
    </w:p>
    <w:p w:rsidR="007F08EE" w:rsidRPr="009D4B4C" w:rsidRDefault="007F08EE" w:rsidP="007F08EE">
      <w:pPr>
        <w:jc w:val="both"/>
        <w:rPr>
          <w:b/>
        </w:rPr>
      </w:pPr>
      <w:r w:rsidRPr="009D4B4C">
        <w:rPr>
          <w:b/>
        </w:rPr>
        <w:t xml:space="preserve">Las operaciones del FMI y el </w:t>
      </w:r>
      <w:proofErr w:type="spellStart"/>
      <w:r w:rsidRPr="009D4B4C">
        <w:rPr>
          <w:b/>
        </w:rPr>
        <w:t>renminbi</w:t>
      </w:r>
      <w:proofErr w:type="spellEnd"/>
    </w:p>
    <w:p w:rsidR="007F08EE" w:rsidRDefault="007F08EE" w:rsidP="007F08EE">
      <w:pPr>
        <w:jc w:val="both"/>
      </w:pPr>
      <w:r>
        <w:t xml:space="preserve">“La inclusión del </w:t>
      </w:r>
      <w:proofErr w:type="spellStart"/>
      <w:r>
        <w:t>renminbi</w:t>
      </w:r>
      <w:proofErr w:type="spellEnd"/>
      <w:r>
        <w:t xml:space="preserve"> también realzará el atractivo del DEG como activo de reserva internacional, al diversificar la cesta y lograr que el DEG sea más representativo de las principales monedas del mundo”, afirmó Andrew </w:t>
      </w:r>
      <w:proofErr w:type="spellStart"/>
      <w:r>
        <w:t>Tweedie</w:t>
      </w:r>
      <w:proofErr w:type="spellEnd"/>
      <w:r>
        <w:t>, Director del Departamento Financiero del FMI.</w:t>
      </w:r>
    </w:p>
    <w:p w:rsidR="007F08EE" w:rsidRDefault="007F08EE" w:rsidP="007F08EE">
      <w:pPr>
        <w:jc w:val="both"/>
      </w:pPr>
      <w:r>
        <w:t xml:space="preserve">Como moneda de libre uso, el </w:t>
      </w:r>
      <w:proofErr w:type="spellStart"/>
      <w:r>
        <w:t>renminbi</w:t>
      </w:r>
      <w:proofErr w:type="spellEnd"/>
      <w:r>
        <w:t xml:space="preserve"> jugará un papel importante en las operaciones del FMI, ya que en la práctica el grueso de sus actividades de préstamo tiene lugar en monedas de libre uso. La tasa de interés del DEG, que es la base del costo de los préstamos del FMI, también incluirá un instrumento en </w:t>
      </w:r>
      <w:proofErr w:type="spellStart"/>
      <w:r>
        <w:t>renminbi</w:t>
      </w:r>
      <w:proofErr w:type="spellEnd"/>
      <w:r>
        <w:t xml:space="preserve"> a partir de octubre.</w:t>
      </w:r>
    </w:p>
    <w:p w:rsidR="00076789" w:rsidRDefault="007F08EE" w:rsidP="007F08EE">
      <w:pPr>
        <w:jc w:val="both"/>
      </w:pPr>
      <w:r>
        <w:t xml:space="preserve">Las autoridades de todas las </w:t>
      </w:r>
      <w:bookmarkStart w:id="0" w:name="_GoBack"/>
      <w:bookmarkEnd w:id="0"/>
      <w:r>
        <w:t>monedas representadas en la cesta de DEG, entre las que se cuenta ahora China, deben mantener un marco de políticas que facilite las operaciones del FMI, sus miembros y otros usuarios de DEG en sus monedas.</w:t>
      </w:r>
    </w:p>
    <w:sectPr w:rsidR="00076789" w:rsidSect="00353DAD">
      <w:headerReference w:type="default" r:id="rId19"/>
      <w:footerReference w:type="default" r:id="rId20"/>
      <w:pgSz w:w="12240" w:h="15840" w:code="1"/>
      <w:pgMar w:top="1417" w:right="707" w:bottom="141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8EE" w:rsidRDefault="007F08EE" w:rsidP="007F08EE">
      <w:pPr>
        <w:spacing w:after="0" w:line="240" w:lineRule="auto"/>
      </w:pPr>
      <w:r>
        <w:separator/>
      </w:r>
    </w:p>
  </w:endnote>
  <w:endnote w:type="continuationSeparator" w:id="0">
    <w:p w:rsidR="007F08EE" w:rsidRDefault="007F08EE" w:rsidP="007F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5477872"/>
      <w:docPartObj>
        <w:docPartGallery w:val="Page Numbers (Bottom of Page)"/>
        <w:docPartUnique/>
      </w:docPartObj>
    </w:sdtPr>
    <w:sdtEndPr/>
    <w:sdtContent>
      <w:p w:rsidR="00651F9B" w:rsidRDefault="00651F9B">
        <w:pPr>
          <w:pStyle w:val="Piedepgina"/>
          <w:jc w:val="right"/>
        </w:pPr>
        <w:r>
          <w:fldChar w:fldCharType="begin"/>
        </w:r>
        <w:r>
          <w:instrText>PAGE   \* MERGEFORMAT</w:instrText>
        </w:r>
        <w:r>
          <w:fldChar w:fldCharType="separate"/>
        </w:r>
        <w:r w:rsidR="006F11E0" w:rsidRPr="006F11E0">
          <w:rPr>
            <w:noProof/>
            <w:lang w:val="es-ES"/>
          </w:rPr>
          <w:t>5</w:t>
        </w:r>
        <w:r>
          <w:fldChar w:fldCharType="end"/>
        </w:r>
      </w:p>
    </w:sdtContent>
  </w:sdt>
  <w:p w:rsidR="00651F9B" w:rsidRDefault="00651F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8EE" w:rsidRDefault="007F08EE" w:rsidP="007F08EE">
      <w:pPr>
        <w:spacing w:after="0" w:line="240" w:lineRule="auto"/>
      </w:pPr>
      <w:r>
        <w:separator/>
      </w:r>
    </w:p>
  </w:footnote>
  <w:footnote w:type="continuationSeparator" w:id="0">
    <w:p w:rsidR="007F08EE" w:rsidRDefault="007F08EE" w:rsidP="007F08EE">
      <w:pPr>
        <w:spacing w:after="0" w:line="240" w:lineRule="auto"/>
      </w:pPr>
      <w:r>
        <w:continuationSeparator/>
      </w:r>
    </w:p>
  </w:footnote>
  <w:footnote w:id="1">
    <w:p w:rsidR="007F08EE" w:rsidRDefault="007F08EE">
      <w:pPr>
        <w:pStyle w:val="Textonotapie"/>
      </w:pPr>
      <w:r>
        <w:rPr>
          <w:rStyle w:val="Refdenotaalpie"/>
        </w:rPr>
        <w:footnoteRef/>
      </w:r>
      <w:r>
        <w:t xml:space="preserve"> </w:t>
      </w:r>
      <w:r w:rsidRPr="007F08EE">
        <w:t xml:space="preserve">Fuente: https://www.imf.org/es/About/Factsheets/Sheets/2016/08/01/14/51/Special-Drawing-Right-SDR  </w:t>
      </w:r>
    </w:p>
  </w:footnote>
  <w:footnote w:id="2">
    <w:p w:rsidR="009D4B4C" w:rsidRDefault="009D4B4C">
      <w:pPr>
        <w:pStyle w:val="Textonotapie"/>
      </w:pPr>
      <w:r>
        <w:rPr>
          <w:rStyle w:val="Refdenotaalpie"/>
        </w:rPr>
        <w:footnoteRef/>
      </w:r>
      <w:r>
        <w:t xml:space="preserve"> </w:t>
      </w:r>
      <w:r w:rsidRPr="009D4B4C">
        <w:t>http://www.imf.org/external/spanish/pubs/ft/survey/so/2015/NEW120115AS.htm#st_refDomain=&amp;st_refQuery=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553"/>
      <w:gridCol w:w="1359"/>
    </w:tblGrid>
    <w:tr w:rsidR="003E0D9D">
      <w:trPr>
        <w:trHeight w:val="288"/>
      </w:trPr>
      <w:sdt>
        <w:sdtPr>
          <w:rPr>
            <w:rFonts w:asciiTheme="majorHAnsi" w:eastAsiaTheme="majorEastAsia" w:hAnsiTheme="majorHAnsi" w:cstheme="majorBidi"/>
            <w:sz w:val="24"/>
            <w:szCs w:val="24"/>
          </w:rPr>
          <w:alias w:val="Título"/>
          <w:id w:val="77761602"/>
          <w:placeholder>
            <w:docPart w:val="26B5E19123D04564942F38E95E35FE5D"/>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3E0D9D" w:rsidRDefault="006F11E0" w:rsidP="006F11E0">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24"/>
                  <w:szCs w:val="24"/>
                </w:rPr>
                <w:t>Economía y Finanzas</w:t>
              </w:r>
              <w:r w:rsidR="003E0D9D" w:rsidRPr="003E0D9D">
                <w:rPr>
                  <w:rFonts w:asciiTheme="majorHAnsi" w:eastAsiaTheme="majorEastAsia" w:hAnsiTheme="majorHAnsi" w:cstheme="majorBidi"/>
                  <w:sz w:val="24"/>
                  <w:szCs w:val="24"/>
                </w:rPr>
                <w:t xml:space="preserve"> en Mercados Globalizados</w:t>
              </w:r>
              <w:r w:rsidR="003E0D9D">
                <w:rPr>
                  <w:rFonts w:asciiTheme="majorHAnsi" w:eastAsiaTheme="majorEastAsia" w:hAnsiTheme="majorHAnsi" w:cstheme="majorBidi"/>
                  <w:sz w:val="24"/>
                  <w:szCs w:val="24"/>
                </w:rPr>
                <w:t>-Prof. Karina Díaz</w:t>
              </w:r>
            </w:p>
          </w:tc>
        </w:sdtContent>
      </w:sdt>
      <w:tc>
        <w:tcPr>
          <w:tcW w:w="1105" w:type="dxa"/>
        </w:tcPr>
        <w:p w:rsidR="003E0D9D" w:rsidRDefault="003E0D9D" w:rsidP="003E0D9D">
          <w:pPr>
            <w:pStyle w:val="Encabezado"/>
            <w:rPr>
              <w:rFonts w:asciiTheme="majorHAnsi" w:eastAsiaTheme="majorEastAsia" w:hAnsiTheme="majorHAnsi" w:cstheme="majorBidi"/>
              <w:b/>
              <w:bCs/>
              <w:color w:val="4F81BD" w:themeColor="accent1"/>
              <w:sz w:val="36"/>
              <w:szCs w:val="36"/>
              <w14:numForm w14:val="oldStyle"/>
            </w:rPr>
          </w:pPr>
        </w:p>
      </w:tc>
    </w:tr>
  </w:tbl>
  <w:p w:rsidR="00D93DA8" w:rsidRDefault="00D93DA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EC"/>
    <w:rsid w:val="00076789"/>
    <w:rsid w:val="0010192A"/>
    <w:rsid w:val="00353DAD"/>
    <w:rsid w:val="003D42EC"/>
    <w:rsid w:val="003E0D9D"/>
    <w:rsid w:val="00651F9B"/>
    <w:rsid w:val="006F11E0"/>
    <w:rsid w:val="007E2A98"/>
    <w:rsid w:val="007F08EE"/>
    <w:rsid w:val="009D4B4C"/>
    <w:rsid w:val="00A01017"/>
    <w:rsid w:val="00B36879"/>
    <w:rsid w:val="00D93DA8"/>
    <w:rsid w:val="00F87F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D42E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D42EC"/>
    <w:rPr>
      <w:rFonts w:ascii="Times New Roman" w:eastAsia="Times New Roman" w:hAnsi="Times New Roman" w:cs="Times New Roman"/>
      <w:b/>
      <w:bCs/>
      <w:sz w:val="36"/>
      <w:szCs w:val="36"/>
      <w:lang w:eastAsia="es-AR"/>
    </w:rPr>
  </w:style>
  <w:style w:type="paragraph" w:customStyle="1" w:styleId="Fecha1">
    <w:name w:val="Fecha1"/>
    <w:basedOn w:val="Normal"/>
    <w:rsid w:val="003D42E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3D42E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D42EC"/>
    <w:rPr>
      <w:b/>
      <w:bCs/>
    </w:rPr>
  </w:style>
  <w:style w:type="character" w:customStyle="1" w:styleId="apple-converted-space">
    <w:name w:val="apple-converted-space"/>
    <w:basedOn w:val="Fuentedeprrafopredeter"/>
    <w:rsid w:val="003D42EC"/>
  </w:style>
  <w:style w:type="character" w:styleId="Hipervnculo">
    <w:name w:val="Hyperlink"/>
    <w:basedOn w:val="Fuentedeprrafopredeter"/>
    <w:uiPriority w:val="99"/>
    <w:unhideWhenUsed/>
    <w:rsid w:val="003D42EC"/>
    <w:rPr>
      <w:color w:val="0000FF"/>
      <w:u w:val="single"/>
    </w:rPr>
  </w:style>
  <w:style w:type="character" w:styleId="nfasis">
    <w:name w:val="Emphasis"/>
    <w:basedOn w:val="Fuentedeprrafopredeter"/>
    <w:uiPriority w:val="20"/>
    <w:qFormat/>
    <w:rsid w:val="003D42EC"/>
    <w:rPr>
      <w:i/>
      <w:iCs/>
    </w:rPr>
  </w:style>
  <w:style w:type="paragraph" w:styleId="Textodeglobo">
    <w:name w:val="Balloon Text"/>
    <w:basedOn w:val="Normal"/>
    <w:link w:val="TextodegloboCar"/>
    <w:uiPriority w:val="99"/>
    <w:semiHidden/>
    <w:unhideWhenUsed/>
    <w:rsid w:val="007E2A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A98"/>
    <w:rPr>
      <w:rFonts w:ascii="Tahoma" w:hAnsi="Tahoma" w:cs="Tahoma"/>
      <w:sz w:val="16"/>
      <w:szCs w:val="16"/>
    </w:rPr>
  </w:style>
  <w:style w:type="paragraph" w:styleId="Textonotapie">
    <w:name w:val="footnote text"/>
    <w:basedOn w:val="Normal"/>
    <w:link w:val="TextonotapieCar"/>
    <w:uiPriority w:val="99"/>
    <w:semiHidden/>
    <w:unhideWhenUsed/>
    <w:rsid w:val="007F08E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F08EE"/>
    <w:rPr>
      <w:sz w:val="20"/>
      <w:szCs w:val="20"/>
    </w:rPr>
  </w:style>
  <w:style w:type="character" w:styleId="Refdenotaalpie">
    <w:name w:val="footnote reference"/>
    <w:basedOn w:val="Fuentedeprrafopredeter"/>
    <w:uiPriority w:val="99"/>
    <w:semiHidden/>
    <w:unhideWhenUsed/>
    <w:rsid w:val="007F08EE"/>
    <w:rPr>
      <w:vertAlign w:val="superscript"/>
    </w:rPr>
  </w:style>
  <w:style w:type="paragraph" w:styleId="Encabezado">
    <w:name w:val="header"/>
    <w:basedOn w:val="Normal"/>
    <w:link w:val="EncabezadoCar"/>
    <w:uiPriority w:val="99"/>
    <w:unhideWhenUsed/>
    <w:rsid w:val="00D93D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3DA8"/>
  </w:style>
  <w:style w:type="paragraph" w:styleId="Piedepgina">
    <w:name w:val="footer"/>
    <w:basedOn w:val="Normal"/>
    <w:link w:val="PiedepginaCar"/>
    <w:uiPriority w:val="99"/>
    <w:unhideWhenUsed/>
    <w:rsid w:val="00D93D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3D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D42E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D42EC"/>
    <w:rPr>
      <w:rFonts w:ascii="Times New Roman" w:eastAsia="Times New Roman" w:hAnsi="Times New Roman" w:cs="Times New Roman"/>
      <w:b/>
      <w:bCs/>
      <w:sz w:val="36"/>
      <w:szCs w:val="36"/>
      <w:lang w:eastAsia="es-AR"/>
    </w:rPr>
  </w:style>
  <w:style w:type="paragraph" w:customStyle="1" w:styleId="Fecha1">
    <w:name w:val="Fecha1"/>
    <w:basedOn w:val="Normal"/>
    <w:rsid w:val="003D42E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3D42E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D42EC"/>
    <w:rPr>
      <w:b/>
      <w:bCs/>
    </w:rPr>
  </w:style>
  <w:style w:type="character" w:customStyle="1" w:styleId="apple-converted-space">
    <w:name w:val="apple-converted-space"/>
    <w:basedOn w:val="Fuentedeprrafopredeter"/>
    <w:rsid w:val="003D42EC"/>
  </w:style>
  <w:style w:type="character" w:styleId="Hipervnculo">
    <w:name w:val="Hyperlink"/>
    <w:basedOn w:val="Fuentedeprrafopredeter"/>
    <w:uiPriority w:val="99"/>
    <w:unhideWhenUsed/>
    <w:rsid w:val="003D42EC"/>
    <w:rPr>
      <w:color w:val="0000FF"/>
      <w:u w:val="single"/>
    </w:rPr>
  </w:style>
  <w:style w:type="character" w:styleId="nfasis">
    <w:name w:val="Emphasis"/>
    <w:basedOn w:val="Fuentedeprrafopredeter"/>
    <w:uiPriority w:val="20"/>
    <w:qFormat/>
    <w:rsid w:val="003D42EC"/>
    <w:rPr>
      <w:i/>
      <w:iCs/>
    </w:rPr>
  </w:style>
  <w:style w:type="paragraph" w:styleId="Textodeglobo">
    <w:name w:val="Balloon Text"/>
    <w:basedOn w:val="Normal"/>
    <w:link w:val="TextodegloboCar"/>
    <w:uiPriority w:val="99"/>
    <w:semiHidden/>
    <w:unhideWhenUsed/>
    <w:rsid w:val="007E2A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A98"/>
    <w:rPr>
      <w:rFonts w:ascii="Tahoma" w:hAnsi="Tahoma" w:cs="Tahoma"/>
      <w:sz w:val="16"/>
      <w:szCs w:val="16"/>
    </w:rPr>
  </w:style>
  <w:style w:type="paragraph" w:styleId="Textonotapie">
    <w:name w:val="footnote text"/>
    <w:basedOn w:val="Normal"/>
    <w:link w:val="TextonotapieCar"/>
    <w:uiPriority w:val="99"/>
    <w:semiHidden/>
    <w:unhideWhenUsed/>
    <w:rsid w:val="007F08E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F08EE"/>
    <w:rPr>
      <w:sz w:val="20"/>
      <w:szCs w:val="20"/>
    </w:rPr>
  </w:style>
  <w:style w:type="character" w:styleId="Refdenotaalpie">
    <w:name w:val="footnote reference"/>
    <w:basedOn w:val="Fuentedeprrafopredeter"/>
    <w:uiPriority w:val="99"/>
    <w:semiHidden/>
    <w:unhideWhenUsed/>
    <w:rsid w:val="007F08EE"/>
    <w:rPr>
      <w:vertAlign w:val="superscript"/>
    </w:rPr>
  </w:style>
  <w:style w:type="paragraph" w:styleId="Encabezado">
    <w:name w:val="header"/>
    <w:basedOn w:val="Normal"/>
    <w:link w:val="EncabezadoCar"/>
    <w:uiPriority w:val="99"/>
    <w:unhideWhenUsed/>
    <w:rsid w:val="00D93D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3DA8"/>
  </w:style>
  <w:style w:type="paragraph" w:styleId="Piedepgina">
    <w:name w:val="footer"/>
    <w:basedOn w:val="Normal"/>
    <w:link w:val="PiedepginaCar"/>
    <w:uiPriority w:val="99"/>
    <w:unhideWhenUsed/>
    <w:rsid w:val="00D93D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3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604405">
      <w:bodyDiv w:val="1"/>
      <w:marLeft w:val="0"/>
      <w:marRight w:val="0"/>
      <w:marTop w:val="0"/>
      <w:marBottom w:val="0"/>
      <w:divBdr>
        <w:top w:val="none" w:sz="0" w:space="0" w:color="auto"/>
        <w:left w:val="none" w:sz="0" w:space="0" w:color="auto"/>
        <w:bottom w:val="none" w:sz="0" w:space="0" w:color="auto"/>
        <w:right w:val="none" w:sz="0" w:space="0" w:color="auto"/>
      </w:divBdr>
      <w:divsChild>
        <w:div w:id="1569340846">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f.org/external/np/exr/facts/gold.htm" TargetMode="External"/><Relationship Id="rId13" Type="http://schemas.openxmlformats.org/officeDocument/2006/relationships/hyperlink" Target="http://www.imf.org/external/np/fin/rates/sdr_ir.cfm" TargetMode="External"/><Relationship Id="rId18" Type="http://schemas.openxmlformats.org/officeDocument/2006/relationships/hyperlink" Target="https://www.imf.org/external/np/pp/eng/2016/062916.pdf"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mf.org/external/np/fin/data/rms_sdrv.aspx" TargetMode="External"/><Relationship Id="rId17" Type="http://schemas.openxmlformats.org/officeDocument/2006/relationships/hyperlink" Target="http://www.imf.org/en/About/Factsheets/Sheets/2016/07/14/12/21/IMF-Quotas" TargetMode="External"/><Relationship Id="rId2" Type="http://schemas.openxmlformats.org/officeDocument/2006/relationships/styles" Target="styles.xml"/><Relationship Id="rId16" Type="http://schemas.openxmlformats.org/officeDocument/2006/relationships/hyperlink" Target="https://www.imf.org/external/pubs/ft/aa/pdf/aa.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f.org/external/pubs/ft/aa/pdf/aa.pdf" TargetMode="External"/><Relationship Id="rId5" Type="http://schemas.openxmlformats.org/officeDocument/2006/relationships/webSettings" Target="webSettings.xml"/><Relationship Id="rId15" Type="http://schemas.openxmlformats.org/officeDocument/2006/relationships/hyperlink" Target="http://www.imf.org/external/np/tre/tad/sdr_ir.cfm" TargetMode="External"/><Relationship Id="rId23" Type="http://schemas.openxmlformats.org/officeDocument/2006/relationships/theme" Target="theme/theme1.xml"/><Relationship Id="rId10" Type="http://schemas.openxmlformats.org/officeDocument/2006/relationships/hyperlink" Target="http://www.imf.org/en/About/Factsheets/Sheets/2016/08/02/19/35/Review-of-the-Special-Drawing-Right-SDR-Currency-Baske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mf.org/external/np/fin/data/rms_sdrv.aspx" TargetMode="External"/><Relationship Id="rId14" Type="http://schemas.openxmlformats.org/officeDocument/2006/relationships/hyperlink" Target="http://www.imf.org/external/np/exr/facts/howlend.ht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B5E19123D04564942F38E95E35FE5D"/>
        <w:category>
          <w:name w:val="General"/>
          <w:gallery w:val="placeholder"/>
        </w:category>
        <w:types>
          <w:type w:val="bbPlcHdr"/>
        </w:types>
        <w:behaviors>
          <w:behavior w:val="content"/>
        </w:behaviors>
        <w:guid w:val="{C0A436DB-A06D-4B2D-9D7B-027E6F8EFB06}"/>
      </w:docPartPr>
      <w:docPartBody>
        <w:p w:rsidR="00034A9F" w:rsidRDefault="00DD767F" w:rsidP="00DD767F">
          <w:pPr>
            <w:pStyle w:val="26B5E19123D04564942F38E95E35FE5D"/>
          </w:pPr>
          <w:r>
            <w:rPr>
              <w:rFonts w:asciiTheme="majorHAnsi" w:eastAsiaTheme="majorEastAsia" w:hAnsiTheme="majorHAnsi" w:cstheme="majorBidi"/>
              <w:sz w:val="36"/>
              <w:szCs w:val="36"/>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67F"/>
    <w:rsid w:val="00034A9F"/>
    <w:rsid w:val="00DD76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B5E19123D04564942F38E95E35FE5D">
    <w:name w:val="26B5E19123D04564942F38E95E35FE5D"/>
    <w:rsid w:val="00DD767F"/>
  </w:style>
  <w:style w:type="paragraph" w:customStyle="1" w:styleId="6666CAB2FD854B988CBC3FEB5A0E03F7">
    <w:name w:val="6666CAB2FD854B988CBC3FEB5A0E03F7"/>
    <w:rsid w:val="00DD76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B5E19123D04564942F38E95E35FE5D">
    <w:name w:val="26B5E19123D04564942F38E95E35FE5D"/>
    <w:rsid w:val="00DD767F"/>
  </w:style>
  <w:style w:type="paragraph" w:customStyle="1" w:styleId="6666CAB2FD854B988CBC3FEB5A0E03F7">
    <w:name w:val="6666CAB2FD854B988CBC3FEB5A0E03F7"/>
    <w:rsid w:val="00DD76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615CD-C149-4C94-B5F9-83DE5993A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2532</Words>
  <Characters>13930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Finanzas en Mercados Globalizados-Prof. Karina Díaz</vt:lpstr>
    </vt:vector>
  </TitlesOfParts>
  <Company/>
  <LinksUpToDate>false</LinksUpToDate>
  <CharactersWithSpaces>16430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Economía y Finanzas en Mercados Globalizados-Prof. Karina Díaz</dc:title>
  <dc:creator>karina</dc:creator>
  <cp:lastModifiedBy>karina</cp:lastModifiedBy>
  <cp:revision>12</cp:revision>
  <cp:lastPrinted>2017-01-18T16:28:00Z</cp:lastPrinted>
  <dcterms:created xsi:type="dcterms:W3CDTF">2016-11-17T17:51:00Z</dcterms:created>
  <dcterms:modified xsi:type="dcterms:W3CDTF">2017-10-06T14:33:00Z</dcterms:modified>
</cp:coreProperties>
</file>