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467"/>
        <w:gridCol w:w="1200"/>
        <w:gridCol w:w="1200"/>
        <w:gridCol w:w="1200"/>
        <w:gridCol w:w="1200"/>
        <w:gridCol w:w="1200"/>
        <w:gridCol w:w="1200"/>
      </w:tblGrid>
      <w:tr w:rsidR="008C0E5D" w:rsidRPr="008C0E5D" w14:paraId="3EC74E7C" w14:textId="77777777" w:rsidTr="008C0E5D">
        <w:trPr>
          <w:trHeight w:val="675"/>
        </w:trPr>
        <w:tc>
          <w:tcPr>
            <w:tcW w:w="1467" w:type="dxa"/>
            <w:hideMark/>
          </w:tcPr>
          <w:p w14:paraId="6F472006" w14:textId="77777777" w:rsidR="008C0E5D" w:rsidRPr="008C0E5D" w:rsidRDefault="008C0E5D" w:rsidP="008C0E5D">
            <w:pPr>
              <w:rPr>
                <w:b/>
                <w:bCs/>
              </w:rPr>
            </w:pPr>
            <w:r w:rsidRPr="008C0E5D">
              <w:rPr>
                <w:b/>
                <w:bCs/>
              </w:rPr>
              <w:t>Importadores</w:t>
            </w:r>
          </w:p>
        </w:tc>
        <w:tc>
          <w:tcPr>
            <w:tcW w:w="1200" w:type="dxa"/>
            <w:hideMark/>
          </w:tcPr>
          <w:p w14:paraId="16A4692A" w14:textId="77777777" w:rsidR="008C0E5D" w:rsidRPr="008C0E5D" w:rsidRDefault="008C0E5D" w:rsidP="008C0E5D">
            <w:pPr>
              <w:rPr>
                <w:b/>
                <w:bCs/>
              </w:rPr>
            </w:pPr>
            <w:r w:rsidRPr="008C0E5D">
              <w:rPr>
                <w:b/>
                <w:bCs/>
              </w:rPr>
              <w:t>Valor exportada en 2012</w:t>
            </w:r>
          </w:p>
        </w:tc>
        <w:tc>
          <w:tcPr>
            <w:tcW w:w="1200" w:type="dxa"/>
            <w:hideMark/>
          </w:tcPr>
          <w:p w14:paraId="3C6321C9" w14:textId="77777777" w:rsidR="008C0E5D" w:rsidRPr="008C0E5D" w:rsidRDefault="008C0E5D" w:rsidP="008C0E5D">
            <w:pPr>
              <w:rPr>
                <w:b/>
                <w:bCs/>
              </w:rPr>
            </w:pPr>
            <w:r w:rsidRPr="008C0E5D">
              <w:rPr>
                <w:b/>
                <w:bCs/>
              </w:rPr>
              <w:t>Valor exportada en 2013</w:t>
            </w:r>
          </w:p>
        </w:tc>
        <w:tc>
          <w:tcPr>
            <w:tcW w:w="1200" w:type="dxa"/>
            <w:hideMark/>
          </w:tcPr>
          <w:p w14:paraId="4213F855" w14:textId="77777777" w:rsidR="008C0E5D" w:rsidRPr="008C0E5D" w:rsidRDefault="008C0E5D" w:rsidP="008C0E5D">
            <w:pPr>
              <w:rPr>
                <w:b/>
                <w:bCs/>
              </w:rPr>
            </w:pPr>
            <w:r w:rsidRPr="008C0E5D">
              <w:rPr>
                <w:b/>
                <w:bCs/>
              </w:rPr>
              <w:t>Valor exportada en 2014</w:t>
            </w:r>
          </w:p>
        </w:tc>
        <w:tc>
          <w:tcPr>
            <w:tcW w:w="1200" w:type="dxa"/>
            <w:hideMark/>
          </w:tcPr>
          <w:p w14:paraId="132AA654" w14:textId="77777777" w:rsidR="008C0E5D" w:rsidRPr="008C0E5D" w:rsidRDefault="008C0E5D" w:rsidP="008C0E5D">
            <w:pPr>
              <w:rPr>
                <w:b/>
                <w:bCs/>
              </w:rPr>
            </w:pPr>
            <w:r w:rsidRPr="008C0E5D">
              <w:rPr>
                <w:b/>
                <w:bCs/>
              </w:rPr>
              <w:t>Valor exportada en 2015</w:t>
            </w:r>
          </w:p>
        </w:tc>
        <w:tc>
          <w:tcPr>
            <w:tcW w:w="1200" w:type="dxa"/>
            <w:hideMark/>
          </w:tcPr>
          <w:p w14:paraId="663BA900" w14:textId="77777777" w:rsidR="008C0E5D" w:rsidRPr="008C0E5D" w:rsidRDefault="008C0E5D" w:rsidP="008C0E5D">
            <w:pPr>
              <w:rPr>
                <w:b/>
                <w:bCs/>
              </w:rPr>
            </w:pPr>
            <w:r w:rsidRPr="008C0E5D">
              <w:rPr>
                <w:b/>
                <w:bCs/>
              </w:rPr>
              <w:t>Valor exportada en 2016</w:t>
            </w:r>
          </w:p>
        </w:tc>
        <w:tc>
          <w:tcPr>
            <w:tcW w:w="1200" w:type="dxa"/>
            <w:hideMark/>
          </w:tcPr>
          <w:p w14:paraId="19CF3F97" w14:textId="77777777" w:rsidR="008C0E5D" w:rsidRPr="008C0E5D" w:rsidRDefault="008C0E5D" w:rsidP="008C0E5D">
            <w:pPr>
              <w:rPr>
                <w:b/>
                <w:bCs/>
              </w:rPr>
            </w:pPr>
            <w:r w:rsidRPr="008C0E5D">
              <w:rPr>
                <w:b/>
                <w:bCs/>
              </w:rPr>
              <w:t>suma total</w:t>
            </w:r>
          </w:p>
        </w:tc>
      </w:tr>
      <w:tr w:rsidR="008C0E5D" w:rsidRPr="008C0E5D" w14:paraId="007F2E3A" w14:textId="77777777" w:rsidTr="008C0E5D">
        <w:trPr>
          <w:trHeight w:val="300"/>
        </w:trPr>
        <w:tc>
          <w:tcPr>
            <w:tcW w:w="1467" w:type="dxa"/>
            <w:hideMark/>
          </w:tcPr>
          <w:p w14:paraId="7F1AC196" w14:textId="77777777" w:rsidR="008C0E5D" w:rsidRPr="008C0E5D" w:rsidRDefault="008C0E5D">
            <w:r w:rsidRPr="008C0E5D">
              <w:t>Mundo</w:t>
            </w:r>
          </w:p>
        </w:tc>
        <w:tc>
          <w:tcPr>
            <w:tcW w:w="1200" w:type="dxa"/>
            <w:hideMark/>
          </w:tcPr>
          <w:p w14:paraId="40818FD4" w14:textId="77777777" w:rsidR="008C0E5D" w:rsidRPr="008C0E5D" w:rsidRDefault="008C0E5D" w:rsidP="008C0E5D">
            <w:r w:rsidRPr="008C0E5D">
              <w:t>16176</w:t>
            </w:r>
          </w:p>
        </w:tc>
        <w:tc>
          <w:tcPr>
            <w:tcW w:w="1200" w:type="dxa"/>
            <w:hideMark/>
          </w:tcPr>
          <w:p w14:paraId="45778711" w14:textId="77777777" w:rsidR="008C0E5D" w:rsidRPr="008C0E5D" w:rsidRDefault="008C0E5D" w:rsidP="008C0E5D">
            <w:r w:rsidRPr="008C0E5D">
              <w:t>9364</w:t>
            </w:r>
          </w:p>
        </w:tc>
        <w:tc>
          <w:tcPr>
            <w:tcW w:w="1200" w:type="dxa"/>
            <w:hideMark/>
          </w:tcPr>
          <w:p w14:paraId="158562DB" w14:textId="77777777" w:rsidR="008C0E5D" w:rsidRPr="008C0E5D" w:rsidRDefault="008C0E5D" w:rsidP="008C0E5D">
            <w:r w:rsidRPr="008C0E5D">
              <w:t>7293</w:t>
            </w:r>
          </w:p>
        </w:tc>
        <w:tc>
          <w:tcPr>
            <w:tcW w:w="1200" w:type="dxa"/>
            <w:hideMark/>
          </w:tcPr>
          <w:p w14:paraId="392E3091" w14:textId="77777777" w:rsidR="008C0E5D" w:rsidRPr="008C0E5D" w:rsidRDefault="008C0E5D" w:rsidP="008C0E5D">
            <w:r w:rsidRPr="008C0E5D">
              <w:t>4493</w:t>
            </w:r>
          </w:p>
        </w:tc>
        <w:tc>
          <w:tcPr>
            <w:tcW w:w="1200" w:type="dxa"/>
            <w:hideMark/>
          </w:tcPr>
          <w:p w14:paraId="3C0A0FAE" w14:textId="77777777" w:rsidR="008C0E5D" w:rsidRPr="008C0E5D" w:rsidRDefault="008C0E5D" w:rsidP="008C0E5D">
            <w:r w:rsidRPr="008C0E5D">
              <w:t>9839</w:t>
            </w:r>
          </w:p>
        </w:tc>
        <w:tc>
          <w:tcPr>
            <w:tcW w:w="1200" w:type="dxa"/>
            <w:noWrap/>
            <w:hideMark/>
          </w:tcPr>
          <w:p w14:paraId="69085A5A" w14:textId="77777777" w:rsidR="008C0E5D" w:rsidRPr="008C0E5D" w:rsidRDefault="008C0E5D" w:rsidP="008C0E5D">
            <w:r w:rsidRPr="008C0E5D">
              <w:t>47165</w:t>
            </w:r>
          </w:p>
        </w:tc>
      </w:tr>
      <w:tr w:rsidR="008C0E5D" w:rsidRPr="008C0E5D" w14:paraId="46ECC8B7" w14:textId="77777777" w:rsidTr="008C0E5D">
        <w:trPr>
          <w:trHeight w:val="300"/>
        </w:trPr>
        <w:tc>
          <w:tcPr>
            <w:tcW w:w="1467" w:type="dxa"/>
            <w:hideMark/>
          </w:tcPr>
          <w:p w14:paraId="2A1D2064" w14:textId="77777777" w:rsidR="008C0E5D" w:rsidRPr="008C0E5D" w:rsidRDefault="008C0E5D">
            <w:r w:rsidRPr="008C0E5D">
              <w:t>Chile</w:t>
            </w:r>
          </w:p>
        </w:tc>
        <w:tc>
          <w:tcPr>
            <w:tcW w:w="1200" w:type="dxa"/>
            <w:hideMark/>
          </w:tcPr>
          <w:p w14:paraId="3A707472" w14:textId="77777777" w:rsidR="008C0E5D" w:rsidRPr="008C0E5D" w:rsidRDefault="008C0E5D" w:rsidP="008C0E5D">
            <w:r w:rsidRPr="008C0E5D">
              <w:t>2436</w:t>
            </w:r>
          </w:p>
        </w:tc>
        <w:tc>
          <w:tcPr>
            <w:tcW w:w="1200" w:type="dxa"/>
            <w:hideMark/>
          </w:tcPr>
          <w:p w14:paraId="07300FC6" w14:textId="77777777" w:rsidR="008C0E5D" w:rsidRPr="008C0E5D" w:rsidRDefault="008C0E5D" w:rsidP="008C0E5D">
            <w:r w:rsidRPr="008C0E5D">
              <w:t>1724</w:t>
            </w:r>
          </w:p>
        </w:tc>
        <w:tc>
          <w:tcPr>
            <w:tcW w:w="1200" w:type="dxa"/>
            <w:hideMark/>
          </w:tcPr>
          <w:p w14:paraId="59D9CC56" w14:textId="77777777" w:rsidR="008C0E5D" w:rsidRPr="008C0E5D" w:rsidRDefault="008C0E5D" w:rsidP="008C0E5D">
            <w:r w:rsidRPr="008C0E5D">
              <w:t>1009</w:t>
            </w:r>
          </w:p>
        </w:tc>
        <w:tc>
          <w:tcPr>
            <w:tcW w:w="1200" w:type="dxa"/>
            <w:hideMark/>
          </w:tcPr>
          <w:p w14:paraId="1380DBEE" w14:textId="77777777" w:rsidR="008C0E5D" w:rsidRPr="008C0E5D" w:rsidRDefault="008C0E5D" w:rsidP="008C0E5D">
            <w:r w:rsidRPr="008C0E5D">
              <w:t>1115</w:t>
            </w:r>
          </w:p>
        </w:tc>
        <w:tc>
          <w:tcPr>
            <w:tcW w:w="1200" w:type="dxa"/>
            <w:hideMark/>
          </w:tcPr>
          <w:p w14:paraId="51820763" w14:textId="77777777" w:rsidR="008C0E5D" w:rsidRPr="008C0E5D" w:rsidRDefault="008C0E5D" w:rsidP="008C0E5D">
            <w:r w:rsidRPr="008C0E5D">
              <w:t>3817</w:t>
            </w:r>
          </w:p>
        </w:tc>
        <w:tc>
          <w:tcPr>
            <w:tcW w:w="1200" w:type="dxa"/>
            <w:noWrap/>
            <w:hideMark/>
          </w:tcPr>
          <w:p w14:paraId="04623736" w14:textId="77777777" w:rsidR="008C0E5D" w:rsidRPr="008C0E5D" w:rsidRDefault="008C0E5D" w:rsidP="008C0E5D">
            <w:r w:rsidRPr="008C0E5D">
              <w:t>10101</w:t>
            </w:r>
          </w:p>
        </w:tc>
      </w:tr>
      <w:tr w:rsidR="008C0E5D" w:rsidRPr="008C0E5D" w14:paraId="6B230471" w14:textId="77777777" w:rsidTr="008C0E5D">
        <w:trPr>
          <w:trHeight w:val="300"/>
        </w:trPr>
        <w:tc>
          <w:tcPr>
            <w:tcW w:w="1467" w:type="dxa"/>
            <w:hideMark/>
          </w:tcPr>
          <w:p w14:paraId="04DCF3DE" w14:textId="77777777" w:rsidR="008C0E5D" w:rsidRPr="008C0E5D" w:rsidRDefault="008C0E5D">
            <w:r w:rsidRPr="008C0E5D">
              <w:t>Uruguay</w:t>
            </w:r>
          </w:p>
        </w:tc>
        <w:tc>
          <w:tcPr>
            <w:tcW w:w="1200" w:type="dxa"/>
            <w:hideMark/>
          </w:tcPr>
          <w:p w14:paraId="2B8447E4" w14:textId="77777777" w:rsidR="008C0E5D" w:rsidRPr="008C0E5D" w:rsidRDefault="008C0E5D" w:rsidP="008C0E5D">
            <w:r w:rsidRPr="008C0E5D">
              <w:t>1370</w:t>
            </w:r>
          </w:p>
        </w:tc>
        <w:tc>
          <w:tcPr>
            <w:tcW w:w="1200" w:type="dxa"/>
            <w:hideMark/>
          </w:tcPr>
          <w:p w14:paraId="0CC6D12B" w14:textId="77777777" w:rsidR="008C0E5D" w:rsidRPr="008C0E5D" w:rsidRDefault="008C0E5D" w:rsidP="008C0E5D">
            <w:r w:rsidRPr="008C0E5D">
              <w:t>1350</w:t>
            </w:r>
          </w:p>
        </w:tc>
        <w:tc>
          <w:tcPr>
            <w:tcW w:w="1200" w:type="dxa"/>
            <w:hideMark/>
          </w:tcPr>
          <w:p w14:paraId="42532235" w14:textId="77777777" w:rsidR="008C0E5D" w:rsidRPr="008C0E5D" w:rsidRDefault="008C0E5D" w:rsidP="008C0E5D">
            <w:r w:rsidRPr="008C0E5D">
              <w:t>1218</w:t>
            </w:r>
          </w:p>
        </w:tc>
        <w:tc>
          <w:tcPr>
            <w:tcW w:w="1200" w:type="dxa"/>
            <w:hideMark/>
          </w:tcPr>
          <w:p w14:paraId="0A541EF4" w14:textId="77777777" w:rsidR="008C0E5D" w:rsidRPr="008C0E5D" w:rsidRDefault="008C0E5D" w:rsidP="008C0E5D">
            <w:r w:rsidRPr="008C0E5D">
              <w:t>977</w:t>
            </w:r>
          </w:p>
        </w:tc>
        <w:tc>
          <w:tcPr>
            <w:tcW w:w="1200" w:type="dxa"/>
            <w:hideMark/>
          </w:tcPr>
          <w:p w14:paraId="583425FF" w14:textId="77777777" w:rsidR="008C0E5D" w:rsidRPr="008C0E5D" w:rsidRDefault="008C0E5D" w:rsidP="008C0E5D">
            <w:r w:rsidRPr="008C0E5D">
              <w:t>1491</w:t>
            </w:r>
          </w:p>
        </w:tc>
        <w:tc>
          <w:tcPr>
            <w:tcW w:w="1200" w:type="dxa"/>
            <w:noWrap/>
            <w:hideMark/>
          </w:tcPr>
          <w:p w14:paraId="63A279AE" w14:textId="77777777" w:rsidR="008C0E5D" w:rsidRPr="008C0E5D" w:rsidRDefault="008C0E5D" w:rsidP="008C0E5D">
            <w:r w:rsidRPr="008C0E5D">
              <w:t>6406</w:t>
            </w:r>
          </w:p>
        </w:tc>
      </w:tr>
      <w:tr w:rsidR="008C0E5D" w:rsidRPr="008C0E5D" w14:paraId="6D6F5FAF" w14:textId="77777777" w:rsidTr="008C0E5D">
        <w:trPr>
          <w:trHeight w:val="300"/>
        </w:trPr>
        <w:tc>
          <w:tcPr>
            <w:tcW w:w="1467" w:type="dxa"/>
            <w:hideMark/>
          </w:tcPr>
          <w:p w14:paraId="396E4309" w14:textId="77777777" w:rsidR="008C0E5D" w:rsidRPr="008C0E5D" w:rsidRDefault="008C0E5D">
            <w:r w:rsidRPr="008C0E5D">
              <w:t>Paraguay</w:t>
            </w:r>
          </w:p>
        </w:tc>
        <w:tc>
          <w:tcPr>
            <w:tcW w:w="1200" w:type="dxa"/>
            <w:hideMark/>
          </w:tcPr>
          <w:p w14:paraId="560E7DF8" w14:textId="77777777" w:rsidR="008C0E5D" w:rsidRPr="008C0E5D" w:rsidRDefault="008C0E5D" w:rsidP="008C0E5D">
            <w:r w:rsidRPr="008C0E5D">
              <w:t>1343</w:t>
            </w:r>
          </w:p>
        </w:tc>
        <w:tc>
          <w:tcPr>
            <w:tcW w:w="1200" w:type="dxa"/>
            <w:hideMark/>
          </w:tcPr>
          <w:p w14:paraId="05037ACC" w14:textId="77777777" w:rsidR="008C0E5D" w:rsidRPr="008C0E5D" w:rsidRDefault="008C0E5D" w:rsidP="008C0E5D">
            <w:r w:rsidRPr="008C0E5D">
              <w:t>1376</w:t>
            </w:r>
          </w:p>
        </w:tc>
        <w:tc>
          <w:tcPr>
            <w:tcW w:w="1200" w:type="dxa"/>
            <w:hideMark/>
          </w:tcPr>
          <w:p w14:paraId="718AA691" w14:textId="77777777" w:rsidR="008C0E5D" w:rsidRPr="008C0E5D" w:rsidRDefault="008C0E5D" w:rsidP="008C0E5D">
            <w:r w:rsidRPr="008C0E5D">
              <w:t>1866</w:t>
            </w:r>
          </w:p>
        </w:tc>
        <w:tc>
          <w:tcPr>
            <w:tcW w:w="1200" w:type="dxa"/>
            <w:hideMark/>
          </w:tcPr>
          <w:p w14:paraId="6F250D4C" w14:textId="77777777" w:rsidR="008C0E5D" w:rsidRPr="008C0E5D" w:rsidRDefault="008C0E5D" w:rsidP="008C0E5D">
            <w:r w:rsidRPr="008C0E5D">
              <w:t>1379</w:t>
            </w:r>
          </w:p>
        </w:tc>
        <w:tc>
          <w:tcPr>
            <w:tcW w:w="1200" w:type="dxa"/>
            <w:hideMark/>
          </w:tcPr>
          <w:p w14:paraId="7B7C09ED" w14:textId="77777777" w:rsidR="008C0E5D" w:rsidRPr="008C0E5D" w:rsidRDefault="008C0E5D" w:rsidP="008C0E5D">
            <w:r w:rsidRPr="008C0E5D">
              <w:t>1420</w:t>
            </w:r>
          </w:p>
        </w:tc>
        <w:tc>
          <w:tcPr>
            <w:tcW w:w="1200" w:type="dxa"/>
            <w:noWrap/>
            <w:hideMark/>
          </w:tcPr>
          <w:p w14:paraId="6095C9E6" w14:textId="77777777" w:rsidR="008C0E5D" w:rsidRPr="008C0E5D" w:rsidRDefault="008C0E5D" w:rsidP="008C0E5D">
            <w:r w:rsidRPr="008C0E5D">
              <w:t>7384</w:t>
            </w:r>
          </w:p>
        </w:tc>
      </w:tr>
      <w:tr w:rsidR="008C0E5D" w:rsidRPr="008C0E5D" w14:paraId="3C877163" w14:textId="77777777" w:rsidTr="008C0E5D">
        <w:trPr>
          <w:trHeight w:val="354"/>
        </w:trPr>
        <w:tc>
          <w:tcPr>
            <w:tcW w:w="1467" w:type="dxa"/>
            <w:hideMark/>
          </w:tcPr>
          <w:p w14:paraId="64B6A253" w14:textId="77777777" w:rsidR="008C0E5D" w:rsidRPr="008C0E5D" w:rsidRDefault="008C0E5D" w:rsidP="008C0E5D">
            <w:r>
              <w:t>EEUU</w:t>
            </w:r>
          </w:p>
        </w:tc>
        <w:tc>
          <w:tcPr>
            <w:tcW w:w="1200" w:type="dxa"/>
            <w:hideMark/>
          </w:tcPr>
          <w:p w14:paraId="4D7E3DC4" w14:textId="77777777" w:rsidR="008C0E5D" w:rsidRPr="008C0E5D" w:rsidRDefault="008C0E5D" w:rsidP="008C0E5D">
            <w:r w:rsidRPr="008C0E5D">
              <w:t>408</w:t>
            </w:r>
          </w:p>
        </w:tc>
        <w:tc>
          <w:tcPr>
            <w:tcW w:w="1200" w:type="dxa"/>
            <w:hideMark/>
          </w:tcPr>
          <w:p w14:paraId="7F146C74" w14:textId="77777777" w:rsidR="008C0E5D" w:rsidRPr="008C0E5D" w:rsidRDefault="008C0E5D" w:rsidP="008C0E5D">
            <w:r w:rsidRPr="008C0E5D">
              <w:t>247</w:t>
            </w:r>
          </w:p>
        </w:tc>
        <w:tc>
          <w:tcPr>
            <w:tcW w:w="1200" w:type="dxa"/>
            <w:hideMark/>
          </w:tcPr>
          <w:p w14:paraId="4D919FB1" w14:textId="77777777" w:rsidR="008C0E5D" w:rsidRPr="008C0E5D" w:rsidRDefault="008C0E5D" w:rsidP="008C0E5D">
            <w:r w:rsidRPr="008C0E5D">
              <w:t>203</w:t>
            </w:r>
          </w:p>
        </w:tc>
        <w:tc>
          <w:tcPr>
            <w:tcW w:w="1200" w:type="dxa"/>
            <w:hideMark/>
          </w:tcPr>
          <w:p w14:paraId="66A82563" w14:textId="77777777" w:rsidR="008C0E5D" w:rsidRPr="008C0E5D" w:rsidRDefault="008C0E5D" w:rsidP="008C0E5D">
            <w:r w:rsidRPr="008C0E5D">
              <w:t>257</w:t>
            </w:r>
          </w:p>
        </w:tc>
        <w:tc>
          <w:tcPr>
            <w:tcW w:w="1200" w:type="dxa"/>
            <w:hideMark/>
          </w:tcPr>
          <w:p w14:paraId="5BAF29DE" w14:textId="77777777" w:rsidR="008C0E5D" w:rsidRPr="008C0E5D" w:rsidRDefault="008C0E5D" w:rsidP="008C0E5D">
            <w:r w:rsidRPr="008C0E5D">
              <w:t>1474</w:t>
            </w:r>
          </w:p>
        </w:tc>
        <w:tc>
          <w:tcPr>
            <w:tcW w:w="1200" w:type="dxa"/>
            <w:noWrap/>
            <w:hideMark/>
          </w:tcPr>
          <w:p w14:paraId="69E620DB" w14:textId="77777777" w:rsidR="008C0E5D" w:rsidRPr="008C0E5D" w:rsidRDefault="008C0E5D" w:rsidP="008C0E5D">
            <w:r w:rsidRPr="008C0E5D">
              <w:t>2589</w:t>
            </w:r>
          </w:p>
        </w:tc>
      </w:tr>
      <w:tr w:rsidR="008C0E5D" w:rsidRPr="008C0E5D" w14:paraId="77305B12" w14:textId="77777777" w:rsidTr="008C0E5D">
        <w:trPr>
          <w:trHeight w:val="300"/>
        </w:trPr>
        <w:tc>
          <w:tcPr>
            <w:tcW w:w="1467" w:type="dxa"/>
            <w:hideMark/>
          </w:tcPr>
          <w:p w14:paraId="3315B829" w14:textId="77777777" w:rsidR="008C0E5D" w:rsidRPr="008C0E5D" w:rsidRDefault="008C0E5D">
            <w:r w:rsidRPr="008C0E5D">
              <w:t>Brasil</w:t>
            </w:r>
          </w:p>
        </w:tc>
        <w:tc>
          <w:tcPr>
            <w:tcW w:w="1200" w:type="dxa"/>
            <w:hideMark/>
          </w:tcPr>
          <w:p w14:paraId="6346C486" w14:textId="77777777" w:rsidR="008C0E5D" w:rsidRPr="008C0E5D" w:rsidRDefault="008C0E5D" w:rsidP="008C0E5D">
            <w:r w:rsidRPr="008C0E5D">
              <w:t>761</w:t>
            </w:r>
          </w:p>
        </w:tc>
        <w:tc>
          <w:tcPr>
            <w:tcW w:w="1200" w:type="dxa"/>
            <w:hideMark/>
          </w:tcPr>
          <w:p w14:paraId="2CEE3B65" w14:textId="77777777" w:rsidR="008C0E5D" w:rsidRPr="008C0E5D" w:rsidRDefault="008C0E5D" w:rsidP="008C0E5D">
            <w:r w:rsidRPr="008C0E5D">
              <w:t>744</w:t>
            </w:r>
          </w:p>
        </w:tc>
        <w:tc>
          <w:tcPr>
            <w:tcW w:w="1200" w:type="dxa"/>
            <w:hideMark/>
          </w:tcPr>
          <w:p w14:paraId="4A696F0D" w14:textId="77777777" w:rsidR="008C0E5D" w:rsidRPr="008C0E5D" w:rsidRDefault="008C0E5D" w:rsidP="008C0E5D">
            <w:r w:rsidRPr="008C0E5D">
              <w:t>724</w:t>
            </w:r>
          </w:p>
        </w:tc>
        <w:tc>
          <w:tcPr>
            <w:tcW w:w="1200" w:type="dxa"/>
            <w:hideMark/>
          </w:tcPr>
          <w:p w14:paraId="49D62C00" w14:textId="77777777" w:rsidR="008C0E5D" w:rsidRPr="008C0E5D" w:rsidRDefault="008C0E5D" w:rsidP="008C0E5D">
            <w:r w:rsidRPr="008C0E5D">
              <w:t>356</w:t>
            </w:r>
          </w:p>
        </w:tc>
        <w:tc>
          <w:tcPr>
            <w:tcW w:w="1200" w:type="dxa"/>
            <w:hideMark/>
          </w:tcPr>
          <w:p w14:paraId="3862D384" w14:textId="77777777" w:rsidR="008C0E5D" w:rsidRPr="008C0E5D" w:rsidRDefault="008C0E5D" w:rsidP="008C0E5D">
            <w:r w:rsidRPr="008C0E5D">
              <w:t>528</w:t>
            </w:r>
          </w:p>
        </w:tc>
        <w:tc>
          <w:tcPr>
            <w:tcW w:w="1200" w:type="dxa"/>
            <w:noWrap/>
            <w:hideMark/>
          </w:tcPr>
          <w:p w14:paraId="42594EC9" w14:textId="77777777" w:rsidR="008C0E5D" w:rsidRPr="008C0E5D" w:rsidRDefault="008C0E5D" w:rsidP="008C0E5D">
            <w:r w:rsidRPr="008C0E5D">
              <w:t>3113</w:t>
            </w:r>
          </w:p>
        </w:tc>
      </w:tr>
    </w:tbl>
    <w:p w14:paraId="1522AA84" w14:textId="77777777" w:rsidR="008C0E5D" w:rsidRDefault="008C0E5D" w:rsidP="008C0E5D">
      <w:r>
        <w:rPr>
          <w:noProof/>
          <w:lang w:val="es-ES" w:eastAsia="es-ES"/>
        </w:rPr>
        <w:drawing>
          <wp:inline distT="0" distB="0" distL="0" distR="0" wp14:anchorId="22E0A92A" wp14:editId="1FC673B2">
            <wp:extent cx="5362575" cy="2857500"/>
            <wp:effectExtent l="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F44FDC" w14:textId="77777777" w:rsidR="008C0E5D" w:rsidRDefault="008C0E5D" w:rsidP="00DE7576">
      <w:pPr>
        <w:pStyle w:val="Prrafodelista"/>
        <w:numPr>
          <w:ilvl w:val="0"/>
          <w:numId w:val="1"/>
        </w:numPr>
      </w:pPr>
      <w:r>
        <w:t>CONSUMO POBLACIONAL:</w:t>
      </w:r>
      <w:r w:rsidRPr="008C0E5D">
        <w:rPr>
          <w:noProof/>
          <w:lang w:eastAsia="es-AR"/>
        </w:rPr>
        <w:t xml:space="preserve"> </w:t>
      </w:r>
      <w:r>
        <w:rPr>
          <w:noProof/>
          <w:lang w:val="es-ES" w:eastAsia="es-ES"/>
        </w:rPr>
        <w:drawing>
          <wp:inline distT="0" distB="0" distL="0" distR="0" wp14:anchorId="1B51396D" wp14:editId="1614C233">
            <wp:extent cx="4410075" cy="3347288"/>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a05g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4742" cy="3358421"/>
                    </a:xfrm>
                    <a:prstGeom prst="rect">
                      <a:avLst/>
                    </a:prstGeom>
                  </pic:spPr>
                </pic:pic>
              </a:graphicData>
            </a:graphic>
          </wp:inline>
        </w:drawing>
      </w:r>
    </w:p>
    <w:p w14:paraId="50A896D1" w14:textId="77777777" w:rsidR="008C0E5D" w:rsidRDefault="008C0E5D" w:rsidP="008C0E5D">
      <w:r>
        <w:lastRenderedPageBreak/>
        <w:t xml:space="preserve">Según la asociación venezolana de pastas, el consumo de pastas per </w:t>
      </w:r>
      <w:r w:rsidR="0018525B">
        <w:t>cápita</w:t>
      </w:r>
      <w:r>
        <w:t xml:space="preserve"> esta </w:t>
      </w:r>
      <w:r w:rsidR="0018525B">
        <w:t>liderado</w:t>
      </w:r>
      <w:r>
        <w:t xml:space="preserve"> por Venezuela con 12.7 kg anuales, luego lo sigue </w:t>
      </w:r>
      <w:r w:rsidR="00DE7576">
        <w:t>Perú</w:t>
      </w:r>
      <w:r>
        <w:t xml:space="preserve"> con 9.9 y </w:t>
      </w:r>
      <w:r w:rsidR="00DE7576">
        <w:t>más</w:t>
      </w:r>
      <w:r>
        <w:t xml:space="preserve"> atrás chile con 8.2.</w:t>
      </w:r>
      <w:r w:rsidR="00DE7576">
        <w:t xml:space="preserve"> </w:t>
      </w:r>
    </w:p>
    <w:p w14:paraId="6EAEBF57" w14:textId="77777777" w:rsidR="00DE7576" w:rsidRDefault="00DE7576" w:rsidP="008C0E5D">
      <w:r>
        <w:t>De los países investigados, el que menos consume es EEUU con 2.7</w:t>
      </w:r>
    </w:p>
    <w:p w14:paraId="40EF70A1" w14:textId="77777777" w:rsidR="00DE7576" w:rsidRDefault="00DE7576" w:rsidP="008C0E5D">
      <w:r>
        <w:t>Argentina consume 6.8 y Brasil 4</w:t>
      </w:r>
    </w:p>
    <w:p w14:paraId="3CC0AC6D" w14:textId="77777777" w:rsidR="00DE7576" w:rsidRDefault="00DE7576" w:rsidP="008C0E5D"/>
    <w:p w14:paraId="46A3A691" w14:textId="77777777" w:rsidR="008C0E5D" w:rsidRDefault="00DE7576" w:rsidP="00DE7576">
      <w:pPr>
        <w:pStyle w:val="Prrafodelista"/>
        <w:numPr>
          <w:ilvl w:val="0"/>
          <w:numId w:val="1"/>
        </w:numPr>
      </w:pPr>
      <w:r>
        <w:t>NIVEL SOCIOECONOMICO</w:t>
      </w:r>
    </w:p>
    <w:p w14:paraId="0F39E1C5" w14:textId="77777777" w:rsidR="00DE7576" w:rsidRDefault="00DE7576" w:rsidP="00DE7576">
      <w:pPr>
        <w:pStyle w:val="Prrafodelista"/>
      </w:pPr>
      <w:r>
        <w:t xml:space="preserve">PBI PER CAPITA: </w:t>
      </w:r>
    </w:p>
    <w:tbl>
      <w:tblPr>
        <w:tblStyle w:val="Tablaconcuadrcula"/>
        <w:tblW w:w="0" w:type="auto"/>
        <w:tblInd w:w="720" w:type="dxa"/>
        <w:tblLook w:val="04A0" w:firstRow="1" w:lastRow="0" w:firstColumn="1" w:lastColumn="0" w:noHBand="0" w:noVBand="1"/>
      </w:tblPr>
      <w:tblGrid>
        <w:gridCol w:w="4064"/>
        <w:gridCol w:w="4044"/>
      </w:tblGrid>
      <w:tr w:rsidR="00DE7576" w14:paraId="1D16A627" w14:textId="77777777" w:rsidTr="00DE7576">
        <w:tc>
          <w:tcPr>
            <w:tcW w:w="4064" w:type="dxa"/>
          </w:tcPr>
          <w:p w14:paraId="3A96F4EB" w14:textId="77777777" w:rsidR="00DE7576" w:rsidRDefault="00DE7576" w:rsidP="00DE7576">
            <w:pPr>
              <w:pStyle w:val="Prrafodelista"/>
              <w:ind w:left="0"/>
            </w:pPr>
            <w:r>
              <w:t>CHILE</w:t>
            </w:r>
          </w:p>
        </w:tc>
        <w:tc>
          <w:tcPr>
            <w:tcW w:w="4044" w:type="dxa"/>
          </w:tcPr>
          <w:p w14:paraId="4C3EB79B" w14:textId="77777777" w:rsidR="00DE7576" w:rsidRDefault="00DE7576" w:rsidP="00DE7576">
            <w:pPr>
              <w:pStyle w:val="Prrafodelista"/>
              <w:ind w:left="0"/>
            </w:pPr>
            <w:r>
              <w:t>USD 13.792,93</w:t>
            </w:r>
          </w:p>
        </w:tc>
      </w:tr>
      <w:tr w:rsidR="00DE7576" w14:paraId="4049E598" w14:textId="77777777" w:rsidTr="00DE7576">
        <w:tc>
          <w:tcPr>
            <w:tcW w:w="4064" w:type="dxa"/>
          </w:tcPr>
          <w:p w14:paraId="08F0EEC7" w14:textId="77777777" w:rsidR="00DE7576" w:rsidRDefault="00DE7576" w:rsidP="00DE7576">
            <w:pPr>
              <w:pStyle w:val="Prrafodelista"/>
              <w:ind w:left="0"/>
            </w:pPr>
            <w:r>
              <w:t>URUGUAY</w:t>
            </w:r>
          </w:p>
        </w:tc>
        <w:tc>
          <w:tcPr>
            <w:tcW w:w="4044" w:type="dxa"/>
          </w:tcPr>
          <w:p w14:paraId="1E04FC25" w14:textId="77777777" w:rsidR="00DE7576" w:rsidRDefault="00DE7576" w:rsidP="00DE7576">
            <w:pPr>
              <w:pStyle w:val="Prrafodelista"/>
              <w:ind w:left="0"/>
            </w:pPr>
            <w:r>
              <w:t>USD 15.220,57</w:t>
            </w:r>
          </w:p>
        </w:tc>
      </w:tr>
      <w:tr w:rsidR="00DE7576" w14:paraId="17F65274" w14:textId="77777777" w:rsidTr="00DE7576">
        <w:tc>
          <w:tcPr>
            <w:tcW w:w="4064" w:type="dxa"/>
          </w:tcPr>
          <w:p w14:paraId="6DF9BD00" w14:textId="77777777" w:rsidR="00DE7576" w:rsidRDefault="00DE7576" w:rsidP="00DE7576">
            <w:pPr>
              <w:pStyle w:val="Prrafodelista"/>
              <w:ind w:left="0"/>
            </w:pPr>
            <w:r>
              <w:t>PARAGUAY</w:t>
            </w:r>
          </w:p>
        </w:tc>
        <w:tc>
          <w:tcPr>
            <w:tcW w:w="4044" w:type="dxa"/>
          </w:tcPr>
          <w:p w14:paraId="20D49F77" w14:textId="77777777" w:rsidR="00DE7576" w:rsidRDefault="00DE7576" w:rsidP="00DE7576">
            <w:pPr>
              <w:pStyle w:val="Prrafodelista"/>
              <w:ind w:left="0"/>
            </w:pPr>
            <w:r>
              <w:t>USD 4.080,20</w:t>
            </w:r>
          </w:p>
        </w:tc>
      </w:tr>
      <w:tr w:rsidR="00DE7576" w14:paraId="44255062" w14:textId="77777777" w:rsidTr="00DE7576">
        <w:tc>
          <w:tcPr>
            <w:tcW w:w="4064" w:type="dxa"/>
          </w:tcPr>
          <w:p w14:paraId="5FC5E4C9" w14:textId="77777777" w:rsidR="00DE7576" w:rsidRDefault="00DE7576" w:rsidP="00DE7576">
            <w:pPr>
              <w:pStyle w:val="Prrafodelista"/>
              <w:ind w:left="0"/>
            </w:pPr>
            <w:r>
              <w:t>EEUU</w:t>
            </w:r>
          </w:p>
        </w:tc>
        <w:tc>
          <w:tcPr>
            <w:tcW w:w="4044" w:type="dxa"/>
          </w:tcPr>
          <w:p w14:paraId="45E6D926" w14:textId="77777777" w:rsidR="00DE7576" w:rsidRDefault="00DE7576" w:rsidP="00DE7576">
            <w:pPr>
              <w:pStyle w:val="Prrafodelista"/>
              <w:ind w:left="0"/>
            </w:pPr>
            <w:r>
              <w:t>USD 57.466,79</w:t>
            </w:r>
          </w:p>
        </w:tc>
      </w:tr>
      <w:tr w:rsidR="00DE7576" w14:paraId="76B80AD2" w14:textId="77777777" w:rsidTr="00DE7576">
        <w:tc>
          <w:tcPr>
            <w:tcW w:w="4064" w:type="dxa"/>
          </w:tcPr>
          <w:p w14:paraId="6689A7AD" w14:textId="77777777" w:rsidR="00DE7576" w:rsidRDefault="00DE7576" w:rsidP="00DE7576">
            <w:pPr>
              <w:pStyle w:val="Prrafodelista"/>
              <w:ind w:left="0"/>
            </w:pPr>
            <w:r>
              <w:t>BRASIL</w:t>
            </w:r>
          </w:p>
        </w:tc>
        <w:tc>
          <w:tcPr>
            <w:tcW w:w="4044" w:type="dxa"/>
          </w:tcPr>
          <w:p w14:paraId="49F27D27" w14:textId="77777777" w:rsidR="00DE7576" w:rsidRDefault="00DE7576" w:rsidP="00DE7576">
            <w:pPr>
              <w:pStyle w:val="Prrafodelista"/>
              <w:ind w:left="0"/>
            </w:pPr>
            <w:r>
              <w:t>USD 8.649,95</w:t>
            </w:r>
          </w:p>
        </w:tc>
      </w:tr>
      <w:tr w:rsidR="00DE7576" w14:paraId="0F276696" w14:textId="77777777" w:rsidTr="00DE7576">
        <w:tc>
          <w:tcPr>
            <w:tcW w:w="4064" w:type="dxa"/>
          </w:tcPr>
          <w:p w14:paraId="0D840956" w14:textId="77777777" w:rsidR="00DE7576" w:rsidRDefault="00DE7576" w:rsidP="00DE7576">
            <w:pPr>
              <w:pStyle w:val="Prrafodelista"/>
              <w:ind w:left="0"/>
            </w:pPr>
            <w:r>
              <w:t>ARGENTINA</w:t>
            </w:r>
          </w:p>
        </w:tc>
        <w:tc>
          <w:tcPr>
            <w:tcW w:w="4044" w:type="dxa"/>
          </w:tcPr>
          <w:p w14:paraId="1D66E337" w14:textId="77777777" w:rsidR="00DE7576" w:rsidRDefault="00DE7576" w:rsidP="00DE7576">
            <w:pPr>
              <w:pStyle w:val="Prrafodelista"/>
              <w:ind w:left="0"/>
            </w:pPr>
            <w:r>
              <w:t>USD 12.449,22</w:t>
            </w:r>
          </w:p>
        </w:tc>
      </w:tr>
    </w:tbl>
    <w:p w14:paraId="75974568" w14:textId="77777777" w:rsidR="00DE7576" w:rsidRDefault="00DE7576" w:rsidP="00DE7576">
      <w:pPr>
        <w:pStyle w:val="Prrafodelista"/>
      </w:pPr>
    </w:p>
    <w:p w14:paraId="474E9A78" w14:textId="77777777" w:rsidR="00DE7576" w:rsidRDefault="00DE7576" w:rsidP="00DE7576">
      <w:pPr>
        <w:pStyle w:val="Prrafodelista"/>
      </w:pPr>
      <w:r>
        <w:t>TASA DE DESEMPLEO</w:t>
      </w:r>
      <w:r>
        <w:tab/>
      </w:r>
    </w:p>
    <w:tbl>
      <w:tblPr>
        <w:tblStyle w:val="Tablaconcuadrcula"/>
        <w:tblW w:w="0" w:type="auto"/>
        <w:tblInd w:w="720" w:type="dxa"/>
        <w:tblLook w:val="04A0" w:firstRow="1" w:lastRow="0" w:firstColumn="1" w:lastColumn="0" w:noHBand="0" w:noVBand="1"/>
      </w:tblPr>
      <w:tblGrid>
        <w:gridCol w:w="4064"/>
        <w:gridCol w:w="4044"/>
      </w:tblGrid>
      <w:tr w:rsidR="00DE7576" w14:paraId="78170CA8" w14:textId="77777777" w:rsidTr="00973FDD">
        <w:tc>
          <w:tcPr>
            <w:tcW w:w="4064" w:type="dxa"/>
          </w:tcPr>
          <w:p w14:paraId="2D88D8D1" w14:textId="77777777" w:rsidR="00DE7576" w:rsidRDefault="00DE7576" w:rsidP="00973FDD">
            <w:pPr>
              <w:pStyle w:val="Prrafodelista"/>
              <w:ind w:left="0"/>
            </w:pPr>
            <w:r>
              <w:t>CHILE</w:t>
            </w:r>
          </w:p>
        </w:tc>
        <w:tc>
          <w:tcPr>
            <w:tcW w:w="4044" w:type="dxa"/>
          </w:tcPr>
          <w:p w14:paraId="75F2A0FD" w14:textId="77777777" w:rsidR="00DE7576" w:rsidRDefault="00DE7576" w:rsidP="00973FDD">
            <w:pPr>
              <w:pStyle w:val="Prrafodelista"/>
              <w:ind w:left="0"/>
            </w:pPr>
            <w:r>
              <w:t>6,6%</w:t>
            </w:r>
          </w:p>
        </w:tc>
      </w:tr>
      <w:tr w:rsidR="00DE7576" w14:paraId="3EDA06D3" w14:textId="77777777" w:rsidTr="00973FDD">
        <w:tc>
          <w:tcPr>
            <w:tcW w:w="4064" w:type="dxa"/>
          </w:tcPr>
          <w:p w14:paraId="274D87E3" w14:textId="77777777" w:rsidR="00DE7576" w:rsidRDefault="00DE7576" w:rsidP="00973FDD">
            <w:pPr>
              <w:pStyle w:val="Prrafodelista"/>
              <w:ind w:left="0"/>
            </w:pPr>
            <w:r>
              <w:t>URUGUAY</w:t>
            </w:r>
          </w:p>
        </w:tc>
        <w:tc>
          <w:tcPr>
            <w:tcW w:w="4044" w:type="dxa"/>
          </w:tcPr>
          <w:p w14:paraId="6462D6DF" w14:textId="77777777" w:rsidR="00DE7576" w:rsidRDefault="00DE7576" w:rsidP="00973FDD">
            <w:pPr>
              <w:pStyle w:val="Prrafodelista"/>
              <w:ind w:left="0"/>
            </w:pPr>
            <w:r>
              <w:t>8,5%</w:t>
            </w:r>
          </w:p>
        </w:tc>
      </w:tr>
      <w:tr w:rsidR="00DE7576" w14:paraId="2324349B" w14:textId="77777777" w:rsidTr="00973FDD">
        <w:tc>
          <w:tcPr>
            <w:tcW w:w="4064" w:type="dxa"/>
          </w:tcPr>
          <w:p w14:paraId="4D449003" w14:textId="77777777" w:rsidR="00DE7576" w:rsidRDefault="00DE7576" w:rsidP="00973FDD">
            <w:pPr>
              <w:pStyle w:val="Prrafodelista"/>
              <w:ind w:left="0"/>
            </w:pPr>
            <w:r>
              <w:t>PARAGUAY</w:t>
            </w:r>
          </w:p>
        </w:tc>
        <w:tc>
          <w:tcPr>
            <w:tcW w:w="4044" w:type="dxa"/>
          </w:tcPr>
          <w:p w14:paraId="5A55A83E" w14:textId="77777777" w:rsidR="00DE7576" w:rsidRDefault="00DE7576" w:rsidP="00973FDD">
            <w:pPr>
              <w:pStyle w:val="Prrafodelista"/>
              <w:ind w:left="0"/>
            </w:pPr>
            <w:r>
              <w:t>10%</w:t>
            </w:r>
          </w:p>
        </w:tc>
      </w:tr>
      <w:tr w:rsidR="00DE7576" w14:paraId="1FFC37B9" w14:textId="77777777" w:rsidTr="00973FDD">
        <w:tc>
          <w:tcPr>
            <w:tcW w:w="4064" w:type="dxa"/>
          </w:tcPr>
          <w:p w14:paraId="3F02EF3B" w14:textId="77777777" w:rsidR="00DE7576" w:rsidRDefault="00DE7576" w:rsidP="00973FDD">
            <w:pPr>
              <w:pStyle w:val="Prrafodelista"/>
              <w:ind w:left="0"/>
            </w:pPr>
            <w:r>
              <w:t>EEUU</w:t>
            </w:r>
          </w:p>
        </w:tc>
        <w:tc>
          <w:tcPr>
            <w:tcW w:w="4044" w:type="dxa"/>
          </w:tcPr>
          <w:p w14:paraId="6EA08ADD" w14:textId="77777777" w:rsidR="00DE7576" w:rsidRDefault="00DE7576" w:rsidP="00973FDD">
            <w:pPr>
              <w:pStyle w:val="Prrafodelista"/>
              <w:ind w:left="0"/>
            </w:pPr>
            <w:r>
              <w:t>4,1%</w:t>
            </w:r>
          </w:p>
        </w:tc>
      </w:tr>
      <w:tr w:rsidR="00DE7576" w14:paraId="662F5219" w14:textId="77777777" w:rsidTr="00973FDD">
        <w:tc>
          <w:tcPr>
            <w:tcW w:w="4064" w:type="dxa"/>
          </w:tcPr>
          <w:p w14:paraId="29F27C5D" w14:textId="77777777" w:rsidR="00DE7576" w:rsidRDefault="00DE7576" w:rsidP="00973FDD">
            <w:pPr>
              <w:pStyle w:val="Prrafodelista"/>
              <w:ind w:left="0"/>
            </w:pPr>
            <w:r>
              <w:t>BRASIL</w:t>
            </w:r>
          </w:p>
        </w:tc>
        <w:tc>
          <w:tcPr>
            <w:tcW w:w="4044" w:type="dxa"/>
          </w:tcPr>
          <w:p w14:paraId="5699D28D" w14:textId="77777777" w:rsidR="00DE7576" w:rsidRDefault="00DE7576" w:rsidP="00973FDD">
            <w:pPr>
              <w:pStyle w:val="Prrafodelista"/>
              <w:ind w:left="0"/>
            </w:pPr>
            <w:r>
              <w:t>11,8%</w:t>
            </w:r>
          </w:p>
        </w:tc>
      </w:tr>
      <w:tr w:rsidR="00DE7576" w14:paraId="2D1C9832" w14:textId="77777777" w:rsidTr="00973FDD">
        <w:tc>
          <w:tcPr>
            <w:tcW w:w="4064" w:type="dxa"/>
          </w:tcPr>
          <w:p w14:paraId="406D71FB" w14:textId="77777777" w:rsidR="00DE7576" w:rsidRDefault="00DE7576" w:rsidP="00973FDD">
            <w:pPr>
              <w:pStyle w:val="Prrafodelista"/>
              <w:ind w:left="0"/>
            </w:pPr>
            <w:r>
              <w:t>ARGENTINA</w:t>
            </w:r>
          </w:p>
        </w:tc>
        <w:tc>
          <w:tcPr>
            <w:tcW w:w="4044" w:type="dxa"/>
          </w:tcPr>
          <w:p w14:paraId="41BA8F69" w14:textId="77777777" w:rsidR="00DE7576" w:rsidRDefault="00DE7576" w:rsidP="00973FDD">
            <w:pPr>
              <w:pStyle w:val="Prrafodelista"/>
              <w:ind w:left="0"/>
            </w:pPr>
            <w:r>
              <w:t>9,2%</w:t>
            </w:r>
          </w:p>
        </w:tc>
      </w:tr>
    </w:tbl>
    <w:p w14:paraId="3D0782F7" w14:textId="77777777" w:rsidR="00DE7576" w:rsidRDefault="00DE7576" w:rsidP="00DE7576"/>
    <w:p w14:paraId="64381E89" w14:textId="77777777" w:rsidR="00DE7576" w:rsidRDefault="00DE7576" w:rsidP="00DE7576">
      <w:pPr>
        <w:pStyle w:val="Prrafodelista"/>
        <w:numPr>
          <w:ilvl w:val="0"/>
          <w:numId w:val="1"/>
        </w:numPr>
      </w:pPr>
      <w:r>
        <w:t>INDICADORES ECONOMICOS Y ESCENCIALES</w:t>
      </w:r>
    </w:p>
    <w:p w14:paraId="57F861AF" w14:textId="77777777" w:rsidR="00DE7576" w:rsidRDefault="0018525B" w:rsidP="00DE7576">
      <w:pPr>
        <w:pStyle w:val="Prrafodelista"/>
      </w:pPr>
      <w:r>
        <w:t>PBI</w:t>
      </w:r>
    </w:p>
    <w:tbl>
      <w:tblPr>
        <w:tblStyle w:val="Tablaconcuadrcula"/>
        <w:tblW w:w="0" w:type="auto"/>
        <w:tblInd w:w="720" w:type="dxa"/>
        <w:tblLook w:val="04A0" w:firstRow="1" w:lastRow="0" w:firstColumn="1" w:lastColumn="0" w:noHBand="0" w:noVBand="1"/>
      </w:tblPr>
      <w:tblGrid>
        <w:gridCol w:w="4064"/>
        <w:gridCol w:w="4044"/>
      </w:tblGrid>
      <w:tr w:rsidR="0018525B" w14:paraId="57498849" w14:textId="77777777" w:rsidTr="00973FDD">
        <w:tc>
          <w:tcPr>
            <w:tcW w:w="4064" w:type="dxa"/>
          </w:tcPr>
          <w:p w14:paraId="6EC85056" w14:textId="77777777" w:rsidR="0018525B" w:rsidRDefault="0018525B" w:rsidP="00973FDD">
            <w:pPr>
              <w:pStyle w:val="Prrafodelista"/>
              <w:ind w:left="0"/>
            </w:pPr>
            <w:r>
              <w:t>CHILE</w:t>
            </w:r>
          </w:p>
        </w:tc>
        <w:tc>
          <w:tcPr>
            <w:tcW w:w="4044" w:type="dxa"/>
          </w:tcPr>
          <w:p w14:paraId="15BEE450" w14:textId="77777777" w:rsidR="0018525B" w:rsidRDefault="0018525B" w:rsidP="0018525B">
            <w:pPr>
              <w:pStyle w:val="Prrafodelista"/>
              <w:ind w:left="0"/>
            </w:pPr>
            <w:r>
              <w:t>USD 247 miles de millones</w:t>
            </w:r>
          </w:p>
        </w:tc>
      </w:tr>
      <w:tr w:rsidR="0018525B" w14:paraId="54CE4C6F" w14:textId="77777777" w:rsidTr="00973FDD">
        <w:tc>
          <w:tcPr>
            <w:tcW w:w="4064" w:type="dxa"/>
          </w:tcPr>
          <w:p w14:paraId="3AFE2D57" w14:textId="77777777" w:rsidR="0018525B" w:rsidRDefault="0018525B" w:rsidP="00973FDD">
            <w:pPr>
              <w:pStyle w:val="Prrafodelista"/>
              <w:ind w:left="0"/>
            </w:pPr>
            <w:r>
              <w:t>URUGUAY</w:t>
            </w:r>
          </w:p>
        </w:tc>
        <w:tc>
          <w:tcPr>
            <w:tcW w:w="4044" w:type="dxa"/>
          </w:tcPr>
          <w:p w14:paraId="441E2DC2" w14:textId="77777777" w:rsidR="0018525B" w:rsidRDefault="0018525B" w:rsidP="00973FDD">
            <w:pPr>
              <w:pStyle w:val="Prrafodelista"/>
              <w:ind w:left="0"/>
            </w:pPr>
            <w:r>
              <w:t>USD 52,42 miles de millones</w:t>
            </w:r>
          </w:p>
        </w:tc>
      </w:tr>
      <w:tr w:rsidR="0018525B" w14:paraId="4B70A172" w14:textId="77777777" w:rsidTr="00973FDD">
        <w:tc>
          <w:tcPr>
            <w:tcW w:w="4064" w:type="dxa"/>
          </w:tcPr>
          <w:p w14:paraId="095719D1" w14:textId="77777777" w:rsidR="0018525B" w:rsidRDefault="0018525B" w:rsidP="00973FDD">
            <w:pPr>
              <w:pStyle w:val="Prrafodelista"/>
              <w:ind w:left="0"/>
            </w:pPr>
            <w:r>
              <w:t>PARAGUAY</w:t>
            </w:r>
          </w:p>
        </w:tc>
        <w:tc>
          <w:tcPr>
            <w:tcW w:w="4044" w:type="dxa"/>
          </w:tcPr>
          <w:p w14:paraId="6D861215" w14:textId="77777777" w:rsidR="0018525B" w:rsidRDefault="0018525B" w:rsidP="00973FDD">
            <w:pPr>
              <w:pStyle w:val="Prrafodelista"/>
              <w:ind w:left="0"/>
            </w:pPr>
            <w:r>
              <w:t>USD 27,44 miles de millones</w:t>
            </w:r>
          </w:p>
        </w:tc>
      </w:tr>
      <w:tr w:rsidR="0018525B" w14:paraId="365855B9" w14:textId="77777777" w:rsidTr="00973FDD">
        <w:tc>
          <w:tcPr>
            <w:tcW w:w="4064" w:type="dxa"/>
          </w:tcPr>
          <w:p w14:paraId="3AEE68F5" w14:textId="77777777" w:rsidR="0018525B" w:rsidRDefault="0018525B" w:rsidP="00973FDD">
            <w:pPr>
              <w:pStyle w:val="Prrafodelista"/>
              <w:ind w:left="0"/>
            </w:pPr>
            <w:r>
              <w:t>EEUU</w:t>
            </w:r>
          </w:p>
        </w:tc>
        <w:tc>
          <w:tcPr>
            <w:tcW w:w="4044" w:type="dxa"/>
          </w:tcPr>
          <w:p w14:paraId="673D50F9" w14:textId="77777777" w:rsidR="0018525B" w:rsidRDefault="0018525B" w:rsidP="0018525B">
            <w:pPr>
              <w:pStyle w:val="Prrafodelista"/>
              <w:ind w:left="0"/>
            </w:pPr>
            <w:r>
              <w:t>USD 18,57 billones</w:t>
            </w:r>
          </w:p>
        </w:tc>
      </w:tr>
      <w:tr w:rsidR="0018525B" w14:paraId="27306960" w14:textId="77777777" w:rsidTr="00973FDD">
        <w:tc>
          <w:tcPr>
            <w:tcW w:w="4064" w:type="dxa"/>
          </w:tcPr>
          <w:p w14:paraId="75DD57F2" w14:textId="77777777" w:rsidR="0018525B" w:rsidRDefault="0018525B" w:rsidP="00973FDD">
            <w:pPr>
              <w:pStyle w:val="Prrafodelista"/>
              <w:ind w:left="0"/>
            </w:pPr>
            <w:r>
              <w:t>BRASIL</w:t>
            </w:r>
          </w:p>
        </w:tc>
        <w:tc>
          <w:tcPr>
            <w:tcW w:w="4044" w:type="dxa"/>
          </w:tcPr>
          <w:p w14:paraId="4783D287" w14:textId="77777777" w:rsidR="0018525B" w:rsidRDefault="0018525B" w:rsidP="0018525B">
            <w:pPr>
              <w:pStyle w:val="Prrafodelista"/>
              <w:ind w:left="0"/>
            </w:pPr>
            <w:r>
              <w:t>USD 1796 billones</w:t>
            </w:r>
          </w:p>
        </w:tc>
      </w:tr>
      <w:tr w:rsidR="0018525B" w14:paraId="7E418266" w14:textId="77777777" w:rsidTr="00973FDD">
        <w:tc>
          <w:tcPr>
            <w:tcW w:w="4064" w:type="dxa"/>
          </w:tcPr>
          <w:p w14:paraId="074743AC" w14:textId="77777777" w:rsidR="0018525B" w:rsidRDefault="0018525B" w:rsidP="00973FDD">
            <w:pPr>
              <w:pStyle w:val="Prrafodelista"/>
              <w:ind w:left="0"/>
            </w:pPr>
            <w:r>
              <w:t>ARGENTINA</w:t>
            </w:r>
          </w:p>
        </w:tc>
        <w:tc>
          <w:tcPr>
            <w:tcW w:w="4044" w:type="dxa"/>
          </w:tcPr>
          <w:p w14:paraId="53FBCF03" w14:textId="77777777" w:rsidR="0018525B" w:rsidRDefault="0018525B" w:rsidP="0018525B">
            <w:pPr>
              <w:pStyle w:val="Prrafodelista"/>
              <w:ind w:left="0"/>
            </w:pPr>
            <w:r>
              <w:t>USD 545,9 miles de millones</w:t>
            </w:r>
          </w:p>
        </w:tc>
      </w:tr>
    </w:tbl>
    <w:p w14:paraId="32347ADE" w14:textId="77777777" w:rsidR="0018525B" w:rsidRDefault="0018525B" w:rsidP="00DE7576">
      <w:pPr>
        <w:pStyle w:val="Prrafodelista"/>
      </w:pPr>
    </w:p>
    <w:p w14:paraId="225A5B36" w14:textId="77777777" w:rsidR="0018525B" w:rsidRDefault="0018525B" w:rsidP="00DE7576">
      <w:pPr>
        <w:pStyle w:val="Prrafodelista"/>
      </w:pPr>
      <w:r>
        <w:t>Inflación</w:t>
      </w:r>
    </w:p>
    <w:tbl>
      <w:tblPr>
        <w:tblStyle w:val="Tablaconcuadrcula"/>
        <w:tblW w:w="8079" w:type="dxa"/>
        <w:tblInd w:w="675" w:type="dxa"/>
        <w:tblLook w:val="04A0" w:firstRow="1" w:lastRow="0" w:firstColumn="1" w:lastColumn="0" w:noHBand="0" w:noVBand="1"/>
      </w:tblPr>
      <w:tblGrid>
        <w:gridCol w:w="4271"/>
        <w:gridCol w:w="3808"/>
      </w:tblGrid>
      <w:tr w:rsidR="0018525B" w14:paraId="14311C89" w14:textId="77777777" w:rsidTr="00973FDD">
        <w:trPr>
          <w:trHeight w:val="263"/>
        </w:trPr>
        <w:tc>
          <w:tcPr>
            <w:tcW w:w="4271" w:type="dxa"/>
          </w:tcPr>
          <w:p w14:paraId="7F69E1CF" w14:textId="77777777" w:rsidR="0018525B" w:rsidRDefault="0018525B" w:rsidP="00973FDD">
            <w:pPr>
              <w:pStyle w:val="Prrafodelista"/>
              <w:ind w:left="34" w:hanging="34"/>
            </w:pPr>
            <w:r>
              <w:t>CHILE</w:t>
            </w:r>
          </w:p>
        </w:tc>
        <w:tc>
          <w:tcPr>
            <w:tcW w:w="3808" w:type="dxa"/>
          </w:tcPr>
          <w:p w14:paraId="1C08AF13" w14:textId="77777777" w:rsidR="0018525B" w:rsidRDefault="0018525B" w:rsidP="00973FDD">
            <w:pPr>
              <w:pStyle w:val="Prrafodelista"/>
              <w:ind w:left="0"/>
            </w:pPr>
            <w:r>
              <w:t>2%</w:t>
            </w:r>
          </w:p>
        </w:tc>
      </w:tr>
      <w:tr w:rsidR="0018525B" w14:paraId="0745B8CB" w14:textId="77777777" w:rsidTr="00973FDD">
        <w:trPr>
          <w:trHeight w:val="263"/>
        </w:trPr>
        <w:tc>
          <w:tcPr>
            <w:tcW w:w="4271" w:type="dxa"/>
          </w:tcPr>
          <w:p w14:paraId="3B2062D3" w14:textId="77777777" w:rsidR="0018525B" w:rsidRDefault="0018525B" w:rsidP="00973FDD">
            <w:pPr>
              <w:pStyle w:val="Prrafodelista"/>
              <w:ind w:left="0"/>
            </w:pPr>
            <w:r>
              <w:t>URUGUAY</w:t>
            </w:r>
          </w:p>
        </w:tc>
        <w:tc>
          <w:tcPr>
            <w:tcW w:w="3808" w:type="dxa"/>
          </w:tcPr>
          <w:p w14:paraId="647C1530" w14:textId="77777777" w:rsidR="0018525B" w:rsidRDefault="0018525B" w:rsidP="00973FDD">
            <w:pPr>
              <w:pStyle w:val="Prrafodelista"/>
              <w:ind w:left="0"/>
            </w:pPr>
            <w:r>
              <w:t>6,55%</w:t>
            </w:r>
          </w:p>
        </w:tc>
      </w:tr>
      <w:tr w:rsidR="0018525B" w14:paraId="626E62D9" w14:textId="77777777" w:rsidTr="00973FDD">
        <w:trPr>
          <w:trHeight w:val="263"/>
        </w:trPr>
        <w:tc>
          <w:tcPr>
            <w:tcW w:w="4271" w:type="dxa"/>
          </w:tcPr>
          <w:p w14:paraId="18CEFBDF" w14:textId="77777777" w:rsidR="0018525B" w:rsidRDefault="0018525B" w:rsidP="00973FDD">
            <w:pPr>
              <w:pStyle w:val="Prrafodelista"/>
              <w:ind w:left="0"/>
            </w:pPr>
            <w:r>
              <w:t>PARAGUAY</w:t>
            </w:r>
          </w:p>
        </w:tc>
        <w:tc>
          <w:tcPr>
            <w:tcW w:w="3808" w:type="dxa"/>
          </w:tcPr>
          <w:p w14:paraId="57A14F5C" w14:textId="77777777" w:rsidR="0018525B" w:rsidRDefault="0018525B" w:rsidP="00973FDD">
            <w:pPr>
              <w:pStyle w:val="Prrafodelista"/>
              <w:ind w:left="0"/>
            </w:pPr>
            <w:r>
              <w:t>0,5%</w:t>
            </w:r>
          </w:p>
        </w:tc>
      </w:tr>
      <w:tr w:rsidR="0018525B" w14:paraId="5D06E4F9" w14:textId="77777777" w:rsidTr="00973FDD">
        <w:trPr>
          <w:trHeight w:val="263"/>
        </w:trPr>
        <w:tc>
          <w:tcPr>
            <w:tcW w:w="4271" w:type="dxa"/>
          </w:tcPr>
          <w:p w14:paraId="3FD30449" w14:textId="77777777" w:rsidR="0018525B" w:rsidRDefault="0018525B" w:rsidP="00973FDD">
            <w:pPr>
              <w:pStyle w:val="Prrafodelista"/>
              <w:ind w:left="0"/>
            </w:pPr>
            <w:r>
              <w:t>EEUU</w:t>
            </w:r>
          </w:p>
        </w:tc>
        <w:tc>
          <w:tcPr>
            <w:tcW w:w="3808" w:type="dxa"/>
          </w:tcPr>
          <w:p w14:paraId="1D583C1D" w14:textId="77777777" w:rsidR="0018525B" w:rsidRDefault="0018525B" w:rsidP="00973FDD">
            <w:pPr>
              <w:pStyle w:val="Prrafodelista"/>
              <w:ind w:left="0"/>
            </w:pPr>
            <w:r>
              <w:t>2,1%</w:t>
            </w:r>
          </w:p>
        </w:tc>
      </w:tr>
      <w:tr w:rsidR="0018525B" w14:paraId="691CFEE3" w14:textId="77777777" w:rsidTr="00973FDD">
        <w:trPr>
          <w:trHeight w:val="263"/>
        </w:trPr>
        <w:tc>
          <w:tcPr>
            <w:tcW w:w="4271" w:type="dxa"/>
          </w:tcPr>
          <w:p w14:paraId="6C8B0663" w14:textId="77777777" w:rsidR="0018525B" w:rsidRDefault="0018525B" w:rsidP="00973FDD">
            <w:pPr>
              <w:pStyle w:val="Prrafodelista"/>
              <w:ind w:left="0"/>
            </w:pPr>
            <w:r>
              <w:t>BRASIL</w:t>
            </w:r>
          </w:p>
        </w:tc>
        <w:tc>
          <w:tcPr>
            <w:tcW w:w="3808" w:type="dxa"/>
          </w:tcPr>
          <w:p w14:paraId="2C80ED51" w14:textId="77777777" w:rsidR="0018525B" w:rsidRDefault="0018525B" w:rsidP="00973FDD">
            <w:pPr>
              <w:pStyle w:val="Prrafodelista"/>
              <w:ind w:left="0"/>
            </w:pPr>
            <w:r>
              <w:t>1,8%</w:t>
            </w:r>
          </w:p>
        </w:tc>
      </w:tr>
      <w:tr w:rsidR="0018525B" w14:paraId="222E0BAB" w14:textId="77777777" w:rsidTr="00973FDD">
        <w:trPr>
          <w:trHeight w:val="263"/>
        </w:trPr>
        <w:tc>
          <w:tcPr>
            <w:tcW w:w="4271" w:type="dxa"/>
          </w:tcPr>
          <w:p w14:paraId="186B28BA" w14:textId="77777777" w:rsidR="0018525B" w:rsidRDefault="0018525B" w:rsidP="00973FDD">
            <w:pPr>
              <w:pStyle w:val="Prrafodelista"/>
              <w:ind w:left="0"/>
            </w:pPr>
            <w:r>
              <w:t>ARGENTINA</w:t>
            </w:r>
          </w:p>
        </w:tc>
        <w:tc>
          <w:tcPr>
            <w:tcW w:w="3808" w:type="dxa"/>
          </w:tcPr>
          <w:p w14:paraId="62062E60" w14:textId="77777777" w:rsidR="0018525B" w:rsidRDefault="0018525B" w:rsidP="00973FDD">
            <w:pPr>
              <w:pStyle w:val="Prrafodelista"/>
              <w:ind w:left="0"/>
            </w:pPr>
            <w:r>
              <w:t>24,8%</w:t>
            </w:r>
          </w:p>
        </w:tc>
      </w:tr>
    </w:tbl>
    <w:p w14:paraId="5B825D16" w14:textId="77777777" w:rsidR="0018525B" w:rsidRDefault="0018525B" w:rsidP="00DE7576">
      <w:pPr>
        <w:pStyle w:val="Prrafodelista"/>
      </w:pPr>
    </w:p>
    <w:p w14:paraId="3339F726" w14:textId="77777777" w:rsidR="0018525B" w:rsidRDefault="0018525B" w:rsidP="00DE7576">
      <w:pPr>
        <w:pStyle w:val="Prrafodelista"/>
      </w:pPr>
    </w:p>
    <w:p w14:paraId="51CB44B2" w14:textId="77777777" w:rsidR="00957F3D" w:rsidRDefault="00957F3D" w:rsidP="00DE7576">
      <w:pPr>
        <w:pStyle w:val="Prrafodelista"/>
      </w:pPr>
    </w:p>
    <w:p w14:paraId="7E173CF9" w14:textId="77777777" w:rsidR="00957F3D" w:rsidRDefault="00957F3D" w:rsidP="00DE7576">
      <w:pPr>
        <w:pStyle w:val="Prrafodelista"/>
      </w:pPr>
    </w:p>
    <w:p w14:paraId="5C8B1444" w14:textId="77777777" w:rsidR="00DE7576" w:rsidRDefault="00957F3D" w:rsidP="00DE7576">
      <w:pPr>
        <w:pStyle w:val="Prrafodelista"/>
      </w:pPr>
      <w:r>
        <w:lastRenderedPageBreak/>
        <w:t>Tasa de interés</w:t>
      </w:r>
    </w:p>
    <w:tbl>
      <w:tblPr>
        <w:tblStyle w:val="Tablaconcuadrcula"/>
        <w:tblW w:w="0" w:type="auto"/>
        <w:tblInd w:w="720" w:type="dxa"/>
        <w:tblLook w:val="04A0" w:firstRow="1" w:lastRow="0" w:firstColumn="1" w:lastColumn="0" w:noHBand="0" w:noVBand="1"/>
      </w:tblPr>
      <w:tblGrid>
        <w:gridCol w:w="4064"/>
        <w:gridCol w:w="4044"/>
      </w:tblGrid>
      <w:tr w:rsidR="00957F3D" w14:paraId="5B772615" w14:textId="77777777" w:rsidTr="00973FDD">
        <w:tc>
          <w:tcPr>
            <w:tcW w:w="4064" w:type="dxa"/>
          </w:tcPr>
          <w:p w14:paraId="5E955FA0" w14:textId="77777777" w:rsidR="00957F3D" w:rsidRDefault="00957F3D" w:rsidP="00973FDD">
            <w:pPr>
              <w:pStyle w:val="Prrafodelista"/>
              <w:ind w:left="0"/>
            </w:pPr>
            <w:r>
              <w:t>CHILE</w:t>
            </w:r>
          </w:p>
        </w:tc>
        <w:tc>
          <w:tcPr>
            <w:tcW w:w="4044" w:type="dxa"/>
          </w:tcPr>
          <w:p w14:paraId="23825EAF" w14:textId="77777777" w:rsidR="00957F3D" w:rsidRDefault="00957F3D" w:rsidP="00973FDD">
            <w:pPr>
              <w:pStyle w:val="Prrafodelista"/>
              <w:ind w:left="0"/>
            </w:pPr>
            <w:r>
              <w:rPr>
                <w:rFonts w:ascii="Arial" w:hAnsi="Arial" w:cs="Arial"/>
                <w:color w:val="545454"/>
                <w:shd w:val="clear" w:color="auto" w:fill="FFFFFF"/>
              </w:rPr>
              <w:t>22,5 y 6,9%</w:t>
            </w:r>
          </w:p>
        </w:tc>
      </w:tr>
      <w:tr w:rsidR="00957F3D" w14:paraId="3BD1565B" w14:textId="77777777" w:rsidTr="00973FDD">
        <w:tc>
          <w:tcPr>
            <w:tcW w:w="4064" w:type="dxa"/>
          </w:tcPr>
          <w:p w14:paraId="04FCCA8D" w14:textId="77777777" w:rsidR="00957F3D" w:rsidRDefault="00957F3D" w:rsidP="00973FDD">
            <w:pPr>
              <w:pStyle w:val="Prrafodelista"/>
              <w:ind w:left="0"/>
            </w:pPr>
            <w:r>
              <w:t>URUGUAY</w:t>
            </w:r>
          </w:p>
        </w:tc>
        <w:tc>
          <w:tcPr>
            <w:tcW w:w="4044" w:type="dxa"/>
          </w:tcPr>
          <w:p w14:paraId="70F32B4E" w14:textId="77777777" w:rsidR="00957F3D" w:rsidRDefault="00957F3D" w:rsidP="00973FDD">
            <w:pPr>
              <w:pStyle w:val="Prrafodelista"/>
              <w:ind w:left="0"/>
            </w:pPr>
            <w:r>
              <w:t>55%</w:t>
            </w:r>
          </w:p>
        </w:tc>
      </w:tr>
      <w:tr w:rsidR="00957F3D" w14:paraId="16D2EF88" w14:textId="77777777" w:rsidTr="00973FDD">
        <w:tc>
          <w:tcPr>
            <w:tcW w:w="4064" w:type="dxa"/>
          </w:tcPr>
          <w:p w14:paraId="68EAC72F" w14:textId="77777777" w:rsidR="00957F3D" w:rsidRDefault="00957F3D" w:rsidP="00973FDD">
            <w:pPr>
              <w:pStyle w:val="Prrafodelista"/>
              <w:ind w:left="0"/>
            </w:pPr>
            <w:r>
              <w:t>PARAGUAY</w:t>
            </w:r>
          </w:p>
        </w:tc>
        <w:tc>
          <w:tcPr>
            <w:tcW w:w="4044" w:type="dxa"/>
          </w:tcPr>
          <w:p w14:paraId="11E84605" w14:textId="77777777" w:rsidR="00957F3D" w:rsidRDefault="00957F3D" w:rsidP="00973FDD">
            <w:pPr>
              <w:pStyle w:val="Prrafodelista"/>
              <w:ind w:left="0"/>
            </w:pPr>
            <w:r>
              <w:t>5.5%</w:t>
            </w:r>
          </w:p>
        </w:tc>
      </w:tr>
      <w:tr w:rsidR="00957F3D" w14:paraId="2FC2C098" w14:textId="77777777" w:rsidTr="00973FDD">
        <w:tc>
          <w:tcPr>
            <w:tcW w:w="4064" w:type="dxa"/>
          </w:tcPr>
          <w:p w14:paraId="353BF359" w14:textId="77777777" w:rsidR="00957F3D" w:rsidRDefault="00957F3D" w:rsidP="00973FDD">
            <w:pPr>
              <w:pStyle w:val="Prrafodelista"/>
              <w:ind w:left="0"/>
            </w:pPr>
            <w:r>
              <w:t>EEUU</w:t>
            </w:r>
          </w:p>
        </w:tc>
        <w:tc>
          <w:tcPr>
            <w:tcW w:w="4044" w:type="dxa"/>
          </w:tcPr>
          <w:p w14:paraId="57F366FC" w14:textId="77777777" w:rsidR="00957F3D" w:rsidRDefault="00957F3D" w:rsidP="00973FDD">
            <w:pPr>
              <w:pStyle w:val="Prrafodelista"/>
              <w:ind w:left="0"/>
            </w:pPr>
            <w:r>
              <w:t>1.5%</w:t>
            </w:r>
          </w:p>
        </w:tc>
      </w:tr>
      <w:tr w:rsidR="00957F3D" w14:paraId="66D595EA" w14:textId="77777777" w:rsidTr="00973FDD">
        <w:tc>
          <w:tcPr>
            <w:tcW w:w="4064" w:type="dxa"/>
          </w:tcPr>
          <w:p w14:paraId="5D634209" w14:textId="77777777" w:rsidR="00957F3D" w:rsidRDefault="00957F3D" w:rsidP="00973FDD">
            <w:pPr>
              <w:pStyle w:val="Prrafodelista"/>
              <w:ind w:left="0"/>
            </w:pPr>
            <w:r>
              <w:t>BRASIL</w:t>
            </w:r>
          </w:p>
        </w:tc>
        <w:tc>
          <w:tcPr>
            <w:tcW w:w="4044" w:type="dxa"/>
          </w:tcPr>
          <w:p w14:paraId="43E943A9" w14:textId="77777777" w:rsidR="00957F3D" w:rsidRDefault="00957F3D" w:rsidP="00973FDD">
            <w:pPr>
              <w:pStyle w:val="Prrafodelista"/>
              <w:ind w:left="0"/>
            </w:pPr>
            <w:r>
              <w:t>6.5%</w:t>
            </w:r>
          </w:p>
        </w:tc>
      </w:tr>
      <w:tr w:rsidR="00957F3D" w14:paraId="7F75A09F" w14:textId="77777777" w:rsidTr="00973FDD">
        <w:tc>
          <w:tcPr>
            <w:tcW w:w="4064" w:type="dxa"/>
          </w:tcPr>
          <w:p w14:paraId="2AE524F3" w14:textId="77777777" w:rsidR="00957F3D" w:rsidRDefault="00957F3D" w:rsidP="00973FDD">
            <w:pPr>
              <w:pStyle w:val="Prrafodelista"/>
              <w:ind w:left="0"/>
            </w:pPr>
            <w:r>
              <w:t>ARGENTINA</w:t>
            </w:r>
          </w:p>
        </w:tc>
        <w:tc>
          <w:tcPr>
            <w:tcW w:w="4044" w:type="dxa"/>
          </w:tcPr>
          <w:p w14:paraId="33C74A2E" w14:textId="77777777" w:rsidR="00957F3D" w:rsidRDefault="00957F3D" w:rsidP="00973FDD">
            <w:pPr>
              <w:pStyle w:val="Prrafodelista"/>
              <w:ind w:left="0"/>
            </w:pPr>
            <w:r>
              <w:t>26.25% anual</w:t>
            </w:r>
          </w:p>
        </w:tc>
      </w:tr>
    </w:tbl>
    <w:p w14:paraId="5E9FF2C3" w14:textId="77777777" w:rsidR="00957F3D" w:rsidRDefault="00957F3D" w:rsidP="00DE7576">
      <w:pPr>
        <w:pStyle w:val="Prrafodelista"/>
      </w:pPr>
    </w:p>
    <w:p w14:paraId="39311E8C" w14:textId="77777777" w:rsidR="00957F3D" w:rsidRDefault="00957F3D" w:rsidP="00957F3D">
      <w:pPr>
        <w:pStyle w:val="Prrafodelista"/>
      </w:pPr>
      <w:r>
        <w:t>Balanza comercial</w:t>
      </w:r>
    </w:p>
    <w:tbl>
      <w:tblPr>
        <w:tblStyle w:val="Tablaconcuadrcula"/>
        <w:tblW w:w="0" w:type="auto"/>
        <w:tblInd w:w="817" w:type="dxa"/>
        <w:tblLook w:val="04A0" w:firstRow="1" w:lastRow="0" w:firstColumn="1" w:lastColumn="0" w:noHBand="0" w:noVBand="1"/>
      </w:tblPr>
      <w:tblGrid>
        <w:gridCol w:w="3967"/>
        <w:gridCol w:w="4044"/>
      </w:tblGrid>
      <w:tr w:rsidR="00957F3D" w14:paraId="77B1B6A5" w14:textId="77777777" w:rsidTr="00F34D4F">
        <w:tc>
          <w:tcPr>
            <w:tcW w:w="3967" w:type="dxa"/>
          </w:tcPr>
          <w:p w14:paraId="2C6DB66E" w14:textId="77777777" w:rsidR="00957F3D" w:rsidRDefault="00957F3D" w:rsidP="00973FDD">
            <w:pPr>
              <w:pStyle w:val="Prrafodelista"/>
              <w:ind w:left="0"/>
            </w:pPr>
            <w:r>
              <w:t>CHILE</w:t>
            </w:r>
          </w:p>
        </w:tc>
        <w:tc>
          <w:tcPr>
            <w:tcW w:w="4044" w:type="dxa"/>
          </w:tcPr>
          <w:p w14:paraId="07FC5E13" w14:textId="77777777" w:rsidR="00957F3D" w:rsidRDefault="00957F3D" w:rsidP="00973FDD">
            <w:pPr>
              <w:pStyle w:val="Prrafodelista"/>
              <w:ind w:left="0"/>
            </w:pPr>
            <w:r>
              <w:rPr>
                <w:rFonts w:ascii="Arial" w:hAnsi="Arial" w:cs="Arial"/>
                <w:color w:val="545454"/>
                <w:shd w:val="clear" w:color="auto" w:fill="FFFFFF"/>
              </w:rPr>
              <w:t>saldo positivo de 1.057 millones de dólares.</w:t>
            </w:r>
          </w:p>
        </w:tc>
      </w:tr>
      <w:tr w:rsidR="00957F3D" w14:paraId="4DF53AFF" w14:textId="77777777" w:rsidTr="00F34D4F">
        <w:tc>
          <w:tcPr>
            <w:tcW w:w="3967" w:type="dxa"/>
          </w:tcPr>
          <w:p w14:paraId="77B8DD89" w14:textId="77777777" w:rsidR="00957F3D" w:rsidRDefault="00957F3D" w:rsidP="00973FDD">
            <w:pPr>
              <w:pStyle w:val="Prrafodelista"/>
              <w:ind w:left="0"/>
            </w:pPr>
            <w:r>
              <w:t>URUGUAY</w:t>
            </w:r>
          </w:p>
        </w:tc>
        <w:tc>
          <w:tcPr>
            <w:tcW w:w="4044" w:type="dxa"/>
          </w:tcPr>
          <w:p w14:paraId="0A17CBE1" w14:textId="77777777" w:rsidR="00957F3D" w:rsidRDefault="00957F3D" w:rsidP="00973FDD">
            <w:pPr>
              <w:pStyle w:val="Prrafodelista"/>
              <w:ind w:left="0"/>
            </w:pPr>
            <w:r>
              <w:rPr>
                <w:rFonts w:ascii="Arial" w:hAnsi="Arial" w:cs="Arial"/>
                <w:color w:val="545454"/>
                <w:shd w:val="clear" w:color="auto" w:fill="FFFFFF"/>
              </w:rPr>
              <w:t>999,3 millones de euros deficit</w:t>
            </w:r>
          </w:p>
        </w:tc>
      </w:tr>
      <w:tr w:rsidR="00957F3D" w14:paraId="270D3419" w14:textId="77777777" w:rsidTr="00F34D4F">
        <w:tc>
          <w:tcPr>
            <w:tcW w:w="3967" w:type="dxa"/>
          </w:tcPr>
          <w:p w14:paraId="53E534AF" w14:textId="77777777" w:rsidR="00957F3D" w:rsidRDefault="00957F3D" w:rsidP="00973FDD">
            <w:pPr>
              <w:pStyle w:val="Prrafodelista"/>
              <w:ind w:left="0"/>
            </w:pPr>
            <w:r>
              <w:t>PARAGUAY</w:t>
            </w:r>
          </w:p>
        </w:tc>
        <w:tc>
          <w:tcPr>
            <w:tcW w:w="4044" w:type="dxa"/>
          </w:tcPr>
          <w:p w14:paraId="1B22F492" w14:textId="77777777" w:rsidR="00957F3D" w:rsidRDefault="00957F3D" w:rsidP="00973FDD">
            <w:pPr>
              <w:pStyle w:val="Prrafodelista"/>
              <w:ind w:left="0"/>
            </w:pPr>
            <w:r>
              <w:rPr>
                <w:rFonts w:ascii="Arial" w:hAnsi="Arial" w:cs="Arial"/>
                <w:color w:val="545454"/>
                <w:shd w:val="clear" w:color="auto" w:fill="FFFFFF"/>
              </w:rPr>
              <w:t>superávit de 480 millones</w:t>
            </w:r>
            <w:r>
              <w:rPr>
                <w:rStyle w:val="apple-converted-space"/>
                <w:rFonts w:ascii="Arial" w:hAnsi="Arial" w:cs="Arial"/>
                <w:color w:val="545454"/>
                <w:shd w:val="clear" w:color="auto" w:fill="FFFFFF"/>
              </w:rPr>
              <w:t>  dolares</w:t>
            </w:r>
          </w:p>
        </w:tc>
      </w:tr>
      <w:tr w:rsidR="00957F3D" w14:paraId="6FCBFA36" w14:textId="77777777" w:rsidTr="00F34D4F">
        <w:tc>
          <w:tcPr>
            <w:tcW w:w="3967" w:type="dxa"/>
          </w:tcPr>
          <w:p w14:paraId="40945941" w14:textId="77777777" w:rsidR="00957F3D" w:rsidRDefault="00957F3D" w:rsidP="00973FDD">
            <w:pPr>
              <w:pStyle w:val="Prrafodelista"/>
              <w:ind w:left="0"/>
            </w:pPr>
            <w:r>
              <w:t>EEUU</w:t>
            </w:r>
          </w:p>
        </w:tc>
        <w:tc>
          <w:tcPr>
            <w:tcW w:w="4044" w:type="dxa"/>
          </w:tcPr>
          <w:p w14:paraId="1630F8F8" w14:textId="77777777" w:rsidR="00957F3D" w:rsidRDefault="00957F3D" w:rsidP="00973FDD">
            <w:pPr>
              <w:pStyle w:val="Prrafodelista"/>
              <w:ind w:left="0"/>
            </w:pPr>
            <w:r>
              <w:rPr>
                <w:rStyle w:val="apple-converted-space"/>
                <w:rFonts w:ascii="Arial" w:hAnsi="Arial" w:cs="Arial"/>
                <w:color w:val="545454"/>
                <w:shd w:val="clear" w:color="auto" w:fill="FFFFFF"/>
              </w:rPr>
              <w:t> </w:t>
            </w:r>
            <w:r>
              <w:rPr>
                <w:rFonts w:ascii="Arial" w:hAnsi="Arial" w:cs="Arial"/>
                <w:color w:val="545454"/>
                <w:shd w:val="clear" w:color="auto" w:fill="FFFFFF"/>
              </w:rPr>
              <w:t>566.600 millones de dólares deficit</w:t>
            </w:r>
          </w:p>
        </w:tc>
      </w:tr>
      <w:tr w:rsidR="00957F3D" w14:paraId="68D48419" w14:textId="77777777" w:rsidTr="00F34D4F">
        <w:tc>
          <w:tcPr>
            <w:tcW w:w="3967" w:type="dxa"/>
          </w:tcPr>
          <w:p w14:paraId="7F4AEBB0" w14:textId="77777777" w:rsidR="00957F3D" w:rsidRDefault="00957F3D" w:rsidP="00973FDD">
            <w:pPr>
              <w:pStyle w:val="Prrafodelista"/>
              <w:ind w:left="0"/>
            </w:pPr>
            <w:r>
              <w:t>BRASIL</w:t>
            </w:r>
          </w:p>
        </w:tc>
        <w:tc>
          <w:tcPr>
            <w:tcW w:w="4044" w:type="dxa"/>
          </w:tcPr>
          <w:p w14:paraId="7840CBBA" w14:textId="77777777" w:rsidR="00957F3D" w:rsidRDefault="00957F3D" w:rsidP="00973FDD">
            <w:pPr>
              <w:pStyle w:val="Prrafodelista"/>
              <w:ind w:left="0"/>
            </w:pPr>
            <w:r>
              <w:rPr>
                <w:rFonts w:ascii="Arial" w:hAnsi="Arial" w:cs="Arial"/>
                <w:color w:val="545454"/>
                <w:shd w:val="clear" w:color="auto" w:fill="FFFFFF"/>
              </w:rPr>
              <w:t>67.001 millones superavit</w:t>
            </w:r>
          </w:p>
        </w:tc>
      </w:tr>
      <w:tr w:rsidR="00957F3D" w14:paraId="7BB7E72B" w14:textId="77777777" w:rsidTr="00F34D4F">
        <w:tc>
          <w:tcPr>
            <w:tcW w:w="3967" w:type="dxa"/>
          </w:tcPr>
          <w:p w14:paraId="3BDC91B8" w14:textId="77777777" w:rsidR="00957F3D" w:rsidRDefault="00957F3D" w:rsidP="00973FDD">
            <w:pPr>
              <w:pStyle w:val="Prrafodelista"/>
              <w:ind w:left="0"/>
            </w:pPr>
            <w:r>
              <w:t>ARGENTINA</w:t>
            </w:r>
          </w:p>
        </w:tc>
        <w:tc>
          <w:tcPr>
            <w:tcW w:w="4044" w:type="dxa"/>
          </w:tcPr>
          <w:p w14:paraId="17CF0322" w14:textId="77777777" w:rsidR="00957F3D" w:rsidRPr="00957F3D" w:rsidRDefault="00957F3D" w:rsidP="00973FDD">
            <w:pPr>
              <w:pStyle w:val="Prrafodelista"/>
              <w:ind w:left="0"/>
              <w:rPr>
                <w:rFonts w:ascii="Arial" w:hAnsi="Arial" w:cs="Arial"/>
                <w:color w:val="545454"/>
                <w:shd w:val="clear" w:color="auto" w:fill="FFFFFF"/>
              </w:rPr>
            </w:pPr>
            <w:r>
              <w:rPr>
                <w:rStyle w:val="apple-converted-space"/>
                <w:rFonts w:ascii="Arial" w:hAnsi="Arial" w:cs="Arial"/>
                <w:color w:val="545454"/>
                <w:shd w:val="clear" w:color="auto" w:fill="FFFFFF"/>
              </w:rPr>
              <w:t> </w:t>
            </w:r>
            <w:r>
              <w:rPr>
                <w:rFonts w:ascii="Arial" w:hAnsi="Arial" w:cs="Arial"/>
                <w:color w:val="545454"/>
                <w:shd w:val="clear" w:color="auto" w:fill="FFFFFF"/>
              </w:rPr>
              <w:t>u$s 8471 millones de déficit</w:t>
            </w:r>
          </w:p>
        </w:tc>
      </w:tr>
    </w:tbl>
    <w:p w14:paraId="592C692F" w14:textId="77777777" w:rsidR="00973FDD" w:rsidRPr="00973FDD" w:rsidRDefault="00973FDD" w:rsidP="00973FDD">
      <w:r>
        <w:t>4)</w:t>
      </w:r>
      <w:r w:rsidRPr="00973FDD">
        <w:rPr>
          <w:rFonts w:ascii="Calibri" w:hAnsi="Calibri" w:cs="Times New Roman"/>
          <w:lang w:eastAsia="es-ES"/>
        </w:rPr>
        <w:t xml:space="preserve"> </w:t>
      </w:r>
      <w:r w:rsidRPr="00973FDD">
        <w:t xml:space="preserve">Pastas </w:t>
      </w:r>
    </w:p>
    <w:p w14:paraId="17CC26FD" w14:textId="77777777" w:rsidR="00973FDD" w:rsidRPr="00973FDD" w:rsidRDefault="00973FDD" w:rsidP="00973FDD">
      <w:r w:rsidRPr="00973FDD">
        <w:t>La producción mundial de pastas alcanza las 14 millones de toneladas y está liderada por Italia, históricamente el principal país productor, con 3,5 millones de toneladas anuales y una participación en el total mundial del 25%, seguido por Estados Unidos con 2 millones de toneladas y el 15%, y lue</w:t>
      </w:r>
      <w:r w:rsidR="000E7FB9">
        <w:t>go por Turquía, Brasil y Rusia</w:t>
      </w:r>
      <w:r w:rsidRPr="00973FDD">
        <w:t xml:space="preserve">. La demanda de pastas alimenticias se ha incrementado gradualmente en los últimos años y continuará haciéndolo por una combinación de causas como factores nutricionales, costo y eficiencia del consumo en el hogar, como así también su adaptabilidad para su consumo en diferentes culturas, en línea con el crecimiento poblacional, fundamentalmente en mercados emergentes (África y árabes). </w:t>
      </w:r>
    </w:p>
    <w:p w14:paraId="0E007581" w14:textId="77777777" w:rsidR="00973FDD" w:rsidRPr="00973FDD" w:rsidRDefault="00973FDD" w:rsidP="00973FDD">
      <w:r w:rsidRPr="00973FDD">
        <w:t xml:space="preserve">Italia es históricamente el primer exportador mundial de pastas alimenticias, con cerca de 2 millones de toneladas y un 17% del total comercializado en 20152. Le siguen Alemania con 798 mil toneladas, un 7% del total, EEUU con un 6% y Francia con un 6%. En cuanto a las importaciones de pastas alimenticias, estas se encuentran mucho más atomizadas: los doce principales destinos reúnen el 50% del volumen total. Alemania y Estados Unidos son actualmente los primeros importadores a nivel mundial, con un 8% y 7% del volumen total importado. </w:t>
      </w:r>
    </w:p>
    <w:p w14:paraId="42A8952E" w14:textId="77777777" w:rsidR="00973FDD" w:rsidRPr="00973FDD" w:rsidRDefault="00973FDD" w:rsidP="00973FDD">
      <w:r w:rsidRPr="00973FDD">
        <w:t>Argentina produce alrededor de 390 mil toneladas</w:t>
      </w:r>
      <w:r w:rsidR="000E7FB9">
        <w:t xml:space="preserve"> anuales de pastas alimenticias</w:t>
      </w:r>
      <w:r w:rsidRPr="00973FDD">
        <w:t xml:space="preserve"> y se ubica entre los 10 principales productores a nivel mundial. En 2015 se alcanzaron 382 mil toneladas, de las cuales 325 mil fueron pastas secas (85%). El sector está conformado por más de 1.500 empresas, el 95% de las cuales son PyMEs, que se dedican a fabricar productos frescos. El mercado de la variedad seca se concentró en los últimos años y, actualmente, participan en él unas 80 firmas. Las principales empresas fideeras del país poseen instalaciones propias para la operación de molienda del trigo candeal (adecuado para la producción fideera) y adquieren el cereal desde productores contratados, situados mayormente en el sudeste de la provincia de Buenos Aires. Históricamente, la producción de trigo fideo respecto a la cosecha triguera total ha sido del 1%. </w:t>
      </w:r>
    </w:p>
    <w:p w14:paraId="586FCBD8" w14:textId="77777777" w:rsidR="00973FDD" w:rsidRPr="00973FDD" w:rsidRDefault="00973FDD" w:rsidP="00973FDD">
      <w:r w:rsidRPr="00973FDD">
        <w:t>En los últimos años el desempeño de la industria de pastas secas ha sido bastante regular, caracterizada por ser madura e inelástica, su producción osciló entre las 322 mil y 330 mil tonela</w:t>
      </w:r>
      <w:r w:rsidR="000E7FB9">
        <w:t>das entre los años 2012 y 2015</w:t>
      </w:r>
      <w:r w:rsidRPr="00973FDD">
        <w:t xml:space="preserve">. Asimismo, Argentina se ubica entre los primeros </w:t>
      </w:r>
      <w:r w:rsidRPr="00973FDD">
        <w:lastRenderedPageBreak/>
        <w:t>consumidores de pastas alimenticias (frescas + secas) a nivel mundial (9 kg per cápita anual), después de Italia (25 kg per cápita anual), Tu</w:t>
      </w:r>
      <w:r w:rsidR="000E7FB9">
        <w:t>́nez, Venezuela, Grecia y Suiza</w:t>
      </w:r>
      <w:r w:rsidRPr="00973FDD">
        <w:t xml:space="preserve">. </w:t>
      </w:r>
    </w:p>
    <w:p w14:paraId="53EBF7E8" w14:textId="77777777" w:rsidR="00973FDD" w:rsidRPr="00973FDD" w:rsidRDefault="00973FDD" w:rsidP="00973FDD">
      <w:r w:rsidRPr="00973FDD">
        <w:t xml:space="preserve">Del sector exportador de pastas alimenticias participan gran cantidad de empresas, entre las que se incluye a elaboradores exclusivos de discos de masa y pastas frescas y elaboradores de pastas secas. En 2016 se exportaron 13.756 toneladas por un valor de U$S 13.761.963. Los principales destinos </w:t>
      </w:r>
    </w:p>
    <w:p w14:paraId="1E926257" w14:textId="77777777" w:rsidR="00973FDD" w:rsidRPr="00973FDD" w:rsidRDefault="00973FDD" w:rsidP="00973FDD">
      <w:r w:rsidRPr="00973FDD">
        <w:t>de las exportaciones de pastas fueron: Chile, EEUU, Paraguay, Ur</w:t>
      </w:r>
      <w:r w:rsidR="000E7FB9">
        <w:t>uguay, Brasil, España y Angola</w:t>
      </w:r>
      <w:r w:rsidRPr="00973FDD">
        <w:t>.En particular Angola, un mercado importante para el sector pasó de 17 mil toneladas en 2011 a 343 en 2015, acumulando una caída del 98%. Esta industria compite con proveedores comercialmente agresivos y subsidiados, que sumado a factores internos restaron competitividad al sector en los últimos años, lo que resultó en una considerable merma de sus exportaciones llegando a ser prácticamente nulas y un exceso de oferta disponible para el mercado local a causa de la impo</w:t>
      </w:r>
      <w:r>
        <w:t>sibilidad para exportar. En 201</w:t>
      </w:r>
      <w:r w:rsidR="000E7FB9">
        <w:t>5</w:t>
      </w:r>
      <w:r w:rsidRPr="00973FDD">
        <w:t xml:space="preserve"> éstas llegaron a 2,8 mil toneladas, cuando en 2011 eran de 49 mil toneladas (-94%). </w:t>
      </w:r>
    </w:p>
    <w:p w14:paraId="70D35C06" w14:textId="77777777" w:rsidR="00973FDD" w:rsidRPr="00973FDD" w:rsidRDefault="00973FDD" w:rsidP="00973FDD"/>
    <w:p w14:paraId="777E49C3" w14:textId="77777777" w:rsidR="00973FDD" w:rsidRDefault="00973FDD" w:rsidP="00F34D4F"/>
    <w:p w14:paraId="42E0BA25" w14:textId="77777777" w:rsidR="00973FDD" w:rsidRDefault="00973FDD" w:rsidP="00F34D4F">
      <w:r>
        <w:t>5) El arancel que alcanza a la importacion de pastas alimentcias es del 16%</w:t>
      </w:r>
    </w:p>
    <w:p w14:paraId="42520478" w14:textId="77777777" w:rsidR="00957F3D" w:rsidRDefault="00F34D4F" w:rsidP="00F34D4F">
      <w:r>
        <w:t>6) Las importaciones de pastas secas y largas en e año 2017 en argentina fueron de 9kg per capita anual. Sin embargo, este valor disminuyo a comparación con el año pasado ya que hubo un incremento en el precio y tuvieron una gran pérdida de clientes</w:t>
      </w:r>
    </w:p>
    <w:p w14:paraId="5F824011" w14:textId="77777777" w:rsidR="000E7FB9" w:rsidRDefault="000E7FB9" w:rsidP="00F34D4F">
      <w:hyperlink r:id="rId8" w:history="1">
        <w:r w:rsidRPr="00B4727B">
          <w:rPr>
            <w:rStyle w:val="Hipervnculo"/>
          </w:rPr>
          <w:t>http://www.agroindustria.gob.ar/sitio/areas/ss_mercados_agropecuarios/apertura_de_mercados/analisis_foda/_archivos/000105_Farináceos%20-%202017.pdf</w:t>
        </w:r>
      </w:hyperlink>
      <w:r>
        <w:t xml:space="preserve"> </w:t>
      </w:r>
      <w:bookmarkStart w:id="0" w:name="_GoBack"/>
      <w:bookmarkEnd w:id="0"/>
    </w:p>
    <w:sectPr w:rsidR="000E7FB9" w:rsidSect="004870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90AA3"/>
    <w:multiLevelType w:val="hybridMultilevel"/>
    <w:tmpl w:val="958451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5D"/>
    <w:rsid w:val="000E7FB9"/>
    <w:rsid w:val="0018525B"/>
    <w:rsid w:val="00284360"/>
    <w:rsid w:val="003018E1"/>
    <w:rsid w:val="00487086"/>
    <w:rsid w:val="008C0E5D"/>
    <w:rsid w:val="00957F3D"/>
    <w:rsid w:val="00973FDD"/>
    <w:rsid w:val="00DE7576"/>
    <w:rsid w:val="00F34D4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2B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08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C0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E7576"/>
    <w:pPr>
      <w:ind w:left="720"/>
      <w:contextualSpacing/>
    </w:pPr>
  </w:style>
  <w:style w:type="paragraph" w:styleId="Textodeglobo">
    <w:name w:val="Balloon Text"/>
    <w:basedOn w:val="Normal"/>
    <w:link w:val="TextodegloboCar"/>
    <w:uiPriority w:val="99"/>
    <w:semiHidden/>
    <w:unhideWhenUsed/>
    <w:rsid w:val="00957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7F3D"/>
    <w:rPr>
      <w:rFonts w:ascii="Tahoma" w:hAnsi="Tahoma" w:cs="Tahoma"/>
      <w:sz w:val="16"/>
      <w:szCs w:val="16"/>
    </w:rPr>
  </w:style>
  <w:style w:type="character" w:customStyle="1" w:styleId="apple-converted-space">
    <w:name w:val="apple-converted-space"/>
    <w:basedOn w:val="Fuentedeprrafopredeter"/>
    <w:rsid w:val="00957F3D"/>
  </w:style>
  <w:style w:type="paragraph" w:styleId="NormalWeb">
    <w:name w:val="Normal (Web)"/>
    <w:basedOn w:val="Normal"/>
    <w:uiPriority w:val="99"/>
    <w:semiHidden/>
    <w:unhideWhenUsed/>
    <w:rsid w:val="00973FDD"/>
    <w:rPr>
      <w:rFonts w:ascii="Times New Roman" w:hAnsi="Times New Roman" w:cs="Times New Roman"/>
      <w:sz w:val="24"/>
      <w:szCs w:val="24"/>
    </w:rPr>
  </w:style>
  <w:style w:type="character" w:styleId="Hipervnculo">
    <w:name w:val="Hyperlink"/>
    <w:basedOn w:val="Fuentedeprrafopredeter"/>
    <w:uiPriority w:val="99"/>
    <w:unhideWhenUsed/>
    <w:rsid w:val="000E7FB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08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C0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E7576"/>
    <w:pPr>
      <w:ind w:left="720"/>
      <w:contextualSpacing/>
    </w:pPr>
  </w:style>
  <w:style w:type="paragraph" w:styleId="Textodeglobo">
    <w:name w:val="Balloon Text"/>
    <w:basedOn w:val="Normal"/>
    <w:link w:val="TextodegloboCar"/>
    <w:uiPriority w:val="99"/>
    <w:semiHidden/>
    <w:unhideWhenUsed/>
    <w:rsid w:val="00957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7F3D"/>
    <w:rPr>
      <w:rFonts w:ascii="Tahoma" w:hAnsi="Tahoma" w:cs="Tahoma"/>
      <w:sz w:val="16"/>
      <w:szCs w:val="16"/>
    </w:rPr>
  </w:style>
  <w:style w:type="character" w:customStyle="1" w:styleId="apple-converted-space">
    <w:name w:val="apple-converted-space"/>
    <w:basedOn w:val="Fuentedeprrafopredeter"/>
    <w:rsid w:val="00957F3D"/>
  </w:style>
  <w:style w:type="paragraph" w:styleId="NormalWeb">
    <w:name w:val="Normal (Web)"/>
    <w:basedOn w:val="Normal"/>
    <w:uiPriority w:val="99"/>
    <w:semiHidden/>
    <w:unhideWhenUsed/>
    <w:rsid w:val="00973FDD"/>
    <w:rPr>
      <w:rFonts w:ascii="Times New Roman" w:hAnsi="Times New Roman" w:cs="Times New Roman"/>
      <w:sz w:val="24"/>
      <w:szCs w:val="24"/>
    </w:rPr>
  </w:style>
  <w:style w:type="character" w:styleId="Hipervnculo">
    <w:name w:val="Hyperlink"/>
    <w:basedOn w:val="Fuentedeprrafopredeter"/>
    <w:uiPriority w:val="99"/>
    <w:unhideWhenUsed/>
    <w:rsid w:val="000E7F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55990">
      <w:bodyDiv w:val="1"/>
      <w:marLeft w:val="0"/>
      <w:marRight w:val="0"/>
      <w:marTop w:val="0"/>
      <w:marBottom w:val="0"/>
      <w:divBdr>
        <w:top w:val="none" w:sz="0" w:space="0" w:color="auto"/>
        <w:left w:val="none" w:sz="0" w:space="0" w:color="auto"/>
        <w:bottom w:val="none" w:sz="0" w:space="0" w:color="auto"/>
        <w:right w:val="none" w:sz="0" w:space="0" w:color="auto"/>
      </w:divBdr>
      <w:divsChild>
        <w:div w:id="889726340">
          <w:marLeft w:val="0"/>
          <w:marRight w:val="0"/>
          <w:marTop w:val="0"/>
          <w:marBottom w:val="0"/>
          <w:divBdr>
            <w:top w:val="none" w:sz="0" w:space="0" w:color="auto"/>
            <w:left w:val="none" w:sz="0" w:space="0" w:color="auto"/>
            <w:bottom w:val="none" w:sz="0" w:space="0" w:color="auto"/>
            <w:right w:val="none" w:sz="0" w:space="0" w:color="auto"/>
          </w:divBdr>
          <w:divsChild>
            <w:div w:id="379330122">
              <w:marLeft w:val="0"/>
              <w:marRight w:val="0"/>
              <w:marTop w:val="0"/>
              <w:marBottom w:val="0"/>
              <w:divBdr>
                <w:top w:val="none" w:sz="0" w:space="0" w:color="auto"/>
                <w:left w:val="none" w:sz="0" w:space="0" w:color="auto"/>
                <w:bottom w:val="none" w:sz="0" w:space="0" w:color="auto"/>
                <w:right w:val="none" w:sz="0" w:space="0" w:color="auto"/>
              </w:divBdr>
              <w:divsChild>
                <w:div w:id="1047265971">
                  <w:marLeft w:val="0"/>
                  <w:marRight w:val="0"/>
                  <w:marTop w:val="0"/>
                  <w:marBottom w:val="0"/>
                  <w:divBdr>
                    <w:top w:val="none" w:sz="0" w:space="0" w:color="auto"/>
                    <w:left w:val="none" w:sz="0" w:space="0" w:color="auto"/>
                    <w:bottom w:val="none" w:sz="0" w:space="0" w:color="auto"/>
                    <w:right w:val="none" w:sz="0" w:space="0" w:color="auto"/>
                  </w:divBdr>
                  <w:divsChild>
                    <w:div w:id="7044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1136">
              <w:marLeft w:val="0"/>
              <w:marRight w:val="0"/>
              <w:marTop w:val="0"/>
              <w:marBottom w:val="0"/>
              <w:divBdr>
                <w:top w:val="none" w:sz="0" w:space="0" w:color="auto"/>
                <w:left w:val="none" w:sz="0" w:space="0" w:color="auto"/>
                <w:bottom w:val="none" w:sz="0" w:space="0" w:color="auto"/>
                <w:right w:val="none" w:sz="0" w:space="0" w:color="auto"/>
              </w:divBdr>
              <w:divsChild>
                <w:div w:id="757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1981">
          <w:marLeft w:val="0"/>
          <w:marRight w:val="0"/>
          <w:marTop w:val="0"/>
          <w:marBottom w:val="0"/>
          <w:divBdr>
            <w:top w:val="none" w:sz="0" w:space="0" w:color="auto"/>
            <w:left w:val="none" w:sz="0" w:space="0" w:color="auto"/>
            <w:bottom w:val="none" w:sz="0" w:space="0" w:color="auto"/>
            <w:right w:val="none" w:sz="0" w:space="0" w:color="auto"/>
          </w:divBdr>
          <w:divsChild>
            <w:div w:id="1753313679">
              <w:marLeft w:val="0"/>
              <w:marRight w:val="0"/>
              <w:marTop w:val="0"/>
              <w:marBottom w:val="0"/>
              <w:divBdr>
                <w:top w:val="none" w:sz="0" w:space="0" w:color="auto"/>
                <w:left w:val="none" w:sz="0" w:space="0" w:color="auto"/>
                <w:bottom w:val="none" w:sz="0" w:space="0" w:color="auto"/>
                <w:right w:val="none" w:sz="0" w:space="0" w:color="auto"/>
              </w:divBdr>
              <w:divsChild>
                <w:div w:id="1111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1058">
      <w:bodyDiv w:val="1"/>
      <w:marLeft w:val="0"/>
      <w:marRight w:val="0"/>
      <w:marTop w:val="0"/>
      <w:marBottom w:val="0"/>
      <w:divBdr>
        <w:top w:val="none" w:sz="0" w:space="0" w:color="auto"/>
        <w:left w:val="none" w:sz="0" w:space="0" w:color="auto"/>
        <w:bottom w:val="none" w:sz="0" w:space="0" w:color="auto"/>
        <w:right w:val="none" w:sz="0" w:space="0" w:color="auto"/>
      </w:divBdr>
      <w:divsChild>
        <w:div w:id="1077169144">
          <w:marLeft w:val="0"/>
          <w:marRight w:val="0"/>
          <w:marTop w:val="0"/>
          <w:marBottom w:val="0"/>
          <w:divBdr>
            <w:top w:val="none" w:sz="0" w:space="0" w:color="auto"/>
            <w:left w:val="none" w:sz="0" w:space="0" w:color="auto"/>
            <w:bottom w:val="none" w:sz="0" w:space="0" w:color="auto"/>
            <w:right w:val="none" w:sz="0" w:space="0" w:color="auto"/>
          </w:divBdr>
          <w:divsChild>
            <w:div w:id="458695027">
              <w:marLeft w:val="0"/>
              <w:marRight w:val="0"/>
              <w:marTop w:val="0"/>
              <w:marBottom w:val="0"/>
              <w:divBdr>
                <w:top w:val="none" w:sz="0" w:space="0" w:color="auto"/>
                <w:left w:val="none" w:sz="0" w:space="0" w:color="auto"/>
                <w:bottom w:val="none" w:sz="0" w:space="0" w:color="auto"/>
                <w:right w:val="none" w:sz="0" w:space="0" w:color="auto"/>
              </w:divBdr>
              <w:divsChild>
                <w:div w:id="1854027604">
                  <w:marLeft w:val="0"/>
                  <w:marRight w:val="0"/>
                  <w:marTop w:val="0"/>
                  <w:marBottom w:val="0"/>
                  <w:divBdr>
                    <w:top w:val="none" w:sz="0" w:space="0" w:color="auto"/>
                    <w:left w:val="none" w:sz="0" w:space="0" w:color="auto"/>
                    <w:bottom w:val="none" w:sz="0" w:space="0" w:color="auto"/>
                    <w:right w:val="none" w:sz="0" w:space="0" w:color="auto"/>
                  </w:divBdr>
                  <w:divsChild>
                    <w:div w:id="382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6352">
              <w:marLeft w:val="0"/>
              <w:marRight w:val="0"/>
              <w:marTop w:val="0"/>
              <w:marBottom w:val="0"/>
              <w:divBdr>
                <w:top w:val="none" w:sz="0" w:space="0" w:color="auto"/>
                <w:left w:val="none" w:sz="0" w:space="0" w:color="auto"/>
                <w:bottom w:val="none" w:sz="0" w:space="0" w:color="auto"/>
                <w:right w:val="none" w:sz="0" w:space="0" w:color="auto"/>
              </w:divBdr>
              <w:divsChild>
                <w:div w:id="12081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132">
          <w:marLeft w:val="0"/>
          <w:marRight w:val="0"/>
          <w:marTop w:val="0"/>
          <w:marBottom w:val="0"/>
          <w:divBdr>
            <w:top w:val="none" w:sz="0" w:space="0" w:color="auto"/>
            <w:left w:val="none" w:sz="0" w:space="0" w:color="auto"/>
            <w:bottom w:val="none" w:sz="0" w:space="0" w:color="auto"/>
            <w:right w:val="none" w:sz="0" w:space="0" w:color="auto"/>
          </w:divBdr>
          <w:divsChild>
            <w:div w:id="171454394">
              <w:marLeft w:val="0"/>
              <w:marRight w:val="0"/>
              <w:marTop w:val="0"/>
              <w:marBottom w:val="0"/>
              <w:divBdr>
                <w:top w:val="none" w:sz="0" w:space="0" w:color="auto"/>
                <w:left w:val="none" w:sz="0" w:space="0" w:color="auto"/>
                <w:bottom w:val="none" w:sz="0" w:space="0" w:color="auto"/>
                <w:right w:val="none" w:sz="0" w:space="0" w:color="auto"/>
              </w:divBdr>
              <w:divsChild>
                <w:div w:id="20216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5726">
      <w:bodyDiv w:val="1"/>
      <w:marLeft w:val="0"/>
      <w:marRight w:val="0"/>
      <w:marTop w:val="0"/>
      <w:marBottom w:val="0"/>
      <w:divBdr>
        <w:top w:val="none" w:sz="0" w:space="0" w:color="auto"/>
        <w:left w:val="none" w:sz="0" w:space="0" w:color="auto"/>
        <w:bottom w:val="none" w:sz="0" w:space="0" w:color="auto"/>
        <w:right w:val="none" w:sz="0" w:space="0" w:color="auto"/>
      </w:divBdr>
      <w:divsChild>
        <w:div w:id="284505775">
          <w:marLeft w:val="0"/>
          <w:marRight w:val="0"/>
          <w:marTop w:val="0"/>
          <w:marBottom w:val="0"/>
          <w:divBdr>
            <w:top w:val="none" w:sz="0" w:space="0" w:color="auto"/>
            <w:left w:val="none" w:sz="0" w:space="0" w:color="auto"/>
            <w:bottom w:val="none" w:sz="0" w:space="0" w:color="auto"/>
            <w:right w:val="none" w:sz="0" w:space="0" w:color="auto"/>
          </w:divBdr>
          <w:divsChild>
            <w:div w:id="754403864">
              <w:marLeft w:val="0"/>
              <w:marRight w:val="0"/>
              <w:marTop w:val="0"/>
              <w:marBottom w:val="0"/>
              <w:divBdr>
                <w:top w:val="none" w:sz="0" w:space="0" w:color="auto"/>
                <w:left w:val="none" w:sz="0" w:space="0" w:color="auto"/>
                <w:bottom w:val="none" w:sz="0" w:space="0" w:color="auto"/>
                <w:right w:val="none" w:sz="0" w:space="0" w:color="auto"/>
              </w:divBdr>
              <w:divsChild>
                <w:div w:id="60639919">
                  <w:marLeft w:val="0"/>
                  <w:marRight w:val="0"/>
                  <w:marTop w:val="0"/>
                  <w:marBottom w:val="0"/>
                  <w:divBdr>
                    <w:top w:val="none" w:sz="0" w:space="0" w:color="auto"/>
                    <w:left w:val="none" w:sz="0" w:space="0" w:color="auto"/>
                    <w:bottom w:val="none" w:sz="0" w:space="0" w:color="auto"/>
                    <w:right w:val="none" w:sz="0" w:space="0" w:color="auto"/>
                  </w:divBdr>
                  <w:divsChild>
                    <w:div w:id="3772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07881">
              <w:marLeft w:val="0"/>
              <w:marRight w:val="0"/>
              <w:marTop w:val="0"/>
              <w:marBottom w:val="0"/>
              <w:divBdr>
                <w:top w:val="none" w:sz="0" w:space="0" w:color="auto"/>
                <w:left w:val="none" w:sz="0" w:space="0" w:color="auto"/>
                <w:bottom w:val="none" w:sz="0" w:space="0" w:color="auto"/>
                <w:right w:val="none" w:sz="0" w:space="0" w:color="auto"/>
              </w:divBdr>
              <w:divsChild>
                <w:div w:id="6088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4969">
          <w:marLeft w:val="0"/>
          <w:marRight w:val="0"/>
          <w:marTop w:val="0"/>
          <w:marBottom w:val="0"/>
          <w:divBdr>
            <w:top w:val="none" w:sz="0" w:space="0" w:color="auto"/>
            <w:left w:val="none" w:sz="0" w:space="0" w:color="auto"/>
            <w:bottom w:val="none" w:sz="0" w:space="0" w:color="auto"/>
            <w:right w:val="none" w:sz="0" w:space="0" w:color="auto"/>
          </w:divBdr>
          <w:divsChild>
            <w:div w:id="1032532351">
              <w:marLeft w:val="0"/>
              <w:marRight w:val="0"/>
              <w:marTop w:val="0"/>
              <w:marBottom w:val="0"/>
              <w:divBdr>
                <w:top w:val="none" w:sz="0" w:space="0" w:color="auto"/>
                <w:left w:val="none" w:sz="0" w:space="0" w:color="auto"/>
                <w:bottom w:val="none" w:sz="0" w:space="0" w:color="auto"/>
                <w:right w:val="none" w:sz="0" w:space="0" w:color="auto"/>
              </w:divBdr>
              <w:divsChild>
                <w:div w:id="20813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7385">
      <w:bodyDiv w:val="1"/>
      <w:marLeft w:val="0"/>
      <w:marRight w:val="0"/>
      <w:marTop w:val="0"/>
      <w:marBottom w:val="0"/>
      <w:divBdr>
        <w:top w:val="none" w:sz="0" w:space="0" w:color="auto"/>
        <w:left w:val="none" w:sz="0" w:space="0" w:color="auto"/>
        <w:bottom w:val="none" w:sz="0" w:space="0" w:color="auto"/>
        <w:right w:val="none" w:sz="0" w:space="0" w:color="auto"/>
      </w:divBdr>
    </w:div>
    <w:div w:id="184562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image" Target="media/image1.jpeg"/><Relationship Id="rId8" Type="http://schemas.openxmlformats.org/officeDocument/2006/relationships/hyperlink" Target="http://www.agroindustria.gob.ar/sitio/areas/ss_mercados_agropecuarios/apertura_de_mercados/analisis_foda/_archivos/000105_Farin&#225;ceos%20-%202017.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u802\Desktop\operativa%20co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EXPORTACION</a:t>
            </a:r>
            <a:r>
              <a:rPr lang="es-AR" baseline="0"/>
              <a:t> DE PASTAS</a:t>
            </a:r>
            <a:endParaRPr lang="es-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Pastas!$A$5:$A$9</c:f>
              <c:strCache>
                <c:ptCount val="5"/>
                <c:pt idx="0">
                  <c:v>Chile</c:v>
                </c:pt>
                <c:pt idx="1">
                  <c:v>Uruguay</c:v>
                </c:pt>
                <c:pt idx="2">
                  <c:v>Paraguay</c:v>
                </c:pt>
                <c:pt idx="3">
                  <c:v>Estados Unidos de América</c:v>
                </c:pt>
                <c:pt idx="4">
                  <c:v>Brasil</c:v>
                </c:pt>
              </c:strCache>
            </c:strRef>
          </c:cat>
          <c:val>
            <c:numRef>
              <c:f>Pastas!$B$5:$B$9</c:f>
              <c:numCache>
                <c:formatCode>General</c:formatCode>
                <c:ptCount val="5"/>
                <c:pt idx="0">
                  <c:v>2436.0</c:v>
                </c:pt>
                <c:pt idx="1">
                  <c:v>1370.0</c:v>
                </c:pt>
                <c:pt idx="2">
                  <c:v>1343.0</c:v>
                </c:pt>
                <c:pt idx="3">
                  <c:v>408.0</c:v>
                </c:pt>
                <c:pt idx="4">
                  <c:v>761.0</c:v>
                </c:pt>
              </c:numCache>
            </c:numRef>
          </c:val>
          <c:extLst xmlns:c16r2="http://schemas.microsoft.com/office/drawing/2015/06/chart">
            <c:ext xmlns:c16="http://schemas.microsoft.com/office/drawing/2014/chart" uri="{C3380CC4-5D6E-409C-BE32-E72D297353CC}">
              <c16:uniqueId val="{00000000-6842-47DF-B2F0-A4BA10941EA5}"/>
            </c:ext>
          </c:extLst>
        </c:ser>
        <c:ser>
          <c:idx val="1"/>
          <c:order val="1"/>
          <c:spPr>
            <a:solidFill>
              <a:schemeClr val="accent2"/>
            </a:solidFill>
            <a:ln>
              <a:noFill/>
            </a:ln>
            <a:effectLst/>
          </c:spPr>
          <c:invertIfNegative val="0"/>
          <c:cat>
            <c:strRef>
              <c:f>Pastas!$A$5:$A$9</c:f>
              <c:strCache>
                <c:ptCount val="5"/>
                <c:pt idx="0">
                  <c:v>Chile</c:v>
                </c:pt>
                <c:pt idx="1">
                  <c:v>Uruguay</c:v>
                </c:pt>
                <c:pt idx="2">
                  <c:v>Paraguay</c:v>
                </c:pt>
                <c:pt idx="3">
                  <c:v>Estados Unidos de América</c:v>
                </c:pt>
                <c:pt idx="4">
                  <c:v>Brasil</c:v>
                </c:pt>
              </c:strCache>
            </c:strRef>
          </c:cat>
          <c:val>
            <c:numRef>
              <c:f>Pastas!$C$5:$C$9</c:f>
              <c:numCache>
                <c:formatCode>General</c:formatCode>
                <c:ptCount val="5"/>
                <c:pt idx="0">
                  <c:v>1724.0</c:v>
                </c:pt>
                <c:pt idx="1">
                  <c:v>1350.0</c:v>
                </c:pt>
                <c:pt idx="2">
                  <c:v>1376.0</c:v>
                </c:pt>
                <c:pt idx="3">
                  <c:v>247.0</c:v>
                </c:pt>
                <c:pt idx="4">
                  <c:v>744.0</c:v>
                </c:pt>
              </c:numCache>
            </c:numRef>
          </c:val>
          <c:extLst xmlns:c16r2="http://schemas.microsoft.com/office/drawing/2015/06/chart">
            <c:ext xmlns:c16="http://schemas.microsoft.com/office/drawing/2014/chart" uri="{C3380CC4-5D6E-409C-BE32-E72D297353CC}">
              <c16:uniqueId val="{00000001-6842-47DF-B2F0-A4BA10941EA5}"/>
            </c:ext>
          </c:extLst>
        </c:ser>
        <c:ser>
          <c:idx val="2"/>
          <c:order val="2"/>
          <c:spPr>
            <a:solidFill>
              <a:schemeClr val="accent3"/>
            </a:solidFill>
            <a:ln>
              <a:noFill/>
            </a:ln>
            <a:effectLst/>
          </c:spPr>
          <c:invertIfNegative val="0"/>
          <c:cat>
            <c:strRef>
              <c:f>Pastas!$A$5:$A$9</c:f>
              <c:strCache>
                <c:ptCount val="5"/>
                <c:pt idx="0">
                  <c:v>Chile</c:v>
                </c:pt>
                <c:pt idx="1">
                  <c:v>Uruguay</c:v>
                </c:pt>
                <c:pt idx="2">
                  <c:v>Paraguay</c:v>
                </c:pt>
                <c:pt idx="3">
                  <c:v>Estados Unidos de América</c:v>
                </c:pt>
                <c:pt idx="4">
                  <c:v>Brasil</c:v>
                </c:pt>
              </c:strCache>
            </c:strRef>
          </c:cat>
          <c:val>
            <c:numRef>
              <c:f>Pastas!$D$5:$D$9</c:f>
              <c:numCache>
                <c:formatCode>General</c:formatCode>
                <c:ptCount val="5"/>
                <c:pt idx="0">
                  <c:v>1009.0</c:v>
                </c:pt>
                <c:pt idx="1">
                  <c:v>1218.0</c:v>
                </c:pt>
                <c:pt idx="2">
                  <c:v>1866.0</c:v>
                </c:pt>
                <c:pt idx="3">
                  <c:v>203.0</c:v>
                </c:pt>
                <c:pt idx="4">
                  <c:v>724.0</c:v>
                </c:pt>
              </c:numCache>
            </c:numRef>
          </c:val>
          <c:extLst xmlns:c16r2="http://schemas.microsoft.com/office/drawing/2015/06/chart">
            <c:ext xmlns:c16="http://schemas.microsoft.com/office/drawing/2014/chart" uri="{C3380CC4-5D6E-409C-BE32-E72D297353CC}">
              <c16:uniqueId val="{00000002-6842-47DF-B2F0-A4BA10941EA5}"/>
            </c:ext>
          </c:extLst>
        </c:ser>
        <c:ser>
          <c:idx val="3"/>
          <c:order val="3"/>
          <c:spPr>
            <a:solidFill>
              <a:schemeClr val="accent4"/>
            </a:solidFill>
            <a:ln>
              <a:noFill/>
            </a:ln>
            <a:effectLst/>
          </c:spPr>
          <c:invertIfNegative val="0"/>
          <c:cat>
            <c:strRef>
              <c:f>Pastas!$A$5:$A$9</c:f>
              <c:strCache>
                <c:ptCount val="5"/>
                <c:pt idx="0">
                  <c:v>Chile</c:v>
                </c:pt>
                <c:pt idx="1">
                  <c:v>Uruguay</c:v>
                </c:pt>
                <c:pt idx="2">
                  <c:v>Paraguay</c:v>
                </c:pt>
                <c:pt idx="3">
                  <c:v>Estados Unidos de América</c:v>
                </c:pt>
                <c:pt idx="4">
                  <c:v>Brasil</c:v>
                </c:pt>
              </c:strCache>
            </c:strRef>
          </c:cat>
          <c:val>
            <c:numRef>
              <c:f>Pastas!$E$5:$E$9</c:f>
              <c:numCache>
                <c:formatCode>General</c:formatCode>
                <c:ptCount val="5"/>
                <c:pt idx="0">
                  <c:v>1115.0</c:v>
                </c:pt>
                <c:pt idx="1">
                  <c:v>977.0</c:v>
                </c:pt>
                <c:pt idx="2">
                  <c:v>1379.0</c:v>
                </c:pt>
                <c:pt idx="3">
                  <c:v>257.0</c:v>
                </c:pt>
                <c:pt idx="4">
                  <c:v>356.0</c:v>
                </c:pt>
              </c:numCache>
            </c:numRef>
          </c:val>
          <c:extLst xmlns:c16r2="http://schemas.microsoft.com/office/drawing/2015/06/chart">
            <c:ext xmlns:c16="http://schemas.microsoft.com/office/drawing/2014/chart" uri="{C3380CC4-5D6E-409C-BE32-E72D297353CC}">
              <c16:uniqueId val="{00000003-6842-47DF-B2F0-A4BA10941EA5}"/>
            </c:ext>
          </c:extLst>
        </c:ser>
        <c:ser>
          <c:idx val="4"/>
          <c:order val="4"/>
          <c:spPr>
            <a:solidFill>
              <a:schemeClr val="accent5"/>
            </a:solidFill>
            <a:ln>
              <a:noFill/>
            </a:ln>
            <a:effectLst/>
          </c:spPr>
          <c:invertIfNegative val="0"/>
          <c:cat>
            <c:strRef>
              <c:f>Pastas!$A$5:$A$9</c:f>
              <c:strCache>
                <c:ptCount val="5"/>
                <c:pt idx="0">
                  <c:v>Chile</c:v>
                </c:pt>
                <c:pt idx="1">
                  <c:v>Uruguay</c:v>
                </c:pt>
                <c:pt idx="2">
                  <c:v>Paraguay</c:v>
                </c:pt>
                <c:pt idx="3">
                  <c:v>Estados Unidos de América</c:v>
                </c:pt>
                <c:pt idx="4">
                  <c:v>Brasil</c:v>
                </c:pt>
              </c:strCache>
            </c:strRef>
          </c:cat>
          <c:val>
            <c:numRef>
              <c:f>Pastas!$F$5:$F$9</c:f>
              <c:numCache>
                <c:formatCode>General</c:formatCode>
                <c:ptCount val="5"/>
                <c:pt idx="0">
                  <c:v>3817.0</c:v>
                </c:pt>
                <c:pt idx="1">
                  <c:v>1491.0</c:v>
                </c:pt>
                <c:pt idx="2">
                  <c:v>1420.0</c:v>
                </c:pt>
                <c:pt idx="3">
                  <c:v>1474.0</c:v>
                </c:pt>
                <c:pt idx="4">
                  <c:v>528.0</c:v>
                </c:pt>
              </c:numCache>
            </c:numRef>
          </c:val>
          <c:extLst xmlns:c16r2="http://schemas.microsoft.com/office/drawing/2015/06/chart">
            <c:ext xmlns:c16="http://schemas.microsoft.com/office/drawing/2014/chart" uri="{C3380CC4-5D6E-409C-BE32-E72D297353CC}">
              <c16:uniqueId val="{00000004-6842-47DF-B2F0-A4BA10941EA5}"/>
            </c:ext>
          </c:extLst>
        </c:ser>
        <c:dLbls>
          <c:showLegendKey val="0"/>
          <c:showVal val="0"/>
          <c:showCatName val="0"/>
          <c:showSerName val="0"/>
          <c:showPercent val="0"/>
          <c:showBubbleSize val="0"/>
        </c:dLbls>
        <c:gapWidth val="219"/>
        <c:overlap val="-27"/>
        <c:axId val="2130562360"/>
        <c:axId val="2130566056"/>
      </c:barChart>
      <c:catAx>
        <c:axId val="2130562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30566056"/>
        <c:crosses val="autoZero"/>
        <c:auto val="1"/>
        <c:lblAlgn val="ctr"/>
        <c:lblOffset val="100"/>
        <c:noMultiLvlLbl val="0"/>
      </c:catAx>
      <c:valAx>
        <c:axId val="2130566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305623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908</Words>
  <Characters>4997</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alu601</dc:creator>
  <cp:lastModifiedBy>Martín Levy</cp:lastModifiedBy>
  <cp:revision>2</cp:revision>
  <dcterms:created xsi:type="dcterms:W3CDTF">2018-04-03T02:37:00Z</dcterms:created>
  <dcterms:modified xsi:type="dcterms:W3CDTF">2018-04-03T02:37:00Z</dcterms:modified>
</cp:coreProperties>
</file>