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F77" w14:textId="6CC213E6" w:rsidR="00A34520" w:rsidRPr="00231860" w:rsidRDefault="0069176A" w:rsidP="00330C88">
      <w:pPr>
        <w:pStyle w:val="DocHead"/>
        <w:spacing w:before="0" w:line="240" w:lineRule="exact"/>
        <w:ind w:left="-119" w:right="-136" w:firstLine="119"/>
        <w:rPr>
          <w:lang w:val="en-IE"/>
        </w:rPr>
      </w:pPr>
      <w:r w:rsidRPr="00231860">
        <w:rPr>
          <w:lang w:val="en-IE"/>
        </w:rPr>
        <w:t>Continual Assessment (20</w:t>
      </w:r>
      <w:r w:rsidR="009D4B1A">
        <w:rPr>
          <w:lang w:val="en-IE"/>
        </w:rPr>
        <w:t>25</w:t>
      </w:r>
      <w:r w:rsidR="00A34520" w:rsidRPr="00231860">
        <w:rPr>
          <w:lang w:val="en-IE"/>
        </w:rPr>
        <w:t>)</w:t>
      </w:r>
    </w:p>
    <w:p w14:paraId="4B6892EE" w14:textId="36F21D87" w:rsidR="00A34520" w:rsidRPr="00231860" w:rsidRDefault="009D4B1A" w:rsidP="00330C88">
      <w:pPr>
        <w:pStyle w:val="Els-Title"/>
        <w:rPr>
          <w:lang w:val="en-IE"/>
        </w:rPr>
      </w:pPr>
      <w:r w:rsidRPr="009D4B1A">
        <w:rPr>
          <w:lang w:val="en-IE"/>
        </w:rPr>
        <w:t>A Data-Driven Evaluation of Czech Regions: Integrating Housing Costs, Crime Rates, and Salaries Through the CRISP-DM Framework</w:t>
      </w:r>
    </w:p>
    <w:p w14:paraId="05D9811E" w14:textId="371F6766" w:rsidR="00A34520" w:rsidRDefault="009D4B1A" w:rsidP="00330C88">
      <w:pPr>
        <w:pStyle w:val="Els-Author"/>
        <w:ind w:right="2"/>
        <w:rPr>
          <w:noProof w:val="0"/>
          <w:lang w:val="en-IE"/>
        </w:rPr>
      </w:pPr>
      <w:r>
        <w:rPr>
          <w:noProof w:val="0"/>
          <w:lang w:val="en-IE"/>
        </w:rPr>
        <w:t>Martin Mega</w:t>
      </w:r>
    </w:p>
    <w:p w14:paraId="62F7F20E" w14:textId="483D7C60" w:rsidR="009D4B1A" w:rsidRPr="009D4B1A" w:rsidRDefault="009D4B1A" w:rsidP="009D4B1A">
      <w:pPr>
        <w:jc w:val="center"/>
        <w:rPr>
          <w:i/>
          <w:iCs/>
          <w:sz w:val="16"/>
          <w:szCs w:val="16"/>
        </w:rPr>
      </w:pPr>
      <w:r w:rsidRPr="009D4B1A">
        <w:rPr>
          <w:i/>
          <w:iCs/>
          <w:sz w:val="16"/>
          <w:szCs w:val="16"/>
        </w:rPr>
        <w:t>Munster Technological University,</w:t>
      </w:r>
      <w:r w:rsidRPr="009D4B1A">
        <w:rPr>
          <w:i/>
          <w:iCs/>
          <w:sz w:val="16"/>
          <w:szCs w:val="16"/>
        </w:rPr>
        <w:br/>
        <w:t>North Campus, Dromtacker,</w:t>
      </w:r>
      <w:r w:rsidRPr="009D4B1A">
        <w:rPr>
          <w:i/>
          <w:iCs/>
          <w:sz w:val="16"/>
          <w:szCs w:val="16"/>
        </w:rPr>
        <w:br/>
        <w:t>Tralee, Co. Kerry,</w:t>
      </w:r>
      <w:r w:rsidRPr="009D4B1A">
        <w:rPr>
          <w:i/>
          <w:iCs/>
          <w:sz w:val="16"/>
          <w:szCs w:val="16"/>
        </w:rPr>
        <w:br/>
        <w:t>V92 HD4V, Ireland</w:t>
      </w:r>
    </w:p>
    <w:p w14:paraId="0B99076C" w14:textId="77777777" w:rsidR="00A34520" w:rsidRPr="00231860" w:rsidRDefault="00A34520" w:rsidP="00330C88">
      <w:pPr>
        <w:pStyle w:val="Els-Abstract-head"/>
        <w:spacing w:before="200"/>
        <w:rPr>
          <w:lang w:val="en-IE"/>
        </w:rPr>
      </w:pPr>
      <w:r w:rsidRPr="00231860">
        <w:rPr>
          <w:lang w:val="en-IE"/>
        </w:rPr>
        <w:t>Abstract</w:t>
      </w:r>
    </w:p>
    <w:p w14:paraId="1165037E" w14:textId="77777777" w:rsidR="007C391C" w:rsidRPr="00231860" w:rsidRDefault="007C391C" w:rsidP="007C391C">
      <w:pPr>
        <w:pStyle w:val="Els-Abstract-head"/>
        <w:spacing w:before="200"/>
        <w:rPr>
          <w:b w:val="0"/>
          <w:lang w:val="en-IE"/>
        </w:rPr>
      </w:pPr>
      <w:r w:rsidRPr="00231860">
        <w:rPr>
          <w:b w:val="0"/>
          <w:lang w:val="en-IE"/>
        </w:rPr>
        <w:t>This project evaluates which region in the Czech Republic offers the most favourable conditions for purchasing a house or flat. The assessment is based on three key indicators: housing affordability (price per m²), crime levels, and average salary. The aim is to create a transparent and data-driven framework that allows fair comparison across all regions.</w:t>
      </w:r>
    </w:p>
    <w:p w14:paraId="6B43B1DE" w14:textId="77777777" w:rsidR="007C391C" w:rsidRPr="00231860" w:rsidRDefault="007C391C" w:rsidP="007C391C">
      <w:pPr>
        <w:pStyle w:val="Els-Abstract-head"/>
        <w:spacing w:before="200"/>
        <w:rPr>
          <w:b w:val="0"/>
          <w:lang w:val="en-IE"/>
        </w:rPr>
      </w:pPr>
      <w:r w:rsidRPr="00231860">
        <w:rPr>
          <w:b w:val="0"/>
          <w:lang w:val="en-IE"/>
        </w:rPr>
        <w:t>The analysis uses data from 2019–2023 and includes data cleaning, standardisation, and merging of real estate, salary, and crime datasets. A Quality Index is created to measure regional performance, and linear regression is used to forecast future trends up to 2027. This combined approach captures both historical conditions and expected developments.</w:t>
      </w:r>
    </w:p>
    <w:p w14:paraId="1F0B7B3A" w14:textId="77777777" w:rsidR="007C391C" w:rsidRPr="00231860" w:rsidRDefault="007C391C" w:rsidP="007C391C">
      <w:pPr>
        <w:pStyle w:val="Els-Abstract-head"/>
        <w:spacing w:before="200"/>
        <w:rPr>
          <w:b w:val="0"/>
          <w:lang w:val="en-IE"/>
        </w:rPr>
      </w:pPr>
      <w:r w:rsidRPr="00231860">
        <w:rPr>
          <w:b w:val="0"/>
          <w:lang w:val="en-IE"/>
        </w:rPr>
        <w:t>The results show that regions originally considered strong—such as Vysočina—do not remain top performers once future trends are included. Forecasts indicate that regions like Ústecký and Plzeňský kraj are expected to achieve a more favourable balance of salaries, housing prices, and crime levels.</w:t>
      </w:r>
    </w:p>
    <w:p w14:paraId="28A1F96B" w14:textId="68EA5071" w:rsidR="007C391C" w:rsidRPr="00231860" w:rsidRDefault="007C391C" w:rsidP="007C391C">
      <w:pPr>
        <w:pStyle w:val="Els-Abstract-head"/>
        <w:spacing w:before="200"/>
        <w:rPr>
          <w:b w:val="0"/>
          <w:lang w:val="en-IE"/>
        </w:rPr>
      </w:pPr>
      <w:r w:rsidRPr="00231860">
        <w:rPr>
          <w:b w:val="0"/>
          <w:lang w:val="en-IE"/>
        </w:rPr>
        <w:t>Overall, the project provides a clear and systematic method for comparing long-term regional housing conditions in the Czech Republic.</w:t>
      </w:r>
    </w:p>
    <w:p w14:paraId="6EB0A960" w14:textId="77777777" w:rsidR="007C391C" w:rsidRPr="00231860" w:rsidRDefault="007C391C" w:rsidP="007C391C"/>
    <w:p w14:paraId="2D6D6295" w14:textId="0C74C913" w:rsidR="00A34520" w:rsidRPr="00231860" w:rsidRDefault="00A34520" w:rsidP="00330C88">
      <w:pPr>
        <w:pStyle w:val="Els-keywords"/>
        <w:rPr>
          <w:noProof w:val="0"/>
          <w:lang w:val="en-IE"/>
        </w:rPr>
      </w:pPr>
      <w:r w:rsidRPr="00231860">
        <w:rPr>
          <w:i/>
          <w:noProof w:val="0"/>
          <w:lang w:val="en-IE"/>
        </w:rPr>
        <w:t>Keywords:</w:t>
      </w:r>
      <w:r w:rsidRPr="00231860">
        <w:rPr>
          <w:noProof w:val="0"/>
          <w:lang w:val="en-IE"/>
        </w:rPr>
        <w:t xml:space="preserve"> </w:t>
      </w:r>
      <w:r w:rsidR="00CA2CDC" w:rsidRPr="00231860">
        <w:rPr>
          <w:noProof w:val="0"/>
          <w:lang w:val="en-IE"/>
        </w:rPr>
        <w:t>regional analysis, housing affordability, crime, salaries, clustering, Czech Republic</w:t>
      </w:r>
    </w:p>
    <w:p w14:paraId="586BBA41" w14:textId="247735CA" w:rsidR="00A34520" w:rsidRPr="00231860" w:rsidRDefault="00505F24" w:rsidP="00330C88">
      <w:pPr>
        <w:pStyle w:val="Els-1storder-head"/>
        <w:rPr>
          <w:lang w:val="en-IE"/>
        </w:rPr>
      </w:pPr>
      <w:r w:rsidRPr="00231860">
        <w:rPr>
          <w:lang w:val="en-IE"/>
        </w:rPr>
        <w:t>Introduction</w:t>
      </w:r>
    </w:p>
    <w:p w14:paraId="7A25CA9F" w14:textId="77777777" w:rsidR="007C391C" w:rsidRPr="00231860" w:rsidRDefault="007C391C" w:rsidP="007C391C">
      <w:pPr>
        <w:pStyle w:val="Els-body-text"/>
        <w:rPr>
          <w:lang w:val="en-IE"/>
        </w:rPr>
      </w:pPr>
    </w:p>
    <w:p w14:paraId="3E45E514" w14:textId="77777777" w:rsidR="007C391C" w:rsidRPr="00231860" w:rsidRDefault="007C391C" w:rsidP="007C391C">
      <w:pPr>
        <w:pStyle w:val="Els-body-text"/>
        <w:rPr>
          <w:lang w:val="en-IE"/>
        </w:rPr>
      </w:pPr>
    </w:p>
    <w:p w14:paraId="3485AD21" w14:textId="30C4FA95" w:rsidR="00231860" w:rsidRPr="00231860" w:rsidRDefault="00231860" w:rsidP="00231860">
      <w:pPr>
        <w:pStyle w:val="Els-body-text"/>
        <w:rPr>
          <w:lang w:val="en-IE"/>
        </w:rPr>
      </w:pPr>
      <w:r w:rsidRPr="00231860">
        <w:rPr>
          <w:lang w:val="en-IE"/>
        </w:rPr>
        <w:t>This paper analyses regional data from the Czech Republic to identify which region offers the most favourable conditions for purchasing a house or flat, based on three measurable indicators: (1) housing affordability (price per m²), (2) crime levels, and (3) average salaries. These factors directly affect the financial and practical aspects of living in each region. The study does not assess overall quality of life, which would require additional variables beyond its scope.</w:t>
      </w:r>
    </w:p>
    <w:p w14:paraId="074F9D57" w14:textId="77777777" w:rsidR="00231860" w:rsidRPr="00231860" w:rsidRDefault="00231860" w:rsidP="00231860">
      <w:pPr>
        <w:pStyle w:val="Els-body-text"/>
        <w:rPr>
          <w:lang w:val="en-IE"/>
        </w:rPr>
      </w:pPr>
      <w:r w:rsidRPr="00231860">
        <w:rPr>
          <w:lang w:val="en-IE"/>
        </w:rPr>
        <w:t>The motivation is to provide individuals—especially newcomers considering relocation to the Czech Republic—with an evidence-based overview of regional differences. The research draws on existing studies that highlight long-term socio-economic disparities among Czech regions.</w:t>
      </w:r>
    </w:p>
    <w:p w14:paraId="1453B79F" w14:textId="77777777" w:rsidR="00231860" w:rsidRPr="00231860" w:rsidRDefault="00231860" w:rsidP="00231860">
      <w:pPr>
        <w:pStyle w:val="Els-body-text"/>
        <w:rPr>
          <w:lang w:val="en-IE"/>
        </w:rPr>
      </w:pPr>
      <w:r w:rsidRPr="00231860">
        <w:rPr>
          <w:lang w:val="en-IE"/>
        </w:rPr>
        <w:t>To address the research question, we apply clustering and regression methods to identify regions that consistently perform well across the selected indicators, using multi-year data to capture both historical patterns and expected developments. The analysis focuses primarily on crime rates, average salaries, and long-term salary trends.</w:t>
      </w:r>
    </w:p>
    <w:p w14:paraId="6AB81E42" w14:textId="77777777" w:rsidR="00231860" w:rsidRPr="00231860" w:rsidRDefault="00231860" w:rsidP="00231860">
      <w:pPr>
        <w:pStyle w:val="Els-body-text"/>
        <w:rPr>
          <w:lang w:val="en-IE"/>
        </w:rPr>
      </w:pPr>
      <w:r w:rsidRPr="00231860">
        <w:rPr>
          <w:lang w:val="en-IE"/>
        </w:rPr>
        <w:lastRenderedPageBreak/>
        <w:t>The main limitations arise from incomplete data, inconsistent formats, and incompatibilities between datasets. Despite these constraints, the study offers a clear, data-driven comparison of Czech regions in terms of housing affordability, safety, and income levels.</w:t>
      </w:r>
    </w:p>
    <w:p w14:paraId="363891AE" w14:textId="77777777" w:rsidR="00C56911" w:rsidRPr="00231860" w:rsidRDefault="00C56911" w:rsidP="00DB7A0F">
      <w:pPr>
        <w:pStyle w:val="Els-body-text"/>
        <w:jc w:val="left"/>
        <w:rPr>
          <w:lang w:val="en-IE"/>
        </w:rPr>
      </w:pPr>
    </w:p>
    <w:p w14:paraId="7C8E799D" w14:textId="77777777" w:rsidR="00290949" w:rsidRPr="00231860" w:rsidRDefault="00290949" w:rsidP="00DB7A0F">
      <w:pPr>
        <w:pStyle w:val="Els-body-text"/>
        <w:jc w:val="left"/>
        <w:rPr>
          <w:lang w:val="en-IE"/>
        </w:rPr>
      </w:pPr>
    </w:p>
    <w:p w14:paraId="192D2582" w14:textId="0BD99B50" w:rsidR="00BB2971" w:rsidRPr="00231860" w:rsidRDefault="00290949" w:rsidP="00C56911">
      <w:pPr>
        <w:pStyle w:val="Els-1storder-head"/>
        <w:rPr>
          <w:lang w:val="en-IE"/>
        </w:rPr>
      </w:pPr>
      <w:r w:rsidRPr="00231860">
        <w:rPr>
          <w:lang w:val="en-IE"/>
        </w:rPr>
        <w:t>Background/Literature Review</w:t>
      </w:r>
    </w:p>
    <w:p w14:paraId="7404BD12" w14:textId="0954A5D1" w:rsidR="00BB2971" w:rsidRPr="00231860" w:rsidRDefault="00BB2971" w:rsidP="00BB2971">
      <w:pPr>
        <w:pStyle w:val="Els-body-text"/>
        <w:ind w:firstLine="0"/>
        <w:rPr>
          <w:lang w:val="en-IE"/>
        </w:rPr>
      </w:pPr>
      <w:r w:rsidRPr="00231860">
        <w:rPr>
          <w:lang w:val="en-IE"/>
        </w:rPr>
        <w:t>2.1</w:t>
      </w:r>
      <w:r w:rsidR="00924BEB" w:rsidRPr="00231860">
        <w:rPr>
          <w:lang w:val="en-IE"/>
        </w:rPr>
        <w:t xml:space="preserve"> Socio-economic and Demographic Differentiation</w:t>
      </w:r>
    </w:p>
    <w:p w14:paraId="5DB16C83" w14:textId="0D247798" w:rsidR="00DB7A0F" w:rsidRPr="00231860" w:rsidRDefault="00DB7A0F" w:rsidP="00BB2971">
      <w:pPr>
        <w:pStyle w:val="Els-body-text"/>
        <w:jc w:val="left"/>
        <w:rPr>
          <w:lang w:val="en-IE"/>
        </w:rPr>
      </w:pPr>
      <w:r w:rsidRPr="00231860">
        <w:rPr>
          <w:lang w:val="en-IE"/>
        </w:rPr>
        <w:t xml:space="preserve">The study </w:t>
      </w:r>
      <w:r w:rsidRPr="00231860">
        <w:rPr>
          <w:i/>
          <w:iCs/>
          <w:lang w:val="en-IE"/>
        </w:rPr>
        <w:t>Analýza regionálních rozdílů v ČR</w:t>
      </w:r>
      <w:r w:rsidRPr="00231860">
        <w:rPr>
          <w:lang w:val="en-IE"/>
        </w:rPr>
        <w:t xml:space="preserve"> provides one of the most </w:t>
      </w:r>
      <w:r w:rsidR="00BB2971" w:rsidRPr="00231860">
        <w:rPr>
          <w:lang w:val="en-IE"/>
        </w:rPr>
        <w:t>comprehensive</w:t>
      </w:r>
      <w:r w:rsidRPr="00231860">
        <w:rPr>
          <w:lang w:val="en-IE"/>
        </w:rPr>
        <w:t xml:space="preserve"> </w:t>
      </w:r>
      <w:r w:rsidR="00BB2971" w:rsidRPr="00231860">
        <w:rPr>
          <w:lang w:val="en-IE"/>
        </w:rPr>
        <w:t>overview</w:t>
      </w:r>
      <w:r w:rsidRPr="00231860">
        <w:rPr>
          <w:lang w:val="en-IE"/>
        </w:rPr>
        <w:t xml:space="preserve"> of long-term socio-</w:t>
      </w:r>
      <w:r w:rsidR="00BB2971" w:rsidRPr="00231860">
        <w:rPr>
          <w:lang w:val="en-IE"/>
        </w:rPr>
        <w:t>economic</w:t>
      </w:r>
      <w:r w:rsidRPr="00231860">
        <w:rPr>
          <w:lang w:val="en-IE"/>
        </w:rPr>
        <w:t xml:space="preserve"> disparities across Czech regions. It documents persistent difference between </w:t>
      </w:r>
      <w:r w:rsidR="00BB2971" w:rsidRPr="00231860">
        <w:rPr>
          <w:lang w:val="en-IE"/>
        </w:rPr>
        <w:t>demographic development, labour-market performance, migration dynamics, unemployment, and income distribution. The study emphasises that regional outcomes strongly depend on the indicators selected and warns against oversimplifying “regional performance” without clearly defined criteria.</w:t>
      </w:r>
    </w:p>
    <w:p w14:paraId="6F145154" w14:textId="2B7121B3" w:rsidR="00BB2971" w:rsidRPr="00231860" w:rsidRDefault="00BB2971" w:rsidP="00DB7A0F">
      <w:pPr>
        <w:pStyle w:val="Els-body-text"/>
        <w:rPr>
          <w:b/>
          <w:bCs/>
          <w:lang w:val="en-IE"/>
        </w:rPr>
      </w:pPr>
      <w:r w:rsidRPr="00231860">
        <w:rPr>
          <w:b/>
          <w:bCs/>
          <w:lang w:val="en-IE"/>
        </w:rPr>
        <w:t>Relevance to this project:</w:t>
      </w:r>
    </w:p>
    <w:p w14:paraId="331E5BD7" w14:textId="77777777" w:rsidR="00BB2971" w:rsidRPr="00231860" w:rsidRDefault="00BB2971" w:rsidP="00DB7A0F">
      <w:pPr>
        <w:pStyle w:val="Els-body-text"/>
        <w:rPr>
          <w:lang w:val="en-IE"/>
        </w:rPr>
      </w:pPr>
      <w:r w:rsidRPr="00231860">
        <w:rPr>
          <w:lang w:val="en-IE"/>
        </w:rPr>
        <w:t>It supports the methodological decision to work at the level of the 14 administrative regions and reinforces the idea that socio-economic disparities in the Czech Republic have stable, long-term patterns. At the same time, its broad thematic scope highlights the need for a more focused set of indicators</w:t>
      </w:r>
    </w:p>
    <w:p w14:paraId="17CAE740" w14:textId="77777777" w:rsidR="00BB2971" w:rsidRPr="00231860" w:rsidRDefault="00BB2971" w:rsidP="00DB7A0F">
      <w:pPr>
        <w:pStyle w:val="Els-body-text"/>
        <w:rPr>
          <w:lang w:val="en-IE"/>
        </w:rPr>
      </w:pPr>
    </w:p>
    <w:p w14:paraId="61BBB883" w14:textId="2EB6042C" w:rsidR="00BB2971" w:rsidRPr="00231860" w:rsidRDefault="00BB2971" w:rsidP="00DB7A0F">
      <w:pPr>
        <w:pStyle w:val="Els-body-text"/>
        <w:rPr>
          <w:lang w:val="en-IE"/>
        </w:rPr>
      </w:pPr>
      <w:r w:rsidRPr="00231860">
        <w:rPr>
          <w:lang w:val="en-IE"/>
        </w:rPr>
        <w:t>.</w:t>
      </w:r>
    </w:p>
    <w:p w14:paraId="6711D21E" w14:textId="77777777" w:rsidR="00DB7A0F" w:rsidRPr="00231860" w:rsidRDefault="00DB7A0F" w:rsidP="00DB7A0F">
      <w:pPr>
        <w:pStyle w:val="Els-body-text"/>
        <w:rPr>
          <w:lang w:val="en-IE"/>
        </w:rPr>
      </w:pPr>
    </w:p>
    <w:p w14:paraId="4A1D3556" w14:textId="71DBB849" w:rsidR="00DB7A0F" w:rsidRPr="00231860" w:rsidRDefault="00BB2971" w:rsidP="00BB2971">
      <w:pPr>
        <w:pStyle w:val="Els-body-text"/>
        <w:ind w:firstLine="0"/>
        <w:rPr>
          <w:lang w:val="en-IE"/>
        </w:rPr>
      </w:pPr>
      <w:r w:rsidRPr="00231860">
        <w:rPr>
          <w:lang w:val="en-IE"/>
        </w:rPr>
        <w:t>2.2 Spatial Patterns and Structural Differences</w:t>
      </w:r>
    </w:p>
    <w:p w14:paraId="7C5A9BCA" w14:textId="11056383" w:rsidR="00BB2971" w:rsidRPr="00231860" w:rsidRDefault="004D6DA4" w:rsidP="004D6DA4">
      <w:pPr>
        <w:pStyle w:val="Els-body-text"/>
        <w:ind w:firstLine="0"/>
        <w:jc w:val="left"/>
        <w:rPr>
          <w:lang w:val="en-IE"/>
        </w:rPr>
      </w:pPr>
      <w:r w:rsidRPr="00231860">
        <w:rPr>
          <w:lang w:val="en-IE"/>
        </w:rPr>
        <w:t xml:space="preserve">The publication </w:t>
      </w:r>
      <w:r w:rsidRPr="00231860">
        <w:rPr>
          <w:i/>
          <w:iCs/>
          <w:lang w:val="en-IE"/>
        </w:rPr>
        <w:t>Spatial Patterns of Socioeconomic Differentiation</w:t>
      </w:r>
      <w:r w:rsidRPr="00231860">
        <w:rPr>
          <w:lang w:val="en-IE"/>
        </w:rPr>
        <w:t xml:space="preserve"> adopts a spatial-analytical perspective and examines how socio-economic indicators cluster geographically. It shows that Czech regions form recognisable spatial patterns, with metropolitan areas, border regions, and central regions exhibiting distinct socio-economic profiles. The study employs spatial statistics and clustering, demonstrating that regions differ not only in absolute values but also in their internal structure and spatial distribution of opportunities.</w:t>
      </w:r>
      <w:r w:rsidRPr="00231860">
        <w:rPr>
          <w:lang w:val="en-IE"/>
        </w:rPr>
        <w:br/>
      </w:r>
      <w:r w:rsidRPr="00231860">
        <w:rPr>
          <w:b/>
          <w:bCs/>
          <w:lang w:val="en-IE"/>
        </w:rPr>
        <w:t>Relevance to this project:</w:t>
      </w:r>
      <w:r w:rsidRPr="00231860">
        <w:rPr>
          <w:lang w:val="en-IE"/>
        </w:rPr>
        <w:br/>
        <w:t>Its use of clustering methods provides theoretical justification for applying hierarchical clustering in this research. Moreover, it confirms that regional variation is not random but spatially structured, making it meaningful to compare regions using multi-indicator models.</w:t>
      </w:r>
    </w:p>
    <w:p w14:paraId="4340BB03" w14:textId="77777777" w:rsidR="004D6DA4" w:rsidRPr="00231860" w:rsidRDefault="004D6DA4" w:rsidP="004D6DA4">
      <w:pPr>
        <w:pStyle w:val="Els-body-text"/>
        <w:ind w:firstLine="0"/>
        <w:jc w:val="left"/>
        <w:rPr>
          <w:lang w:val="en-IE"/>
        </w:rPr>
      </w:pPr>
    </w:p>
    <w:p w14:paraId="0770B124" w14:textId="682178C5" w:rsidR="004D6DA4" w:rsidRPr="00231860" w:rsidRDefault="004D6DA4" w:rsidP="004D6DA4">
      <w:pPr>
        <w:pStyle w:val="Els-body-text"/>
        <w:ind w:firstLine="0"/>
        <w:jc w:val="left"/>
        <w:rPr>
          <w:lang w:val="en-IE"/>
        </w:rPr>
      </w:pPr>
      <w:r w:rsidRPr="00231860">
        <w:rPr>
          <w:lang w:val="en-IE"/>
        </w:rPr>
        <w:t>2.3 Multi-Criteria Evaluations and Composite Indexes</w:t>
      </w:r>
    </w:p>
    <w:p w14:paraId="417A01F1" w14:textId="17CAC3DE" w:rsidR="004D6DA4" w:rsidRPr="00231860" w:rsidRDefault="004D6DA4" w:rsidP="004D6DA4">
      <w:pPr>
        <w:pStyle w:val="Els-body-text"/>
        <w:ind w:firstLine="0"/>
        <w:jc w:val="left"/>
        <w:rPr>
          <w:lang w:val="en-IE"/>
        </w:rPr>
      </w:pPr>
      <w:r w:rsidRPr="00231860">
        <w:rPr>
          <w:lang w:val="en-IE"/>
        </w:rPr>
        <w:t xml:space="preserve">The </w:t>
      </w:r>
      <w:r w:rsidRPr="00231860">
        <w:rPr>
          <w:i/>
          <w:iCs/>
          <w:lang w:val="en-IE"/>
        </w:rPr>
        <w:t>MPŽ 2025 socioeconomic outlook</w:t>
      </w:r>
      <w:r w:rsidRPr="00231860">
        <w:rPr>
          <w:lang w:val="en-IE"/>
        </w:rPr>
        <w:t xml:space="preserve"> represents a broader multi-criteria evaluation of Czech regions, combining economic, demographic, environmental, and social indicators. It illustrates how composite indexes can yield different rankings based on indicator selection and weighting strategies. This study highlights substantial volatility in region rankings when additional domains such as education, environment, or health are included.</w:t>
      </w:r>
      <w:r w:rsidRPr="00231860">
        <w:rPr>
          <w:lang w:val="en-IE"/>
        </w:rPr>
        <w:br/>
      </w:r>
      <w:r w:rsidRPr="00231860">
        <w:rPr>
          <w:b/>
          <w:bCs/>
          <w:lang w:val="en-IE"/>
        </w:rPr>
        <w:t>Relevance to this project:</w:t>
      </w:r>
      <w:r w:rsidRPr="00231860">
        <w:rPr>
          <w:lang w:val="en-IE"/>
        </w:rPr>
        <w:br/>
        <w:t>It shows that the complexity of full “quality of life” indexes leads to methodological expansions that go beyond the scope of the present research. By contrast, this project intentionally narrows down the indicators to a small, targeted set directly relevant to housing affordability and safety.</w:t>
      </w:r>
    </w:p>
    <w:p w14:paraId="11286192" w14:textId="77777777" w:rsidR="00DB7A0F" w:rsidRPr="00231860" w:rsidRDefault="00DB7A0F" w:rsidP="00DB7A0F">
      <w:pPr>
        <w:pStyle w:val="Els-body-text"/>
        <w:rPr>
          <w:lang w:val="en-IE"/>
        </w:rPr>
      </w:pPr>
    </w:p>
    <w:p w14:paraId="430A4352" w14:textId="77777777" w:rsidR="00DB7A0F" w:rsidRPr="00231860" w:rsidRDefault="00DB7A0F" w:rsidP="00DB7A0F">
      <w:pPr>
        <w:pStyle w:val="Els-body-text"/>
        <w:rPr>
          <w:lang w:val="en-IE"/>
        </w:rPr>
      </w:pPr>
    </w:p>
    <w:p w14:paraId="39CEC314" w14:textId="12B1B91E" w:rsidR="005849D8" w:rsidRPr="00231860" w:rsidRDefault="005849D8" w:rsidP="005849D8">
      <w:pPr>
        <w:pStyle w:val="Els-body-text"/>
        <w:ind w:firstLine="0"/>
        <w:rPr>
          <w:lang w:val="en-IE"/>
        </w:rPr>
      </w:pPr>
      <w:r w:rsidRPr="00231860">
        <w:rPr>
          <w:lang w:val="en-IE"/>
        </w:rPr>
        <w:t>2.4 Functional Urban Areas and Regional Integration</w:t>
      </w:r>
    </w:p>
    <w:p w14:paraId="424EA7EB" w14:textId="521DE030" w:rsidR="005849D8" w:rsidRPr="00231860" w:rsidRDefault="005849D8" w:rsidP="005849D8">
      <w:pPr>
        <w:pStyle w:val="Els-body-text"/>
        <w:jc w:val="left"/>
        <w:rPr>
          <w:lang w:val="en-IE"/>
        </w:rPr>
      </w:pPr>
      <w:r w:rsidRPr="00231860">
        <w:rPr>
          <w:lang w:val="en-IE"/>
        </w:rPr>
        <w:t xml:space="preserve">The OECD–EU publication on Functional Urban Areas (FUA) provides a framework for evaluating regions not only through administrative boundaries but also through functional linkages such as commuting flows, labour-market integration, and settlement density. The study defines cities together with their commuting zones as unified socio-economic systems, demonstrating that many regional characteristics—including employment, salaries, and housing pressure—are shaped by daily mobility patterns rather than by formal borders alone. This approach highlights the structural interdependence between metropolitan cores and their surrounding areas and offers a more dynamic view of regional development </w:t>
      </w:r>
    </w:p>
    <w:p w14:paraId="2493D427" w14:textId="77777777" w:rsidR="005849D8" w:rsidRPr="00231860" w:rsidRDefault="005849D8" w:rsidP="005849D8">
      <w:pPr>
        <w:pStyle w:val="Els-body-text"/>
        <w:ind w:firstLine="0"/>
        <w:jc w:val="left"/>
        <w:rPr>
          <w:lang w:val="en-IE"/>
        </w:rPr>
      </w:pPr>
      <w:r w:rsidRPr="00231860">
        <w:rPr>
          <w:b/>
          <w:bCs/>
          <w:lang w:val="en-IE"/>
        </w:rPr>
        <w:lastRenderedPageBreak/>
        <w:t>Relevance to this project:</w:t>
      </w:r>
      <w:r w:rsidRPr="00231860">
        <w:rPr>
          <w:lang w:val="en-IE"/>
        </w:rPr>
        <w:br/>
        <w:t>Although this study works at the administrative (kraj) level, the FUA concept reinforces the logic of analysing economic and safety-related indicators that are influenced by labour-market accessibility and population mobility. It supports the idea that salaries, affordability, and crime should be evaluated within a broader functional context. At the same time, it also clarifies why additional factors—such as transport infrastructure or service accessibility—would be required for a full quality-of-life assessment, and thus lie beyond the scope of this research.</w:t>
      </w:r>
    </w:p>
    <w:p w14:paraId="600CFA88" w14:textId="563EB0FC" w:rsidR="00DB7A0F" w:rsidRPr="00231860" w:rsidRDefault="00DB7A0F" w:rsidP="005849D8">
      <w:pPr>
        <w:pStyle w:val="Els-body-text"/>
        <w:ind w:firstLine="0"/>
        <w:rPr>
          <w:lang w:val="en-IE"/>
        </w:rPr>
      </w:pPr>
    </w:p>
    <w:p w14:paraId="49DBD185" w14:textId="77777777" w:rsidR="00DB7A0F" w:rsidRPr="00231860" w:rsidRDefault="00DB7A0F" w:rsidP="00C56911">
      <w:pPr>
        <w:pStyle w:val="Els-body-text"/>
        <w:ind w:firstLine="0"/>
        <w:rPr>
          <w:lang w:val="en-IE"/>
        </w:rPr>
      </w:pPr>
    </w:p>
    <w:p w14:paraId="37F75126" w14:textId="7361A3C6" w:rsidR="001F41A5" w:rsidRPr="00231860" w:rsidRDefault="001F41A5" w:rsidP="001F41A5">
      <w:pPr>
        <w:pStyle w:val="Els-1storder-head"/>
        <w:rPr>
          <w:lang w:val="en-IE"/>
        </w:rPr>
      </w:pPr>
      <w:r w:rsidRPr="00231860">
        <w:rPr>
          <w:lang w:val="en-IE"/>
        </w:rPr>
        <w:t>Methods</w:t>
      </w:r>
    </w:p>
    <w:p w14:paraId="1AF1E20C" w14:textId="2E5FA4BF" w:rsidR="00010BE0" w:rsidRPr="00231860" w:rsidRDefault="00010BE0" w:rsidP="00010BE0">
      <w:pPr>
        <w:pStyle w:val="Els-1storder-head"/>
        <w:numPr>
          <w:ilvl w:val="0"/>
          <w:numId w:val="0"/>
        </w:numPr>
        <w:rPr>
          <w:rFonts w:eastAsia="Times New Roman"/>
          <w:b w:val="0"/>
          <w:bCs/>
          <w:lang w:val="en-IE"/>
        </w:rPr>
      </w:pPr>
      <w:r w:rsidRPr="00231860">
        <w:rPr>
          <w:b w:val="0"/>
          <w:bCs/>
          <w:lang w:val="en-IE"/>
        </w:rPr>
        <w:t xml:space="preserve">Each dataset required a separate cleaning procedure due to different file structures. For real estate data, we detected the correct header row inside each file, removed metadata rows, filtered out national totals, extracted region names, and selected average house and flat prices per square </w:t>
      </w:r>
      <w:r w:rsidR="007D3EB2" w:rsidRPr="00231860">
        <w:rPr>
          <w:b w:val="0"/>
          <w:bCs/>
          <w:lang w:val="en-IE"/>
        </w:rPr>
        <w:t>meter</w:t>
      </w:r>
      <w:r w:rsidRPr="00231860">
        <w:rPr>
          <w:b w:val="0"/>
          <w:bCs/>
          <w:lang w:val="en-IE"/>
        </w:rPr>
        <w:t xml:space="preserve">. Salary files were cleaned by extracting the region name from the header, identifying the year using a regular expression, selecting the average full-time salary column, and keeping only records from 2019 onward. Crime files were processed similarly: we located the header row, extracted the region name, identified year and crime columns, and filtered years 2019–2023. After cleaning, all three datasets were merged on </w:t>
      </w:r>
      <w:r w:rsidRPr="00231860">
        <w:rPr>
          <w:rStyle w:val="Zdraznn"/>
          <w:b w:val="0"/>
          <w:bCs/>
          <w:lang w:val="en-IE"/>
        </w:rPr>
        <w:t>Region</w:t>
      </w:r>
      <w:r w:rsidRPr="00231860">
        <w:rPr>
          <w:b w:val="0"/>
          <w:bCs/>
          <w:lang w:val="en-IE"/>
        </w:rPr>
        <w:t xml:space="preserve"> and </w:t>
      </w:r>
      <w:r w:rsidRPr="00231860">
        <w:rPr>
          <w:rStyle w:val="Zdraznn"/>
          <w:b w:val="0"/>
          <w:bCs/>
          <w:lang w:val="en-IE"/>
        </w:rPr>
        <w:t>Year</w:t>
      </w:r>
      <w:r w:rsidRPr="00231860">
        <w:rPr>
          <w:b w:val="0"/>
          <w:bCs/>
          <w:lang w:val="en-IE"/>
        </w:rPr>
        <w:t xml:space="preserve"> into a unified table containing house prices, flat prices, salaries, and total crime.</w:t>
      </w:r>
    </w:p>
    <w:p w14:paraId="4C79B675" w14:textId="77777777" w:rsidR="00010BE0" w:rsidRPr="00231860" w:rsidRDefault="00010BE0" w:rsidP="00010BE0">
      <w:pPr>
        <w:pStyle w:val="Els-1storder-head"/>
        <w:numPr>
          <w:ilvl w:val="0"/>
          <w:numId w:val="0"/>
        </w:numPr>
        <w:rPr>
          <w:b w:val="0"/>
          <w:bCs/>
          <w:lang w:val="en-IE"/>
        </w:rPr>
      </w:pPr>
      <w:r w:rsidRPr="00231860">
        <w:rPr>
          <w:rStyle w:val="Siln"/>
          <w:lang w:val="en-IE"/>
        </w:rPr>
        <w:t>Clustering</w:t>
      </w:r>
      <w:r w:rsidRPr="00231860">
        <w:rPr>
          <w:b w:val="0"/>
          <w:bCs/>
          <w:lang w:val="en-IE"/>
        </w:rPr>
        <w:br/>
        <w:t>The first analytical method we applied was hierarchical agglomerative clustering, which allows us to observe how different each region is from the others based on the cleaned dataset. For example, Prague appears distinct because it is the capital city and differs in several indicators. Agglomerative clustering operates from the bottom up: each data point starts as its own cluster, and clusters are gradually merged based on similarity. There are several ways to measure similarity, such as the single-link method, which considers the closest points between clusters. In our analysis, however, we used Ward’s method, which aims to minimize the increase in the Sum of Squared Errors (SSE). Minimizing SSE results in more compact and meaningful clusters.</w:t>
      </w:r>
    </w:p>
    <w:p w14:paraId="74598702" w14:textId="0000B600" w:rsidR="00010BE0" w:rsidRPr="00231860" w:rsidRDefault="00010BE0" w:rsidP="00010BE0">
      <w:pPr>
        <w:pStyle w:val="Els-1storder-head"/>
        <w:numPr>
          <w:ilvl w:val="0"/>
          <w:numId w:val="0"/>
        </w:numPr>
        <w:rPr>
          <w:b w:val="0"/>
          <w:bCs/>
          <w:lang w:val="en-IE"/>
        </w:rPr>
      </w:pPr>
      <w:r w:rsidRPr="00231860">
        <w:rPr>
          <w:rStyle w:val="Siln"/>
          <w:lang w:val="en-IE"/>
        </w:rPr>
        <w:t>Regression analysis</w:t>
      </w:r>
      <w:r w:rsidRPr="00231860">
        <w:rPr>
          <w:b w:val="0"/>
          <w:bCs/>
          <w:lang w:val="en-IE"/>
        </w:rPr>
        <w:br/>
        <w:t xml:space="preserve">After clustering, we applied regression techniques. Linear regression attempts to find a straight-line trend in the data and can be used for estimating or approximating future values. It works by taking all observations and computing, through matrix operations, the optimal position of the regression line. We also experimented with polynomial regression, which is </w:t>
      </w:r>
      <w:r w:rsidR="007D3EB2" w:rsidRPr="00231860">
        <w:rPr>
          <w:b w:val="0"/>
          <w:bCs/>
          <w:lang w:val="en-IE"/>
        </w:rPr>
        <w:t>like</w:t>
      </w:r>
      <w:r w:rsidRPr="00231860">
        <w:rPr>
          <w:b w:val="0"/>
          <w:bCs/>
          <w:lang w:val="en-IE"/>
        </w:rPr>
        <w:t xml:space="preserve"> linear regression but uses curves (e.g., parabolic shapes) instead of a straight line. However, we found that polynomial regression is not suitable for all types of data. It works reasonably well for variables such as salaries, where trends tend to follow smoother patterns, but it produced unrealistic or unstable results for other indicators—for example crime rates—where the algorithm generated exaggerated and unreliable outputs.</w:t>
      </w:r>
    </w:p>
    <w:p w14:paraId="299D5622" w14:textId="77777777" w:rsidR="00010BE0" w:rsidRPr="00231860" w:rsidRDefault="00010BE0" w:rsidP="00010BE0">
      <w:pPr>
        <w:pStyle w:val="Els-1storder-head"/>
        <w:numPr>
          <w:ilvl w:val="0"/>
          <w:numId w:val="0"/>
        </w:numPr>
        <w:rPr>
          <w:b w:val="0"/>
          <w:bCs/>
          <w:lang w:val="en-IE"/>
        </w:rPr>
      </w:pPr>
      <w:r w:rsidRPr="00231860">
        <w:rPr>
          <w:rStyle w:val="Siln"/>
          <w:lang w:val="en-IE"/>
        </w:rPr>
        <w:t>Composite index</w:t>
      </w:r>
      <w:r w:rsidRPr="00231860">
        <w:rPr>
          <w:b w:val="0"/>
          <w:bCs/>
          <w:lang w:val="en-IE"/>
        </w:rPr>
        <w:br/>
        <w:t>The last component of our analysis is the index we created to evaluate the overall livability of each region. The index is defined as:</w:t>
      </w:r>
    </w:p>
    <w:p w14:paraId="13FE1A51" w14:textId="77777777" w:rsidR="00010BE0" w:rsidRPr="00231860" w:rsidRDefault="00010BE0" w:rsidP="00010BE0">
      <w:pPr>
        <w:pStyle w:val="Els-1storder-head"/>
        <w:numPr>
          <w:ilvl w:val="0"/>
          <w:numId w:val="0"/>
        </w:numPr>
        <w:rPr>
          <w:b w:val="0"/>
          <w:bCs/>
          <w:lang w:val="en-IE"/>
        </w:rPr>
      </w:pPr>
      <w:r w:rsidRPr="00231860">
        <w:rPr>
          <w:rStyle w:val="Siln"/>
          <w:lang w:val="en-IE"/>
        </w:rPr>
        <w:t>Index = (w₁ · salary_norm) – (w₂ · house_price_norm) – (w₃ · crime_norm)</w:t>
      </w:r>
    </w:p>
    <w:p w14:paraId="16443F3D" w14:textId="210D3493" w:rsidR="00010BE0" w:rsidRPr="00231860" w:rsidRDefault="00010BE0" w:rsidP="00010BE0">
      <w:pPr>
        <w:pStyle w:val="Els-1storder-head"/>
        <w:numPr>
          <w:ilvl w:val="0"/>
          <w:numId w:val="0"/>
        </w:numPr>
        <w:rPr>
          <w:b w:val="0"/>
          <w:bCs/>
          <w:lang w:val="en-IE"/>
        </w:rPr>
      </w:pPr>
      <w:r w:rsidRPr="00231860">
        <w:rPr>
          <w:b w:val="0"/>
          <w:bCs/>
          <w:lang w:val="en-IE"/>
        </w:rPr>
        <w:t xml:space="preserve">This index combines three normalized indicators—average salary, house prices, and crime rates—each weighted according to its importance (w₁, w₂, w₃). The idea behind the formula is straightforward: higher salaries increase the score, while higher house prices and higher crime rates reduce it. Normalization ensures that all variables are on the same scale, so none of them dominate the calculation simply because of numerical magnitude. </w:t>
      </w:r>
      <w:r w:rsidR="007D3EB2" w:rsidRPr="00231860">
        <w:rPr>
          <w:b w:val="0"/>
          <w:bCs/>
          <w:lang w:val="en-IE"/>
        </w:rPr>
        <w:t>Weights</w:t>
      </w:r>
      <w:r w:rsidRPr="00231860">
        <w:rPr>
          <w:b w:val="0"/>
          <w:bCs/>
          <w:lang w:val="en-IE"/>
        </w:rPr>
        <w:t xml:space="preserve"> allow us to adjust the influence of each factor depending on how important we consider it for overall quality of life.</w:t>
      </w:r>
    </w:p>
    <w:p w14:paraId="4294A286" w14:textId="1FF5F618" w:rsidR="001D79AC" w:rsidRPr="00231860" w:rsidRDefault="00010BE0" w:rsidP="00C56911">
      <w:pPr>
        <w:pStyle w:val="Els-1storder-head"/>
        <w:numPr>
          <w:ilvl w:val="0"/>
          <w:numId w:val="0"/>
        </w:numPr>
        <w:rPr>
          <w:b w:val="0"/>
          <w:bCs/>
          <w:lang w:val="en-IE"/>
        </w:rPr>
      </w:pPr>
      <w:r w:rsidRPr="00231860">
        <w:rPr>
          <w:b w:val="0"/>
          <w:bCs/>
          <w:lang w:val="en-IE"/>
        </w:rPr>
        <w:t xml:space="preserve">In practice, the index rewards regions where salaries are relatively high and penalizes those where housing is expensive or crime is frequent. A region with high salaries, low house prices, and low crime will therefore achieve </w:t>
      </w:r>
      <w:r w:rsidRPr="00231860">
        <w:rPr>
          <w:b w:val="0"/>
          <w:bCs/>
          <w:lang w:val="en-IE"/>
        </w:rPr>
        <w:lastRenderedPageBreak/>
        <w:t>the highest index score. This approach allows us to summarize several complex aspects of living conditions into a single interpretable numerical value, making regional comparisons more intuitive and consistent.</w:t>
      </w:r>
    </w:p>
    <w:p w14:paraId="17F50472" w14:textId="77777777" w:rsidR="00C56911" w:rsidRPr="00231860" w:rsidRDefault="00C56911" w:rsidP="00C56911">
      <w:pPr>
        <w:pStyle w:val="Els-body-text"/>
        <w:rPr>
          <w:lang w:val="en-IE"/>
        </w:rPr>
      </w:pPr>
    </w:p>
    <w:p w14:paraId="28332D04" w14:textId="63B86654" w:rsidR="005C3826" w:rsidRPr="00231860" w:rsidRDefault="005C3826" w:rsidP="005C3826">
      <w:pPr>
        <w:pStyle w:val="Els-1storder-head"/>
        <w:rPr>
          <w:lang w:val="en-IE"/>
        </w:rPr>
      </w:pPr>
      <w:r w:rsidRPr="00231860">
        <w:rPr>
          <w:lang w:val="en-IE"/>
        </w:rPr>
        <w:t>Results/Findings</w:t>
      </w:r>
    </w:p>
    <w:p w14:paraId="0EDAAA72" w14:textId="77777777" w:rsidR="00010BE0" w:rsidRPr="00231860" w:rsidRDefault="00010BE0" w:rsidP="00010BE0">
      <w:pPr>
        <w:pStyle w:val="Els-body-text"/>
        <w:jc w:val="left"/>
        <w:rPr>
          <w:lang w:val="en-IE"/>
        </w:rPr>
      </w:pPr>
      <w:r w:rsidRPr="00231860">
        <w:rPr>
          <w:lang w:val="en-IE"/>
        </w:rPr>
        <w:t>Our results show that, according to the historical data from 2019 to 2023, the Vysočina region achieved the highest overall score. However, after including the forecasted values from the regression models, the Ústecký region reached the highest score in the future index. The combined index, which incorporates both observed and predicted values, therefore identifies Ústecký region as the best-ranking region. This outcome is driven by the strong projected growth in several of its indicators, which causes its future score to surpass the other regions.</w:t>
      </w:r>
    </w:p>
    <w:p w14:paraId="75C9A184" w14:textId="77777777" w:rsidR="00010BE0" w:rsidRPr="00231860" w:rsidRDefault="00010BE0" w:rsidP="00010BE0">
      <w:pPr>
        <w:pStyle w:val="Els-body-text"/>
        <w:jc w:val="left"/>
        <w:rPr>
          <w:lang w:val="en-IE"/>
        </w:rPr>
      </w:pPr>
      <w:r w:rsidRPr="00231860">
        <w:rPr>
          <w:lang w:val="en-IE"/>
        </w:rPr>
        <w:t>In summary:</w:t>
      </w:r>
    </w:p>
    <w:p w14:paraId="53463771" w14:textId="77777777" w:rsidR="00010BE0" w:rsidRPr="00231860" w:rsidRDefault="00010BE0" w:rsidP="00010BE0">
      <w:pPr>
        <w:pStyle w:val="Els-body-text"/>
        <w:numPr>
          <w:ilvl w:val="0"/>
          <w:numId w:val="17"/>
        </w:numPr>
        <w:jc w:val="left"/>
        <w:rPr>
          <w:lang w:val="en-IE"/>
        </w:rPr>
      </w:pPr>
      <w:r w:rsidRPr="00231860">
        <w:rPr>
          <w:b/>
          <w:bCs/>
          <w:lang w:val="en-IE"/>
        </w:rPr>
        <w:t>Vysočina</w:t>
      </w:r>
      <w:r w:rsidRPr="00231860">
        <w:rPr>
          <w:lang w:val="en-IE"/>
        </w:rPr>
        <w:t xml:space="preserve"> ranked highest in the 2019–2023 period.</w:t>
      </w:r>
    </w:p>
    <w:p w14:paraId="3A3275C1" w14:textId="7A16C978" w:rsidR="00D42946" w:rsidRPr="00231860" w:rsidRDefault="00010BE0" w:rsidP="00C56911">
      <w:pPr>
        <w:pStyle w:val="Els-body-text"/>
        <w:numPr>
          <w:ilvl w:val="0"/>
          <w:numId w:val="17"/>
        </w:numPr>
        <w:jc w:val="left"/>
        <w:rPr>
          <w:lang w:val="en-IE"/>
        </w:rPr>
      </w:pPr>
      <w:r w:rsidRPr="00231860">
        <w:rPr>
          <w:b/>
          <w:bCs/>
          <w:lang w:val="en-IE"/>
        </w:rPr>
        <w:t>Ústecký region</w:t>
      </w:r>
      <w:r w:rsidRPr="00231860">
        <w:rPr>
          <w:lang w:val="en-IE"/>
        </w:rPr>
        <w:t xml:space="preserve"> ranks highest in the combined index because the forecasted values indicate strong potential growth.</w:t>
      </w:r>
    </w:p>
    <w:p w14:paraId="11A595C0" w14:textId="77777777" w:rsidR="00C56911" w:rsidRPr="00231860" w:rsidRDefault="00C56911" w:rsidP="00C56911">
      <w:pPr>
        <w:pStyle w:val="Els-body-text"/>
        <w:ind w:left="720" w:firstLine="0"/>
        <w:jc w:val="left"/>
        <w:rPr>
          <w:lang w:val="en-IE"/>
        </w:rPr>
      </w:pPr>
    </w:p>
    <w:p w14:paraId="355E3FAB" w14:textId="5CBD70B7" w:rsidR="00A5042C" w:rsidRPr="00231860" w:rsidRDefault="00A5042C" w:rsidP="00A5042C">
      <w:pPr>
        <w:pStyle w:val="Els-1storder-head"/>
        <w:rPr>
          <w:lang w:val="en-IE"/>
        </w:rPr>
      </w:pPr>
      <w:r w:rsidRPr="00231860">
        <w:rPr>
          <w:lang w:val="en-IE"/>
        </w:rPr>
        <w:t>Discussion</w:t>
      </w:r>
    </w:p>
    <w:p w14:paraId="004F6B5E" w14:textId="77777777" w:rsidR="00231860" w:rsidRPr="00231860" w:rsidRDefault="00231860" w:rsidP="00231860">
      <w:pPr>
        <w:pStyle w:val="Els-1storder-head"/>
        <w:numPr>
          <w:ilvl w:val="0"/>
          <w:numId w:val="0"/>
        </w:numPr>
        <w:rPr>
          <w:rFonts w:eastAsia="Times New Roman"/>
          <w:b w:val="0"/>
          <w:bCs/>
          <w:lang w:val="en-IE"/>
        </w:rPr>
      </w:pPr>
      <w:r w:rsidRPr="00231860">
        <w:rPr>
          <w:b w:val="0"/>
          <w:bCs/>
          <w:lang w:val="en-IE"/>
        </w:rPr>
        <w:t>My research is based on three indicators, and the results clearly show that identifying the “best overall region to live in” cannot be done reliably with such a limited set of variables. Broader studies by MŽP or the MPŽ 2025 outlook confirm that quality of life is multidimensional, shaped by environmental, infrastructural, educational, and healthcare factors. This also explains why the region that performs best in my analysis ranks near the bottom in the MŽP study. Each model reflects only the indicators it includes, and this project therefore focuses specifically on economic and safety conditions relevant to housing affordability and financial decision-making.</w:t>
      </w:r>
    </w:p>
    <w:p w14:paraId="01D6B2AB" w14:textId="38148AF2" w:rsidR="00231860" w:rsidRPr="00231860" w:rsidRDefault="00231860" w:rsidP="00231860">
      <w:pPr>
        <w:pStyle w:val="Els-1storder-head"/>
        <w:numPr>
          <w:ilvl w:val="0"/>
          <w:numId w:val="0"/>
        </w:numPr>
        <w:rPr>
          <w:b w:val="0"/>
          <w:bCs/>
          <w:lang w:val="en-IE"/>
        </w:rPr>
      </w:pPr>
      <w:r w:rsidRPr="00231860">
        <w:rPr>
          <w:b w:val="0"/>
          <w:bCs/>
          <w:lang w:val="en-IE"/>
        </w:rPr>
        <w:t>Despite these limits, the findings remain practically useful. They can help investors and regional planners identify areas with strong salary growth, favorable long-term trends, or undervalued housing. For individuals relocating to the Czech Republic, the results offer a clear, data-driven view of economic and safety conditions, even if they do not capture the full complexity of quality of life.</w:t>
      </w:r>
    </w:p>
    <w:p w14:paraId="24910278" w14:textId="77777777" w:rsidR="00231860" w:rsidRPr="00231860" w:rsidRDefault="00231860" w:rsidP="00231860">
      <w:pPr>
        <w:pStyle w:val="Els-1storder-head"/>
        <w:numPr>
          <w:ilvl w:val="0"/>
          <w:numId w:val="0"/>
        </w:numPr>
        <w:rPr>
          <w:b w:val="0"/>
          <w:bCs/>
          <w:lang w:val="en-IE"/>
        </w:rPr>
      </w:pPr>
      <w:r w:rsidRPr="00231860">
        <w:rPr>
          <w:b w:val="0"/>
          <w:bCs/>
          <w:lang w:val="en-IE"/>
        </w:rPr>
        <w:t>A major challenge was inconsistent historical data: pre-2019 datasets used different structures or multi-year intervals, making long-term comparison impossible. For this reason, the analysis focuses on the last five years, prioritising recent socio-economic reality.</w:t>
      </w:r>
    </w:p>
    <w:p w14:paraId="6A188E38" w14:textId="77777777" w:rsidR="00231860" w:rsidRPr="00231860" w:rsidRDefault="00231860" w:rsidP="00231860">
      <w:pPr>
        <w:pStyle w:val="Els-1storder-head"/>
        <w:numPr>
          <w:ilvl w:val="0"/>
          <w:numId w:val="0"/>
        </w:numPr>
        <w:rPr>
          <w:b w:val="0"/>
          <w:bCs/>
          <w:lang w:val="en-IE"/>
        </w:rPr>
      </w:pPr>
      <w:r w:rsidRPr="00231860">
        <w:rPr>
          <w:b w:val="0"/>
          <w:bCs/>
          <w:lang w:val="en-IE"/>
        </w:rPr>
        <w:t xml:space="preserve">Hierarchical agglomerative clustering was chosen for its simplicity and interpretability, and because similar methods are widely used in spatial socio-economic studies. Spatial Patterns of Socioeconomic Differentiation provided </w:t>
      </w:r>
      <w:r w:rsidRPr="00231860">
        <w:rPr>
          <w:b w:val="0"/>
          <w:bCs/>
          <w:lang w:val="en-IE"/>
        </w:rPr>
        <w:lastRenderedPageBreak/>
        <w:t>methodological grounding, demonstrating how clustering reveals deeper structural patterns. Regression analysis complemented this by estimating future trends and potential shifts in regional disparities.</w:t>
      </w:r>
    </w:p>
    <w:p w14:paraId="4B14F616" w14:textId="77777777" w:rsidR="00231860" w:rsidRPr="00231860" w:rsidRDefault="00231860" w:rsidP="00231860">
      <w:pPr>
        <w:pStyle w:val="Els-1storder-head"/>
        <w:numPr>
          <w:ilvl w:val="0"/>
          <w:numId w:val="0"/>
        </w:numPr>
        <w:rPr>
          <w:b w:val="0"/>
          <w:bCs/>
          <w:lang w:val="en-IE"/>
        </w:rPr>
      </w:pPr>
      <w:r w:rsidRPr="00231860">
        <w:rPr>
          <w:b w:val="0"/>
          <w:bCs/>
          <w:lang w:val="en-IE"/>
        </w:rPr>
        <w:t>Data preparation also posed difficulties, as wage data required different cleaning and transformation techniques than housing or crime data. Only after these adjustments could the datasets be merged into a unified analytical framework.</w:t>
      </w:r>
    </w:p>
    <w:p w14:paraId="7E31962F" w14:textId="77777777" w:rsidR="00231860" w:rsidRPr="00231860" w:rsidRDefault="00231860" w:rsidP="00231860">
      <w:pPr>
        <w:pStyle w:val="Els-1storder-head"/>
        <w:numPr>
          <w:ilvl w:val="0"/>
          <w:numId w:val="0"/>
        </w:numPr>
        <w:rPr>
          <w:b w:val="0"/>
          <w:bCs/>
          <w:lang w:val="en-IE"/>
        </w:rPr>
      </w:pPr>
      <w:r w:rsidRPr="00231860">
        <w:rPr>
          <w:b w:val="0"/>
          <w:bCs/>
          <w:lang w:val="en-IE"/>
        </w:rPr>
        <w:t>One notable outcome is that Ústecký kraj emerged as the top performer, despite its reputation as one of the least favourable regions. Although it underperforms in broader socio-economic dimensions, it scores strongly in housing affordability and salary dynamics, suggesting development potential if supported by targeted policies.</w:t>
      </w:r>
    </w:p>
    <w:p w14:paraId="4F5B945E" w14:textId="77777777" w:rsidR="00231860" w:rsidRPr="00231860" w:rsidRDefault="00231860" w:rsidP="00231860">
      <w:pPr>
        <w:pStyle w:val="Els-1storder-head"/>
        <w:numPr>
          <w:ilvl w:val="0"/>
          <w:numId w:val="0"/>
        </w:numPr>
        <w:rPr>
          <w:b w:val="0"/>
          <w:bCs/>
          <w:lang w:val="en-IE"/>
        </w:rPr>
      </w:pPr>
      <w:r w:rsidRPr="00231860">
        <w:rPr>
          <w:b w:val="0"/>
          <w:bCs/>
          <w:lang w:val="en-IE"/>
        </w:rPr>
        <w:t>Overall, despite data limitations and a narrow indicator set, the study offers a transparent and practically relevant basis for evaluating regional conditions in the Czech Republic, highlighting both disparities and opportunities, and providing a foundation for more comprehensive future research.</w:t>
      </w:r>
    </w:p>
    <w:p w14:paraId="36030B97" w14:textId="77777777" w:rsidR="00231860" w:rsidRPr="00231860" w:rsidRDefault="00231860" w:rsidP="00231860">
      <w:pPr>
        <w:pStyle w:val="Els-body-text"/>
        <w:rPr>
          <w:lang w:val="en-IE"/>
        </w:rPr>
      </w:pPr>
    </w:p>
    <w:p w14:paraId="0344CA58" w14:textId="09A6F092" w:rsidR="00C56C61" w:rsidRPr="00231860" w:rsidRDefault="00C56C61" w:rsidP="00C56C61">
      <w:pPr>
        <w:pStyle w:val="Els-1storder-head"/>
        <w:rPr>
          <w:lang w:val="en-IE"/>
        </w:rPr>
      </w:pPr>
      <w:r w:rsidRPr="00231860">
        <w:rPr>
          <w:lang w:val="en-IE"/>
        </w:rPr>
        <w:t>Conclusion</w:t>
      </w:r>
    </w:p>
    <w:p w14:paraId="6F6F07EA" w14:textId="77777777" w:rsidR="00681BD6" w:rsidRPr="00231860" w:rsidRDefault="00681BD6" w:rsidP="00681BD6">
      <w:pPr>
        <w:pStyle w:val="Els-body-text"/>
        <w:ind w:firstLine="0"/>
        <w:jc w:val="left"/>
        <w:rPr>
          <w:lang w:val="en-IE"/>
        </w:rPr>
      </w:pPr>
      <w:r w:rsidRPr="00231860">
        <w:rPr>
          <w:lang w:val="en-IE"/>
        </w:rPr>
        <w:t>This study set out to identify which Czech region offers the most favourable conditions for purchasing a house or flat based on three indicators: housing affordability, crime levels, and average salaries. By combining multi-year data with clustering and regression analysis, the research provided a focused comparison of regions from an economic and safety-related perspective.</w:t>
      </w:r>
    </w:p>
    <w:p w14:paraId="001A3CDF" w14:textId="099DEC70" w:rsidR="002730F9" w:rsidRPr="00231860" w:rsidRDefault="00681BD6" w:rsidP="00681BD6">
      <w:pPr>
        <w:pStyle w:val="Els-body-text"/>
        <w:ind w:firstLine="0"/>
        <w:jc w:val="left"/>
        <w:rPr>
          <w:lang w:val="en-IE"/>
        </w:rPr>
      </w:pPr>
      <w:r w:rsidRPr="00231860">
        <w:rPr>
          <w:lang w:val="en-IE"/>
        </w:rPr>
        <w:t>The results show that regional performance varies over time and depends strongly on the indicators used. While initial calculations highlighted Vysočina, the final combined index—integrating both historical and forecasted data—identified Ústecký kraj as the top-performing region within the scope of this study. This outcome demonstrates that even regions often viewed negatively in broader socio-economic assessments may appear favourable when evaluated through a narrow financial lens.</w:t>
      </w:r>
    </w:p>
    <w:p w14:paraId="4B4C2DAD" w14:textId="77777777" w:rsidR="00681BD6" w:rsidRPr="00231860" w:rsidRDefault="00681BD6" w:rsidP="00681BD6">
      <w:pPr>
        <w:pStyle w:val="Els-body-text"/>
        <w:jc w:val="left"/>
        <w:rPr>
          <w:lang w:val="en-IE"/>
        </w:rPr>
      </w:pPr>
      <w:r w:rsidRPr="00231860">
        <w:rPr>
          <w:lang w:val="en-IE"/>
        </w:rPr>
        <w:t>Although limited by data inconsistencies and the narrow indicator set, the study offers a transparent framework that can support practical decision-making for individuals or investors. It also provides a foundation for future research using more comprehensive quality-of-life variables.</w:t>
      </w:r>
    </w:p>
    <w:p w14:paraId="2A2068BC" w14:textId="77777777" w:rsidR="00681BD6" w:rsidRPr="00231860" w:rsidRDefault="00681BD6" w:rsidP="002730F9">
      <w:pPr>
        <w:pStyle w:val="Els-body-text"/>
        <w:ind w:firstLine="0"/>
        <w:rPr>
          <w:lang w:val="en-IE"/>
        </w:rPr>
      </w:pPr>
    </w:p>
    <w:p w14:paraId="344A9577" w14:textId="77777777" w:rsidR="00A34520" w:rsidRPr="00231860" w:rsidRDefault="00A34520" w:rsidP="00A34520">
      <w:pPr>
        <w:pStyle w:val="Els-body-text"/>
        <w:ind w:firstLine="240"/>
        <w:rPr>
          <w:lang w:val="en-IE"/>
        </w:rPr>
      </w:pPr>
    </w:p>
    <w:p w14:paraId="20A9AB7E" w14:textId="77777777" w:rsidR="00A34520" w:rsidRPr="00231860" w:rsidRDefault="00A34520" w:rsidP="00A34520">
      <w:pPr>
        <w:pStyle w:val="Els-reference-head"/>
        <w:spacing w:before="240" w:after="240" w:line="240" w:lineRule="exact"/>
        <w:rPr>
          <w:lang w:val="en-IE"/>
        </w:rPr>
      </w:pPr>
      <w:r w:rsidRPr="00231860">
        <w:rPr>
          <w:lang w:val="en-IE"/>
        </w:rPr>
        <w:t>References</w:t>
      </w:r>
    </w:p>
    <w:p w14:paraId="54B3716F" w14:textId="77777777" w:rsidR="00746CE1" w:rsidRPr="00231860" w:rsidRDefault="00746CE1" w:rsidP="00746CE1">
      <w:pPr>
        <w:widowControl/>
      </w:pPr>
      <w:r w:rsidRPr="00231860">
        <w:t xml:space="preserve">Czech Statistical Office, 2023. </w:t>
      </w:r>
      <w:r w:rsidRPr="00231860">
        <w:rPr>
          <w:i/>
          <w:iCs/>
        </w:rPr>
        <w:t>Prices of real estate – Housing and flats by region</w:t>
      </w:r>
      <w:r w:rsidRPr="00231860">
        <w:t>. Available at:</w:t>
      </w:r>
      <w:r w:rsidRPr="00231860">
        <w:br/>
      </w:r>
      <w:hyperlink r:id="rId7" w:tgtFrame="_new" w:history="1">
        <w:r w:rsidRPr="00231860">
          <w:rPr>
            <w:rStyle w:val="Hypertextovodkaz"/>
            <w:sz w:val="20"/>
          </w:rPr>
          <w:t>https://csu.gov.cz/docs/107508/dbd73e72-7537-9dd7-49cc-d0233d33451d/137011a1.pdf</w:t>
        </w:r>
      </w:hyperlink>
      <w:r w:rsidRPr="00231860">
        <w:br/>
        <w:t>(Accessed: 29 November 2025).</w:t>
      </w:r>
    </w:p>
    <w:p w14:paraId="154EC5BD" w14:textId="77777777" w:rsidR="00746CE1" w:rsidRPr="00231860" w:rsidRDefault="00746CE1" w:rsidP="00746CE1">
      <w:pPr>
        <w:widowControl/>
      </w:pPr>
    </w:p>
    <w:p w14:paraId="66F3C7D6" w14:textId="6B56621D" w:rsidR="00A34520" w:rsidRPr="00231860" w:rsidRDefault="00746CE1" w:rsidP="00A34520">
      <w:pPr>
        <w:widowControl/>
      </w:pPr>
      <w:r w:rsidRPr="00231860">
        <w:t xml:space="preserve">Czech Statistical Office, n.d. </w:t>
      </w:r>
      <w:r w:rsidRPr="00231860">
        <w:rPr>
          <w:i/>
          <w:iCs/>
        </w:rPr>
        <w:t>Český statistický úřad – official homepage</w:t>
      </w:r>
      <w:r w:rsidRPr="00231860">
        <w:t>. Available at:</w:t>
      </w:r>
      <w:r w:rsidRPr="00231860">
        <w:br/>
      </w:r>
      <w:hyperlink r:id="rId8" w:tgtFrame="_new" w:history="1">
        <w:r w:rsidRPr="00231860">
          <w:rPr>
            <w:rStyle w:val="Hypertextovodkaz"/>
            <w:sz w:val="20"/>
          </w:rPr>
          <w:t>https://csu.gov.cz/</w:t>
        </w:r>
      </w:hyperlink>
      <w:r w:rsidRPr="00231860">
        <w:br/>
        <w:t>(Accessed: 29 November 2025).</w:t>
      </w:r>
    </w:p>
    <w:p w14:paraId="3E167397" w14:textId="77777777" w:rsidR="00746CE1" w:rsidRPr="00231860" w:rsidRDefault="00746CE1" w:rsidP="00A34520">
      <w:pPr>
        <w:widowControl/>
      </w:pPr>
    </w:p>
    <w:p w14:paraId="2EEA89B4" w14:textId="77777777" w:rsidR="00746CE1" w:rsidRPr="00231860" w:rsidRDefault="00746CE1" w:rsidP="00746CE1">
      <w:pPr>
        <w:widowControl/>
      </w:pPr>
      <w:r w:rsidRPr="00231860">
        <w:t xml:space="preserve">Novák, J. and Netrdová, P., 2020. </w:t>
      </w:r>
      <w:r w:rsidRPr="00231860">
        <w:rPr>
          <w:i/>
          <w:iCs/>
        </w:rPr>
        <w:t>Spatial Patterns of Socioeconomic Differentiation in the Czech Republic at the Level of Municipalities</w:t>
      </w:r>
      <w:r w:rsidRPr="00231860">
        <w:t>. Available at:</w:t>
      </w:r>
      <w:r w:rsidRPr="00231860">
        <w:br/>
      </w:r>
      <w:hyperlink r:id="rId9" w:tgtFrame="_new" w:history="1">
        <w:r w:rsidRPr="00231860">
          <w:rPr>
            <w:rStyle w:val="Hypertextovodkaz"/>
            <w:sz w:val="20"/>
          </w:rPr>
          <w:t>https://www.researchgate.net/publication/341849612_Spatial_Patterns_of_Socioeconomic_Differentiation_in_the_Czech_Republic_at_the_Level_of_Municipalities</w:t>
        </w:r>
      </w:hyperlink>
      <w:r w:rsidRPr="00231860">
        <w:br/>
        <w:t>(Accessed: 29 November 2025).</w:t>
      </w:r>
    </w:p>
    <w:p w14:paraId="55B637B8" w14:textId="77777777" w:rsidR="00746CE1" w:rsidRPr="00231860" w:rsidRDefault="00746CE1" w:rsidP="00746CE1">
      <w:pPr>
        <w:widowControl/>
      </w:pPr>
    </w:p>
    <w:p w14:paraId="4A846D01" w14:textId="77777777" w:rsidR="00746CE1" w:rsidRPr="00231860" w:rsidRDefault="00746CE1" w:rsidP="00746CE1">
      <w:pPr>
        <w:pStyle w:val="Odstavecseseznamem"/>
      </w:pPr>
    </w:p>
    <w:p w14:paraId="667652F4" w14:textId="09607D5E" w:rsidR="00746CE1" w:rsidRPr="00231860" w:rsidRDefault="00746CE1" w:rsidP="00746CE1">
      <w:pPr>
        <w:widowControl/>
      </w:pPr>
      <w:r w:rsidRPr="00231860">
        <w:lastRenderedPageBreak/>
        <w:t xml:space="preserve">ByznysAkce.cz, 2025. </w:t>
      </w:r>
      <w:r w:rsidRPr="00231860">
        <w:rPr>
          <w:i/>
          <w:iCs/>
        </w:rPr>
        <w:t>MPŽ 2025 – Místo pro život: socio-ekonomický přehled krajů ČR</w:t>
      </w:r>
      <w:r w:rsidRPr="00231860">
        <w:t>. Available at:</w:t>
      </w:r>
      <w:r w:rsidRPr="00231860">
        <w:br/>
      </w:r>
      <w:hyperlink r:id="rId10" w:tgtFrame="_new" w:history="1">
        <w:r w:rsidRPr="00231860">
          <w:rPr>
            <w:rStyle w:val="Hypertextovodkaz"/>
            <w:sz w:val="20"/>
          </w:rPr>
          <w:t>https://www.byznysakce.cz/Mistoprozivot2025</w:t>
        </w:r>
      </w:hyperlink>
      <w:r w:rsidRPr="00231860">
        <w:br/>
        <w:t>(Accessed: 29 November 2025).</w:t>
      </w:r>
    </w:p>
    <w:p w14:paraId="73ABDD46" w14:textId="77777777" w:rsidR="00746CE1" w:rsidRPr="00231860" w:rsidRDefault="00746CE1" w:rsidP="00A34520">
      <w:pPr>
        <w:widowControl/>
      </w:pPr>
    </w:p>
    <w:p w14:paraId="1607FF93" w14:textId="723C001F" w:rsidR="00746CE1" w:rsidRPr="00746CE1" w:rsidRDefault="00746CE1" w:rsidP="00A34520">
      <w:pPr>
        <w:widowControl/>
      </w:pPr>
      <w:r w:rsidRPr="00231860">
        <w:t xml:space="preserve">European Commission and OECD, 2019. </w:t>
      </w:r>
      <w:r w:rsidRPr="00231860">
        <w:rPr>
          <w:i/>
          <w:iCs/>
        </w:rPr>
        <w:t>The EU-OECD Definition of a Functional Urban Area</w:t>
      </w:r>
      <w:r w:rsidRPr="00231860">
        <w:t>. Available at:</w:t>
      </w:r>
      <w:r w:rsidRPr="00231860">
        <w:br/>
      </w:r>
      <w:hyperlink r:id="rId11" w:tgtFrame="_new" w:history="1">
        <w:r w:rsidRPr="00231860">
          <w:rPr>
            <w:rStyle w:val="Hypertextovodkaz"/>
            <w:sz w:val="20"/>
          </w:rPr>
          <w:t>https://www.oecd.org/content/dam/oecd/en/publications/reports/2019/12/the-eu-oecd-definition-of-a-functional-urban-area_cef4a128/d58cb34d-en.pdf</w:t>
        </w:r>
      </w:hyperlink>
      <w:r w:rsidRPr="00231860">
        <w:br/>
        <w:t>(Accessed: 29 November 2025).</w:t>
      </w:r>
    </w:p>
    <w:sectPr w:rsidR="00746CE1" w:rsidRPr="00746CE1" w:rsidSect="00A34520">
      <w:headerReference w:type="even" r:id="rId12"/>
      <w:headerReference w:type="default" r:id="rId13"/>
      <w:headerReference w:type="first" r:id="rId14"/>
      <w:footnotePr>
        <w:numFmt w:val="chicago"/>
      </w:footnotePr>
      <w:pgSz w:w="10886" w:h="14855" w:code="161"/>
      <w:pgMar w:top="-122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D9236" w14:textId="77777777" w:rsidR="001F2FAD" w:rsidRPr="00231860" w:rsidRDefault="001F2FAD" w:rsidP="00A34520">
      <w:r w:rsidRPr="00231860">
        <w:separator/>
      </w:r>
    </w:p>
  </w:endnote>
  <w:endnote w:type="continuationSeparator" w:id="0">
    <w:p w14:paraId="27F79FF0" w14:textId="77777777" w:rsidR="001F2FAD" w:rsidRPr="00231860" w:rsidRDefault="001F2FAD" w:rsidP="00A34520">
      <w:r w:rsidRPr="002318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EEAAF" w14:textId="77777777" w:rsidR="001F2FAD" w:rsidRPr="00231860" w:rsidRDefault="001F2FAD" w:rsidP="00A34520">
      <w:r w:rsidRPr="00231860">
        <w:separator/>
      </w:r>
    </w:p>
  </w:footnote>
  <w:footnote w:type="continuationSeparator" w:id="0">
    <w:p w14:paraId="28A91807" w14:textId="77777777" w:rsidR="001F2FAD" w:rsidRPr="00231860" w:rsidRDefault="001F2FAD" w:rsidP="00A34520">
      <w:r w:rsidRPr="002318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4CA6" w14:textId="77777777" w:rsidR="00737BA0" w:rsidRPr="00231860" w:rsidRDefault="00545538">
    <w:pPr>
      <w:pStyle w:val="Zhlav"/>
      <w:tabs>
        <w:tab w:val="center" w:pos="4920"/>
      </w:tabs>
      <w:spacing w:line="200" w:lineRule="exact"/>
      <w:rPr>
        <w:i w:val="0"/>
        <w:iCs/>
        <w:noProof w:val="0"/>
        <w:lang w:val="en-IE"/>
      </w:rPr>
    </w:pPr>
    <w:r w:rsidRPr="00231860">
      <w:rPr>
        <w:rStyle w:val="slostrnky"/>
        <w:i w:val="0"/>
        <w:noProof w:val="0"/>
        <w:lang w:val="en-IE"/>
      </w:rPr>
      <w:fldChar w:fldCharType="begin"/>
    </w:r>
    <w:r w:rsidRPr="00231860">
      <w:rPr>
        <w:rStyle w:val="slostrnky"/>
        <w:i w:val="0"/>
        <w:noProof w:val="0"/>
        <w:lang w:val="en-IE"/>
      </w:rPr>
      <w:instrText xml:space="preserve"> PAGE </w:instrText>
    </w:r>
    <w:r w:rsidRPr="00231860">
      <w:rPr>
        <w:rStyle w:val="slostrnky"/>
        <w:i w:val="0"/>
        <w:noProof w:val="0"/>
        <w:lang w:val="en-IE"/>
      </w:rPr>
      <w:fldChar w:fldCharType="separate"/>
    </w:r>
    <w:r w:rsidRPr="00231860">
      <w:rPr>
        <w:rStyle w:val="slostrnky"/>
        <w:i w:val="0"/>
        <w:noProof w:val="0"/>
        <w:lang w:val="en-IE"/>
      </w:rPr>
      <w:t>6</w:t>
    </w:r>
    <w:r w:rsidRPr="00231860">
      <w:rPr>
        <w:rStyle w:val="slostrnky"/>
        <w:i w:val="0"/>
        <w:noProof w:val="0"/>
        <w:lang w:val="en-IE"/>
      </w:rPr>
      <w:fldChar w:fldCharType="end"/>
    </w:r>
    <w:r w:rsidRPr="00231860">
      <w:rPr>
        <w:noProof w:val="0"/>
        <w:lang w:val="en-IE"/>
      </w:rPr>
      <w:tab/>
    </w:r>
    <w:r w:rsidRPr="00231860">
      <w:rPr>
        <w:noProof w:val="0"/>
        <w:lang w:val="en-IE"/>
      </w:rPr>
      <w:fldChar w:fldCharType="begin"/>
    </w:r>
    <w:r w:rsidRPr="00231860">
      <w:rPr>
        <w:noProof w:val="0"/>
        <w:lang w:val="en-IE"/>
      </w:rPr>
      <w:instrText xml:space="preserve"> MACROBUTTON NoMacro Author name </w:instrText>
    </w:r>
    <w:r w:rsidRPr="00231860">
      <w:rPr>
        <w:noProof w:val="0"/>
        <w:lang w:val="en-IE"/>
      </w:rPr>
      <w:fldChar w:fldCharType="end"/>
    </w:r>
    <w:r w:rsidRPr="00231860">
      <w:rPr>
        <w:noProof w:val="0"/>
        <w:lang w:val="en-IE"/>
      </w:rPr>
      <w:t>/ Procedia Computer Science 00 (</w:t>
    </w:r>
    <w:r w:rsidRPr="00231860">
      <w:rPr>
        <w:rFonts w:hint="eastAsia"/>
        <w:noProof w:val="0"/>
        <w:lang w:val="en-IE" w:eastAsia="zh-CN"/>
      </w:rPr>
      <w:t>201</w:t>
    </w:r>
    <w:r w:rsidRPr="00231860">
      <w:rPr>
        <w:noProof w:val="0"/>
        <w:lang w:val="en-IE" w:eastAsia="zh-CN"/>
      </w:rPr>
      <w:t>4</w:t>
    </w:r>
    <w:r w:rsidRPr="00231860">
      <w:rPr>
        <w:noProof w:val="0"/>
        <w:lang w:val="en-IE"/>
      </w:rP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C8CE" w14:textId="036AC268" w:rsidR="00737BA0" w:rsidRPr="00231860" w:rsidRDefault="00545538" w:rsidP="000605AA">
    <w:pPr>
      <w:pStyle w:val="Zhlav"/>
      <w:tabs>
        <w:tab w:val="clear" w:pos="9356"/>
        <w:tab w:val="center" w:pos="4920"/>
        <w:tab w:val="right" w:pos="9214"/>
      </w:tabs>
      <w:jc w:val="right"/>
      <w:rPr>
        <w:noProof w:val="0"/>
        <w:lang w:val="en-IE"/>
      </w:rPr>
    </w:pPr>
    <w:r w:rsidRPr="00231860">
      <w:rPr>
        <w:noProof w:val="0"/>
        <w:lang w:val="en-IE"/>
      </w:rPr>
      <w:tab/>
    </w:r>
    <w:r w:rsidRPr="00231860">
      <w:rPr>
        <w:noProof w:val="0"/>
        <w:lang w:val="en-IE"/>
      </w:rPr>
      <w:tab/>
    </w:r>
    <w:r w:rsidRPr="00231860">
      <w:rPr>
        <w:rStyle w:val="slostrnky"/>
        <w:i w:val="0"/>
        <w:noProof w:val="0"/>
        <w:lang w:val="en-IE"/>
      </w:rPr>
      <w:fldChar w:fldCharType="begin"/>
    </w:r>
    <w:r w:rsidRPr="00231860">
      <w:rPr>
        <w:rStyle w:val="slostrnky"/>
        <w:i w:val="0"/>
        <w:noProof w:val="0"/>
        <w:lang w:val="en-IE"/>
      </w:rPr>
      <w:instrText xml:space="preserve"> PAGE </w:instrText>
    </w:r>
    <w:r w:rsidRPr="00231860">
      <w:rPr>
        <w:rStyle w:val="slostrnky"/>
        <w:i w:val="0"/>
        <w:noProof w:val="0"/>
        <w:lang w:val="en-IE"/>
      </w:rPr>
      <w:fldChar w:fldCharType="separate"/>
    </w:r>
    <w:r w:rsidR="0069176A" w:rsidRPr="00231860">
      <w:rPr>
        <w:rStyle w:val="slostrnky"/>
        <w:i w:val="0"/>
        <w:noProof w:val="0"/>
        <w:lang w:val="en-IE"/>
      </w:rPr>
      <w:t>2</w:t>
    </w:r>
    <w:r w:rsidRPr="00231860">
      <w:rPr>
        <w:rStyle w:val="slostrnky"/>
        <w:i w:val="0"/>
        <w:noProof w:val="0"/>
        <w:lang w:val="en-I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655" w:type="dxa"/>
      <w:tblInd w:w="108" w:type="dxa"/>
      <w:tblLayout w:type="fixed"/>
      <w:tblLook w:val="0000" w:firstRow="0" w:lastRow="0" w:firstColumn="0" w:lastColumn="0" w:noHBand="0" w:noVBand="0"/>
    </w:tblPr>
    <w:tblGrid>
      <w:gridCol w:w="1265"/>
      <w:gridCol w:w="5695"/>
      <w:gridCol w:w="5695"/>
    </w:tblGrid>
    <w:tr w:rsidR="00A34520" w:rsidRPr="00231860" w14:paraId="3D9B1E59" w14:textId="77777777" w:rsidTr="00A34520">
      <w:trPr>
        <w:trHeight w:val="1868"/>
      </w:trPr>
      <w:tc>
        <w:tcPr>
          <w:tcW w:w="1265" w:type="dxa"/>
        </w:tcPr>
        <w:p w14:paraId="1938B15A" w14:textId="77777777" w:rsidR="00A34520" w:rsidRPr="00231860" w:rsidRDefault="00A34520" w:rsidP="00A34520">
          <w:pPr>
            <w:pStyle w:val="Zhlav"/>
            <w:rPr>
              <w:noProof w:val="0"/>
              <w:sz w:val="10"/>
              <w:lang w:val="en-IE"/>
            </w:rPr>
          </w:pPr>
        </w:p>
      </w:tc>
      <w:tc>
        <w:tcPr>
          <w:tcW w:w="5695" w:type="dxa"/>
        </w:tcPr>
        <w:p w14:paraId="2EF88830" w14:textId="77777777" w:rsidR="00A34520" w:rsidRPr="00231860" w:rsidRDefault="00A34520" w:rsidP="00A34520">
          <w:pPr>
            <w:pStyle w:val="Zhlav"/>
            <w:tabs>
              <w:tab w:val="left" w:pos="1932"/>
              <w:tab w:val="left" w:pos="2148"/>
            </w:tabs>
            <w:spacing w:before="80" w:beforeAutospacing="0" w:after="0" w:line="240" w:lineRule="auto"/>
            <w:ind w:left="-125" w:firstLine="3"/>
            <w:rPr>
              <w:i w:val="0"/>
              <w:iCs/>
              <w:noProof w:val="0"/>
              <w:lang w:val="en-IE"/>
            </w:rPr>
          </w:pPr>
        </w:p>
      </w:tc>
      <w:tc>
        <w:tcPr>
          <w:tcW w:w="5695" w:type="dxa"/>
        </w:tcPr>
        <w:p w14:paraId="0F8D5FA6" w14:textId="77777777" w:rsidR="00A34520" w:rsidRPr="00231860" w:rsidRDefault="00A34520" w:rsidP="00A34520">
          <w:pPr>
            <w:pStyle w:val="Zhlav"/>
            <w:spacing w:before="0" w:beforeAutospacing="0" w:after="0" w:line="200" w:lineRule="exact"/>
            <w:jc w:val="center"/>
            <w:rPr>
              <w:i w:val="0"/>
              <w:iCs/>
              <w:noProof w:val="0"/>
              <w:szCs w:val="16"/>
              <w:lang w:val="en-IE"/>
            </w:rPr>
          </w:pPr>
        </w:p>
      </w:tc>
    </w:tr>
  </w:tbl>
  <w:p w14:paraId="02E81B45" w14:textId="77777777" w:rsidR="00737BA0" w:rsidRPr="00231860" w:rsidRDefault="00737BA0">
    <w:pPr>
      <w:pStyle w:val="Zhlav"/>
      <w:tabs>
        <w:tab w:val="left" w:pos="6804"/>
      </w:tabs>
      <w:rPr>
        <w:noProof w:val="0"/>
        <w:lang w:val="en-I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1" w15:restartNumberingAfterBreak="0">
    <w:nsid w:val="21044698"/>
    <w:multiLevelType w:val="hybridMultilevel"/>
    <w:tmpl w:val="E36AF5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29945527"/>
    <w:multiLevelType w:val="hybridMultilevel"/>
    <w:tmpl w:val="095C80B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353B5AB5"/>
    <w:multiLevelType w:val="hybridMultilevel"/>
    <w:tmpl w:val="31F6260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5D00188"/>
    <w:multiLevelType w:val="hybridMultilevel"/>
    <w:tmpl w:val="FBDA7546"/>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A495B70"/>
    <w:multiLevelType w:val="hybridMultilevel"/>
    <w:tmpl w:val="1F66E690"/>
    <w:lvl w:ilvl="0" w:tplc="04050001">
      <w:start w:val="1"/>
      <w:numFmt w:val="bullet"/>
      <w:lvlText w:val=""/>
      <w:lvlJc w:val="left"/>
      <w:pPr>
        <w:ind w:left="958" w:hanging="360"/>
      </w:pPr>
      <w:rPr>
        <w:rFonts w:ascii="Symbol" w:hAnsi="Symbol" w:hint="default"/>
      </w:rPr>
    </w:lvl>
    <w:lvl w:ilvl="1" w:tplc="04050003" w:tentative="1">
      <w:start w:val="1"/>
      <w:numFmt w:val="bullet"/>
      <w:lvlText w:val="o"/>
      <w:lvlJc w:val="left"/>
      <w:pPr>
        <w:ind w:left="1678" w:hanging="360"/>
      </w:pPr>
      <w:rPr>
        <w:rFonts w:ascii="Courier New" w:hAnsi="Courier New" w:cs="Courier New" w:hint="default"/>
      </w:rPr>
    </w:lvl>
    <w:lvl w:ilvl="2" w:tplc="04050005" w:tentative="1">
      <w:start w:val="1"/>
      <w:numFmt w:val="bullet"/>
      <w:lvlText w:val=""/>
      <w:lvlJc w:val="left"/>
      <w:pPr>
        <w:ind w:left="2398" w:hanging="360"/>
      </w:pPr>
      <w:rPr>
        <w:rFonts w:ascii="Wingdings" w:hAnsi="Wingdings" w:hint="default"/>
      </w:rPr>
    </w:lvl>
    <w:lvl w:ilvl="3" w:tplc="04050001" w:tentative="1">
      <w:start w:val="1"/>
      <w:numFmt w:val="bullet"/>
      <w:lvlText w:val=""/>
      <w:lvlJc w:val="left"/>
      <w:pPr>
        <w:ind w:left="3118" w:hanging="360"/>
      </w:pPr>
      <w:rPr>
        <w:rFonts w:ascii="Symbol" w:hAnsi="Symbol" w:hint="default"/>
      </w:rPr>
    </w:lvl>
    <w:lvl w:ilvl="4" w:tplc="04050003" w:tentative="1">
      <w:start w:val="1"/>
      <w:numFmt w:val="bullet"/>
      <w:lvlText w:val="o"/>
      <w:lvlJc w:val="left"/>
      <w:pPr>
        <w:ind w:left="3838" w:hanging="360"/>
      </w:pPr>
      <w:rPr>
        <w:rFonts w:ascii="Courier New" w:hAnsi="Courier New" w:cs="Courier New" w:hint="default"/>
      </w:rPr>
    </w:lvl>
    <w:lvl w:ilvl="5" w:tplc="04050005" w:tentative="1">
      <w:start w:val="1"/>
      <w:numFmt w:val="bullet"/>
      <w:lvlText w:val=""/>
      <w:lvlJc w:val="left"/>
      <w:pPr>
        <w:ind w:left="4558" w:hanging="360"/>
      </w:pPr>
      <w:rPr>
        <w:rFonts w:ascii="Wingdings" w:hAnsi="Wingdings" w:hint="default"/>
      </w:rPr>
    </w:lvl>
    <w:lvl w:ilvl="6" w:tplc="04050001" w:tentative="1">
      <w:start w:val="1"/>
      <w:numFmt w:val="bullet"/>
      <w:lvlText w:val=""/>
      <w:lvlJc w:val="left"/>
      <w:pPr>
        <w:ind w:left="5278" w:hanging="360"/>
      </w:pPr>
      <w:rPr>
        <w:rFonts w:ascii="Symbol" w:hAnsi="Symbol" w:hint="default"/>
      </w:rPr>
    </w:lvl>
    <w:lvl w:ilvl="7" w:tplc="04050003" w:tentative="1">
      <w:start w:val="1"/>
      <w:numFmt w:val="bullet"/>
      <w:lvlText w:val="o"/>
      <w:lvlJc w:val="left"/>
      <w:pPr>
        <w:ind w:left="5998" w:hanging="360"/>
      </w:pPr>
      <w:rPr>
        <w:rFonts w:ascii="Courier New" w:hAnsi="Courier New" w:cs="Courier New" w:hint="default"/>
      </w:rPr>
    </w:lvl>
    <w:lvl w:ilvl="8" w:tplc="04050005" w:tentative="1">
      <w:start w:val="1"/>
      <w:numFmt w:val="bullet"/>
      <w:lvlText w:val=""/>
      <w:lvlJc w:val="left"/>
      <w:pPr>
        <w:ind w:left="6718" w:hanging="360"/>
      </w:pPr>
      <w:rPr>
        <w:rFonts w:ascii="Wingdings" w:hAnsi="Wingdings" w:hint="default"/>
      </w:rPr>
    </w:lvl>
  </w:abstractNum>
  <w:abstractNum w:abstractNumId="8"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9"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1595985"/>
    <w:multiLevelType w:val="hybridMultilevel"/>
    <w:tmpl w:val="F2EA8F4A"/>
    <w:lvl w:ilvl="0" w:tplc="04050001">
      <w:start w:val="1"/>
      <w:numFmt w:val="bullet"/>
      <w:lvlText w:val=""/>
      <w:lvlJc w:val="left"/>
      <w:pPr>
        <w:ind w:left="958" w:hanging="360"/>
      </w:pPr>
      <w:rPr>
        <w:rFonts w:ascii="Symbol" w:hAnsi="Symbol" w:hint="default"/>
      </w:rPr>
    </w:lvl>
    <w:lvl w:ilvl="1" w:tplc="04050003" w:tentative="1">
      <w:start w:val="1"/>
      <w:numFmt w:val="bullet"/>
      <w:lvlText w:val="o"/>
      <w:lvlJc w:val="left"/>
      <w:pPr>
        <w:ind w:left="1678" w:hanging="360"/>
      </w:pPr>
      <w:rPr>
        <w:rFonts w:ascii="Courier New" w:hAnsi="Courier New" w:cs="Courier New" w:hint="default"/>
      </w:rPr>
    </w:lvl>
    <w:lvl w:ilvl="2" w:tplc="04050005" w:tentative="1">
      <w:start w:val="1"/>
      <w:numFmt w:val="bullet"/>
      <w:lvlText w:val=""/>
      <w:lvlJc w:val="left"/>
      <w:pPr>
        <w:ind w:left="2398" w:hanging="360"/>
      </w:pPr>
      <w:rPr>
        <w:rFonts w:ascii="Wingdings" w:hAnsi="Wingdings" w:hint="default"/>
      </w:rPr>
    </w:lvl>
    <w:lvl w:ilvl="3" w:tplc="04050001" w:tentative="1">
      <w:start w:val="1"/>
      <w:numFmt w:val="bullet"/>
      <w:lvlText w:val=""/>
      <w:lvlJc w:val="left"/>
      <w:pPr>
        <w:ind w:left="3118" w:hanging="360"/>
      </w:pPr>
      <w:rPr>
        <w:rFonts w:ascii="Symbol" w:hAnsi="Symbol" w:hint="default"/>
      </w:rPr>
    </w:lvl>
    <w:lvl w:ilvl="4" w:tplc="04050003" w:tentative="1">
      <w:start w:val="1"/>
      <w:numFmt w:val="bullet"/>
      <w:lvlText w:val="o"/>
      <w:lvlJc w:val="left"/>
      <w:pPr>
        <w:ind w:left="3838" w:hanging="360"/>
      </w:pPr>
      <w:rPr>
        <w:rFonts w:ascii="Courier New" w:hAnsi="Courier New" w:cs="Courier New" w:hint="default"/>
      </w:rPr>
    </w:lvl>
    <w:lvl w:ilvl="5" w:tplc="04050005" w:tentative="1">
      <w:start w:val="1"/>
      <w:numFmt w:val="bullet"/>
      <w:lvlText w:val=""/>
      <w:lvlJc w:val="left"/>
      <w:pPr>
        <w:ind w:left="4558" w:hanging="360"/>
      </w:pPr>
      <w:rPr>
        <w:rFonts w:ascii="Wingdings" w:hAnsi="Wingdings" w:hint="default"/>
      </w:rPr>
    </w:lvl>
    <w:lvl w:ilvl="6" w:tplc="04050001" w:tentative="1">
      <w:start w:val="1"/>
      <w:numFmt w:val="bullet"/>
      <w:lvlText w:val=""/>
      <w:lvlJc w:val="left"/>
      <w:pPr>
        <w:ind w:left="5278" w:hanging="360"/>
      </w:pPr>
      <w:rPr>
        <w:rFonts w:ascii="Symbol" w:hAnsi="Symbol" w:hint="default"/>
      </w:rPr>
    </w:lvl>
    <w:lvl w:ilvl="7" w:tplc="04050003" w:tentative="1">
      <w:start w:val="1"/>
      <w:numFmt w:val="bullet"/>
      <w:lvlText w:val="o"/>
      <w:lvlJc w:val="left"/>
      <w:pPr>
        <w:ind w:left="5998" w:hanging="360"/>
      </w:pPr>
      <w:rPr>
        <w:rFonts w:ascii="Courier New" w:hAnsi="Courier New" w:cs="Courier New" w:hint="default"/>
      </w:rPr>
    </w:lvl>
    <w:lvl w:ilvl="8" w:tplc="04050005" w:tentative="1">
      <w:start w:val="1"/>
      <w:numFmt w:val="bullet"/>
      <w:lvlText w:val=""/>
      <w:lvlJc w:val="left"/>
      <w:pPr>
        <w:ind w:left="6718" w:hanging="360"/>
      </w:pPr>
      <w:rPr>
        <w:rFonts w:ascii="Wingdings" w:hAnsi="Wingdings" w:hint="default"/>
      </w:rPr>
    </w:lvl>
  </w:abstractNum>
  <w:abstractNum w:abstractNumId="11"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2" w15:restartNumberingAfterBreak="0">
    <w:nsid w:val="6833478C"/>
    <w:multiLevelType w:val="multilevel"/>
    <w:tmpl w:val="1386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7D9C2DE9"/>
    <w:multiLevelType w:val="hybridMultilevel"/>
    <w:tmpl w:val="0074D9EC"/>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num w:numId="1" w16cid:durableId="2020234658">
    <w:abstractNumId w:val="2"/>
  </w:num>
  <w:num w:numId="2" w16cid:durableId="1669166956">
    <w:abstractNumId w:val="8"/>
  </w:num>
  <w:num w:numId="3" w16cid:durableId="523598654">
    <w:abstractNumId w:val="0"/>
  </w:num>
  <w:num w:numId="4" w16cid:durableId="1113595208">
    <w:abstractNumId w:val="6"/>
  </w:num>
  <w:num w:numId="5" w16cid:durableId="825823186">
    <w:abstractNumId w:val="11"/>
  </w:num>
  <w:num w:numId="6" w16cid:durableId="1573586050">
    <w:abstractNumId w:val="9"/>
  </w:num>
  <w:num w:numId="7" w16cid:durableId="1639652910">
    <w:abstractNumId w:val="13"/>
  </w:num>
  <w:num w:numId="8" w16cid:durableId="1712801914">
    <w:abstractNumId w:val="6"/>
  </w:num>
  <w:num w:numId="9" w16cid:durableId="938297139">
    <w:abstractNumId w:val="6"/>
  </w:num>
  <w:num w:numId="10" w16cid:durableId="944462798">
    <w:abstractNumId w:val="0"/>
  </w:num>
  <w:num w:numId="11" w16cid:durableId="1894265597">
    <w:abstractNumId w:val="7"/>
  </w:num>
  <w:num w:numId="12" w16cid:durableId="1478259233">
    <w:abstractNumId w:val="4"/>
  </w:num>
  <w:num w:numId="13" w16cid:durableId="1198086881">
    <w:abstractNumId w:val="1"/>
  </w:num>
  <w:num w:numId="14" w16cid:durableId="554974359">
    <w:abstractNumId w:val="3"/>
  </w:num>
  <w:num w:numId="15" w16cid:durableId="1192458114">
    <w:abstractNumId w:val="14"/>
  </w:num>
  <w:num w:numId="16" w16cid:durableId="2142335488">
    <w:abstractNumId w:val="5"/>
  </w:num>
  <w:num w:numId="17" w16cid:durableId="827092782">
    <w:abstractNumId w:val="12"/>
  </w:num>
  <w:num w:numId="18" w16cid:durableId="707069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0"/>
    <w:rsid w:val="00010BE0"/>
    <w:rsid w:val="000A2651"/>
    <w:rsid w:val="001223D3"/>
    <w:rsid w:val="00122F50"/>
    <w:rsid w:val="001352C2"/>
    <w:rsid w:val="00191FEF"/>
    <w:rsid w:val="001D79AC"/>
    <w:rsid w:val="001F2FAD"/>
    <w:rsid w:val="001F41A5"/>
    <w:rsid w:val="00231860"/>
    <w:rsid w:val="00272037"/>
    <w:rsid w:val="002730F9"/>
    <w:rsid w:val="00290949"/>
    <w:rsid w:val="0029560B"/>
    <w:rsid w:val="002A0AED"/>
    <w:rsid w:val="002F3111"/>
    <w:rsid w:val="00365E93"/>
    <w:rsid w:val="003B1C59"/>
    <w:rsid w:val="00486462"/>
    <w:rsid w:val="004C78EB"/>
    <w:rsid w:val="004D6DA4"/>
    <w:rsid w:val="00505F24"/>
    <w:rsid w:val="00545538"/>
    <w:rsid w:val="00572BCC"/>
    <w:rsid w:val="005849D8"/>
    <w:rsid w:val="005C3826"/>
    <w:rsid w:val="005C57C2"/>
    <w:rsid w:val="00681BD6"/>
    <w:rsid w:val="0069176A"/>
    <w:rsid w:val="006F7515"/>
    <w:rsid w:val="00737BA0"/>
    <w:rsid w:val="00746CE1"/>
    <w:rsid w:val="007C2B6D"/>
    <w:rsid w:val="007C391C"/>
    <w:rsid w:val="007D3EB2"/>
    <w:rsid w:val="007E02F6"/>
    <w:rsid w:val="0090260B"/>
    <w:rsid w:val="00916F7A"/>
    <w:rsid w:val="00924BEB"/>
    <w:rsid w:val="00982C77"/>
    <w:rsid w:val="009D4B1A"/>
    <w:rsid w:val="00A34520"/>
    <w:rsid w:val="00A5042C"/>
    <w:rsid w:val="00A8116B"/>
    <w:rsid w:val="00AB603A"/>
    <w:rsid w:val="00B23A86"/>
    <w:rsid w:val="00BB2971"/>
    <w:rsid w:val="00C412D2"/>
    <w:rsid w:val="00C56911"/>
    <w:rsid w:val="00C56C61"/>
    <w:rsid w:val="00C94DCF"/>
    <w:rsid w:val="00CA2CDC"/>
    <w:rsid w:val="00CA418B"/>
    <w:rsid w:val="00D42946"/>
    <w:rsid w:val="00D93EF6"/>
    <w:rsid w:val="00DA47BF"/>
    <w:rsid w:val="00DB0026"/>
    <w:rsid w:val="00DB7A0F"/>
    <w:rsid w:val="00DE1955"/>
    <w:rsid w:val="00DF0FC3"/>
    <w:rsid w:val="00E01C12"/>
    <w:rsid w:val="00E8686B"/>
    <w:rsid w:val="00EA38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3302B"/>
  <w15:chartTrackingRefBased/>
  <w15:docId w15:val="{689CE911-5147-428F-B2A1-696C10DC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34520"/>
    <w:pPr>
      <w:widowControl w:val="0"/>
      <w:spacing w:after="0" w:line="240" w:lineRule="auto"/>
    </w:pPr>
    <w:rPr>
      <w:rFonts w:ascii="Times New Roman" w:eastAsia="SimSun" w:hAnsi="Times New Roman" w:cs="Times New Roman"/>
      <w:sz w:val="20"/>
      <w:szCs w:val="20"/>
    </w:rPr>
  </w:style>
  <w:style w:type="paragraph" w:styleId="Nadpis1">
    <w:name w:val="heading 1"/>
    <w:basedOn w:val="Normln"/>
    <w:next w:val="Normln"/>
    <w:link w:val="Nadpis1Char"/>
    <w:qFormat/>
    <w:rsid w:val="00A34520"/>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Nadpis2">
    <w:name w:val="heading 2"/>
    <w:basedOn w:val="Normln"/>
    <w:next w:val="Normln"/>
    <w:link w:val="Nadpis2Char"/>
    <w:uiPriority w:val="9"/>
    <w:semiHidden/>
    <w:unhideWhenUsed/>
    <w:qFormat/>
    <w:rsid w:val="00924B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Nadpis3">
    <w:name w:val="heading 3"/>
    <w:basedOn w:val="Normln"/>
    <w:next w:val="Normln"/>
    <w:link w:val="Nadpis3Char"/>
    <w:uiPriority w:val="9"/>
    <w:semiHidden/>
    <w:unhideWhenUsed/>
    <w:qFormat/>
    <w:rsid w:val="00746CE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A34520"/>
    <w:rPr>
      <w:rFonts w:ascii="Times New Roman" w:eastAsia="SimSun" w:hAnsi="Times New Roman" w:cs="Times New Roman"/>
      <w:b/>
      <w:bCs/>
      <w:sz w:val="20"/>
      <w:szCs w:val="20"/>
      <w:lang w:val="en-GB"/>
    </w:rPr>
  </w:style>
  <w:style w:type="paragraph" w:customStyle="1" w:styleId="Els-1storder-head">
    <w:name w:val="Els-1storder-head"/>
    <w:next w:val="Els-body-text"/>
    <w:rsid w:val="00A34520"/>
    <w:pPr>
      <w:keepNext/>
      <w:numPr>
        <w:numId w:val="4"/>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A34520"/>
    <w:pPr>
      <w:keepNext/>
      <w:numPr>
        <w:ilvl w:val="1"/>
        <w:numId w:val="4"/>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34520"/>
    <w:pPr>
      <w:keepNext/>
      <w:numPr>
        <w:ilvl w:val="2"/>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34520"/>
    <w:pPr>
      <w:keepNext/>
      <w:numPr>
        <w:ilvl w:val="3"/>
        <w:numId w:val="4"/>
      </w:numPr>
      <w:tabs>
        <w:tab w:val="num" w:pos="360"/>
      </w:tabs>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ln"/>
    <w:rsid w:val="00A34520"/>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ln"/>
    <w:rsid w:val="00A34520"/>
    <w:pPr>
      <w:spacing w:after="0" w:line="220" w:lineRule="exact"/>
      <w:jc w:val="both"/>
    </w:pPr>
    <w:rPr>
      <w:rFonts w:ascii="Times New Roman" w:eastAsia="SimSun" w:hAnsi="Times New Roman" w:cs="Times New Roman"/>
      <w:sz w:val="18"/>
      <w:szCs w:val="20"/>
      <w:lang w:val="en-US"/>
    </w:rPr>
  </w:style>
  <w:style w:type="paragraph" w:customStyle="1" w:styleId="Els-acknowledgement">
    <w:name w:val="Els-acknowledgement"/>
    <w:next w:val="Normln"/>
    <w:rsid w:val="00A34520"/>
    <w:pPr>
      <w:keepNext/>
      <w:spacing w:before="480" w:after="240" w:line="220" w:lineRule="exact"/>
    </w:pPr>
    <w:rPr>
      <w:rFonts w:ascii="Times New Roman" w:eastAsia="SimSun" w:hAnsi="Times New Roman" w:cs="Times New Roman"/>
      <w:b/>
      <w:sz w:val="20"/>
      <w:szCs w:val="20"/>
      <w:lang w:val="en-US"/>
    </w:rPr>
  </w:style>
  <w:style w:type="paragraph" w:customStyle="1" w:styleId="Els-Affiliation">
    <w:name w:val="Els-Affiliation"/>
    <w:next w:val="Els-Abstract-head"/>
    <w:rsid w:val="00A34520"/>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ppendixhead">
    <w:name w:val="Els-appendixhead"/>
    <w:next w:val="Normln"/>
    <w:rsid w:val="00A34520"/>
    <w:pPr>
      <w:numPr>
        <w:numId w:val="1"/>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ln"/>
    <w:rsid w:val="00A34520"/>
    <w:pPr>
      <w:numPr>
        <w:ilvl w:val="1"/>
        <w:numId w:val="2"/>
      </w:numPr>
      <w:spacing w:before="240" w:after="240" w:line="220" w:lineRule="exact"/>
    </w:pPr>
    <w:rPr>
      <w:rFonts w:ascii="Times New Roman" w:eastAsia="SimSun" w:hAnsi="Times New Roman" w:cs="Times New Roman"/>
      <w:i/>
      <w:sz w:val="20"/>
      <w:szCs w:val="20"/>
      <w:lang w:val="en-US"/>
    </w:rPr>
  </w:style>
  <w:style w:type="paragraph" w:customStyle="1" w:styleId="Els-Author">
    <w:name w:val="Els-Author"/>
    <w:next w:val="Normln"/>
    <w:rsid w:val="00A34520"/>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A34520"/>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34520"/>
    <w:pPr>
      <w:numPr>
        <w:numId w:val="3"/>
      </w:numPr>
      <w:tabs>
        <w:tab w:val="left" w:pos="240"/>
      </w:tabs>
      <w:jc w:val="left"/>
    </w:pPr>
  </w:style>
  <w:style w:type="paragraph" w:customStyle="1" w:styleId="Els-caption">
    <w:name w:val="Els-caption"/>
    <w:rsid w:val="00A34520"/>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ln"/>
    <w:rsid w:val="00A34520"/>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footnote">
    <w:name w:val="Els-footnote"/>
    <w:rsid w:val="00A34520"/>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ln"/>
    <w:rsid w:val="00A34520"/>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reference-head">
    <w:name w:val="Els-reference-head"/>
    <w:next w:val="Normln"/>
    <w:rsid w:val="00A34520"/>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A34520"/>
    <w:pPr>
      <w:spacing w:after="80" w:line="200" w:lineRule="exact"/>
    </w:pPr>
    <w:rPr>
      <w:rFonts w:ascii="Times New Roman" w:eastAsia="SimSun" w:hAnsi="Times New Roman" w:cs="Times New Roman"/>
      <w:sz w:val="16"/>
      <w:szCs w:val="20"/>
      <w:lang w:val="en-US"/>
    </w:rPr>
  </w:style>
  <w:style w:type="paragraph" w:customStyle="1" w:styleId="Els-Title">
    <w:name w:val="Els-Title"/>
    <w:next w:val="Els-Author"/>
    <w:autoRedefine/>
    <w:rsid w:val="00A34520"/>
    <w:pPr>
      <w:suppressAutoHyphens/>
      <w:spacing w:after="240" w:line="400" w:lineRule="exact"/>
      <w:jc w:val="center"/>
    </w:pPr>
    <w:rPr>
      <w:rFonts w:ascii="Times New Roman" w:eastAsia="SimSun" w:hAnsi="Times New Roman" w:cs="Times New Roman"/>
      <w:sz w:val="34"/>
      <w:szCs w:val="20"/>
      <w:lang w:val="en-US"/>
    </w:rPr>
  </w:style>
  <w:style w:type="paragraph" w:styleId="Zhlav">
    <w:name w:val="header"/>
    <w:link w:val="ZhlavChar"/>
    <w:semiHidden/>
    <w:rsid w:val="00A34520"/>
    <w:pPr>
      <w:tabs>
        <w:tab w:val="center" w:pos="4706"/>
        <w:tab w:val="right" w:pos="9356"/>
      </w:tabs>
      <w:spacing w:before="100" w:beforeAutospacing="1" w:after="240" w:line="200" w:lineRule="atLeast"/>
    </w:pPr>
    <w:rPr>
      <w:rFonts w:ascii="Times New Roman" w:eastAsia="SimSun" w:hAnsi="Times New Roman" w:cs="Times New Roman"/>
      <w:i/>
      <w:noProof/>
      <w:sz w:val="16"/>
      <w:szCs w:val="20"/>
      <w:lang w:val="en-US"/>
    </w:rPr>
  </w:style>
  <w:style w:type="character" w:customStyle="1" w:styleId="ZhlavChar">
    <w:name w:val="Záhlaví Char"/>
    <w:basedOn w:val="Standardnpsmoodstavce"/>
    <w:link w:val="Zhlav"/>
    <w:semiHidden/>
    <w:rsid w:val="00A34520"/>
    <w:rPr>
      <w:rFonts w:ascii="Times New Roman" w:eastAsia="SimSun" w:hAnsi="Times New Roman" w:cs="Times New Roman"/>
      <w:i/>
      <w:noProof/>
      <w:sz w:val="16"/>
      <w:szCs w:val="20"/>
      <w:lang w:val="en-US"/>
    </w:rPr>
  </w:style>
  <w:style w:type="paragraph" w:styleId="Zpat">
    <w:name w:val="footer"/>
    <w:basedOn w:val="Zhlav"/>
    <w:link w:val="ZpatChar"/>
    <w:semiHidden/>
    <w:rsid w:val="00A34520"/>
    <w:pPr>
      <w:tabs>
        <w:tab w:val="right" w:pos="10080"/>
      </w:tabs>
    </w:pPr>
    <w:rPr>
      <w:i w:val="0"/>
    </w:rPr>
  </w:style>
  <w:style w:type="character" w:customStyle="1" w:styleId="ZpatChar">
    <w:name w:val="Zápatí Char"/>
    <w:basedOn w:val="Standardnpsmoodstavce"/>
    <w:link w:val="Zpat"/>
    <w:semiHidden/>
    <w:rsid w:val="00A34520"/>
    <w:rPr>
      <w:rFonts w:ascii="Times New Roman" w:eastAsia="SimSun" w:hAnsi="Times New Roman" w:cs="Times New Roman"/>
      <w:noProof/>
      <w:sz w:val="16"/>
      <w:szCs w:val="20"/>
      <w:lang w:val="en-US"/>
    </w:rPr>
  </w:style>
  <w:style w:type="character" w:styleId="Znakapoznpodarou">
    <w:name w:val="footnote reference"/>
    <w:semiHidden/>
    <w:rsid w:val="00A34520"/>
    <w:rPr>
      <w:vertAlign w:val="superscript"/>
    </w:rPr>
  </w:style>
  <w:style w:type="paragraph" w:styleId="Textpoznpodarou">
    <w:name w:val="footnote text"/>
    <w:basedOn w:val="Normln"/>
    <w:link w:val="TextpoznpodarouChar"/>
    <w:semiHidden/>
    <w:rsid w:val="00A34520"/>
    <w:rPr>
      <w:rFonts w:ascii="Univers" w:hAnsi="Univers"/>
    </w:rPr>
  </w:style>
  <w:style w:type="character" w:customStyle="1" w:styleId="TextpoznpodarouChar">
    <w:name w:val="Text pozn. pod čarou Char"/>
    <w:basedOn w:val="Standardnpsmoodstavce"/>
    <w:link w:val="Textpoznpodarou"/>
    <w:semiHidden/>
    <w:rsid w:val="00A34520"/>
    <w:rPr>
      <w:rFonts w:ascii="Univers" w:eastAsia="SimSun" w:hAnsi="Univers" w:cs="Times New Roman"/>
      <w:sz w:val="20"/>
      <w:szCs w:val="20"/>
      <w:lang w:val="en-GB"/>
    </w:rPr>
  </w:style>
  <w:style w:type="character" w:styleId="Hypertextovodkaz">
    <w:name w:val="Hyperlink"/>
    <w:semiHidden/>
    <w:rsid w:val="00A34520"/>
    <w:rPr>
      <w:color w:val="auto"/>
      <w:sz w:val="16"/>
      <w:u w:val="none"/>
    </w:rPr>
  </w:style>
  <w:style w:type="character" w:styleId="slostrnky">
    <w:name w:val="page number"/>
    <w:semiHidden/>
    <w:rsid w:val="00A34520"/>
    <w:rPr>
      <w:sz w:val="16"/>
    </w:rPr>
  </w:style>
  <w:style w:type="paragraph" w:customStyle="1" w:styleId="DocHead">
    <w:name w:val="DocHead"/>
    <w:rsid w:val="00A34520"/>
    <w:pPr>
      <w:spacing w:before="240" w:after="240" w:line="240" w:lineRule="auto"/>
      <w:jc w:val="center"/>
    </w:pPr>
    <w:rPr>
      <w:rFonts w:ascii="Times New Roman" w:eastAsia="SimSun" w:hAnsi="Times New Roman" w:cs="Times New Roman"/>
      <w:sz w:val="24"/>
      <w:szCs w:val="20"/>
      <w:lang w:val="en-US"/>
    </w:rPr>
  </w:style>
  <w:style w:type="paragraph" w:styleId="Textkomente">
    <w:name w:val="annotation text"/>
    <w:basedOn w:val="Normln"/>
    <w:link w:val="TextkomenteChar"/>
    <w:semiHidden/>
    <w:unhideWhenUsed/>
    <w:rsid w:val="00A34520"/>
  </w:style>
  <w:style w:type="character" w:customStyle="1" w:styleId="TextkomenteChar">
    <w:name w:val="Text komentáře Char"/>
    <w:basedOn w:val="Standardnpsmoodstavce"/>
    <w:link w:val="Textkomente"/>
    <w:semiHidden/>
    <w:rsid w:val="00A34520"/>
    <w:rPr>
      <w:rFonts w:ascii="Times New Roman" w:eastAsia="SimSun" w:hAnsi="Times New Roman" w:cs="Times New Roman"/>
      <w:sz w:val="20"/>
      <w:szCs w:val="20"/>
      <w:lang w:val="en-GB"/>
    </w:rPr>
  </w:style>
  <w:style w:type="paragraph" w:styleId="Zkladntextodsazen">
    <w:name w:val="Body Text Indent"/>
    <w:basedOn w:val="Normln"/>
    <w:link w:val="ZkladntextodsazenChar"/>
    <w:semiHidden/>
    <w:rsid w:val="00A34520"/>
    <w:pPr>
      <w:widowControl/>
      <w:suppressAutoHyphens/>
      <w:ind w:firstLine="360"/>
      <w:jc w:val="both"/>
    </w:pPr>
    <w:rPr>
      <w:rFonts w:eastAsia="Times New Roman"/>
      <w:kern w:val="14"/>
      <w:lang w:val="en-US"/>
    </w:rPr>
  </w:style>
  <w:style w:type="character" w:customStyle="1" w:styleId="ZkladntextodsazenChar">
    <w:name w:val="Základní text odsazený Char"/>
    <w:basedOn w:val="Standardnpsmoodstavce"/>
    <w:link w:val="Zkladntextodsazen"/>
    <w:semiHidden/>
    <w:rsid w:val="00A34520"/>
    <w:rPr>
      <w:rFonts w:ascii="Times New Roman" w:eastAsia="Times New Roman" w:hAnsi="Times New Roman" w:cs="Times New Roman"/>
      <w:kern w:val="14"/>
      <w:sz w:val="20"/>
      <w:szCs w:val="20"/>
      <w:lang w:val="en-US"/>
    </w:rPr>
  </w:style>
  <w:style w:type="paragraph" w:styleId="Zkladntextodsazen2">
    <w:name w:val="Body Text Indent 2"/>
    <w:basedOn w:val="Normln"/>
    <w:link w:val="Zkladntextodsazen2Char"/>
    <w:semiHidden/>
    <w:rsid w:val="00A34520"/>
    <w:pPr>
      <w:ind w:firstLine="240"/>
    </w:pPr>
  </w:style>
  <w:style w:type="character" w:customStyle="1" w:styleId="Zkladntextodsazen2Char">
    <w:name w:val="Základní text odsazený 2 Char"/>
    <w:basedOn w:val="Standardnpsmoodstavce"/>
    <w:link w:val="Zkladntextodsazen2"/>
    <w:semiHidden/>
    <w:rsid w:val="00A34520"/>
    <w:rPr>
      <w:rFonts w:ascii="Times New Roman" w:eastAsia="SimSun" w:hAnsi="Times New Roman" w:cs="Times New Roman"/>
      <w:sz w:val="20"/>
      <w:szCs w:val="20"/>
      <w:lang w:val="en-GB"/>
    </w:rPr>
  </w:style>
  <w:style w:type="paragraph" w:styleId="Odstavecseseznamem">
    <w:name w:val="List Paragraph"/>
    <w:basedOn w:val="Normln"/>
    <w:uiPriority w:val="34"/>
    <w:qFormat/>
    <w:rsid w:val="00A34520"/>
    <w:pPr>
      <w:ind w:left="720"/>
      <w:contextualSpacing/>
    </w:pPr>
  </w:style>
  <w:style w:type="paragraph" w:styleId="Textbubliny">
    <w:name w:val="Balloon Text"/>
    <w:basedOn w:val="Normln"/>
    <w:link w:val="TextbublinyChar"/>
    <w:uiPriority w:val="99"/>
    <w:semiHidden/>
    <w:unhideWhenUsed/>
    <w:rsid w:val="00A34520"/>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A34520"/>
    <w:rPr>
      <w:rFonts w:ascii="Segoe UI" w:eastAsia="SimSun" w:hAnsi="Segoe UI" w:cs="Segoe UI"/>
      <w:sz w:val="18"/>
      <w:szCs w:val="18"/>
      <w:lang w:val="en-GB"/>
    </w:rPr>
  </w:style>
  <w:style w:type="character" w:styleId="Siln">
    <w:name w:val="Strong"/>
    <w:basedOn w:val="Standardnpsmoodstavce"/>
    <w:uiPriority w:val="22"/>
    <w:qFormat/>
    <w:rsid w:val="00122F50"/>
    <w:rPr>
      <w:b/>
      <w:bCs/>
    </w:rPr>
  </w:style>
  <w:style w:type="character" w:styleId="Zdraznn">
    <w:name w:val="Emphasis"/>
    <w:basedOn w:val="Standardnpsmoodstavce"/>
    <w:uiPriority w:val="20"/>
    <w:qFormat/>
    <w:rsid w:val="00122F50"/>
    <w:rPr>
      <w:i/>
      <w:iCs/>
    </w:rPr>
  </w:style>
  <w:style w:type="character" w:styleId="Nevyeenzmnka">
    <w:name w:val="Unresolved Mention"/>
    <w:basedOn w:val="Standardnpsmoodstavce"/>
    <w:uiPriority w:val="99"/>
    <w:semiHidden/>
    <w:unhideWhenUsed/>
    <w:rsid w:val="005C3826"/>
    <w:rPr>
      <w:color w:val="605E5C"/>
      <w:shd w:val="clear" w:color="auto" w:fill="E1DFDD"/>
    </w:rPr>
  </w:style>
  <w:style w:type="paragraph" w:styleId="Normlnweb">
    <w:name w:val="Normal (Web)"/>
    <w:basedOn w:val="Normln"/>
    <w:uiPriority w:val="99"/>
    <w:semiHidden/>
    <w:unhideWhenUsed/>
    <w:rsid w:val="006F7515"/>
    <w:pPr>
      <w:widowControl/>
      <w:spacing w:before="100" w:beforeAutospacing="1" w:after="100" w:afterAutospacing="1"/>
    </w:pPr>
    <w:rPr>
      <w:rFonts w:eastAsia="Times New Roman"/>
      <w:sz w:val="24"/>
      <w:szCs w:val="24"/>
      <w:lang w:val="cs-CZ" w:eastAsia="cs-CZ"/>
    </w:rPr>
  </w:style>
  <w:style w:type="character" w:customStyle="1" w:styleId="Nadpis2Char">
    <w:name w:val="Nadpis 2 Char"/>
    <w:basedOn w:val="Standardnpsmoodstavce"/>
    <w:link w:val="Nadpis2"/>
    <w:uiPriority w:val="9"/>
    <w:semiHidden/>
    <w:rsid w:val="00924BEB"/>
    <w:rPr>
      <w:rFonts w:asciiTheme="majorHAnsi" w:eastAsiaTheme="majorEastAsia" w:hAnsiTheme="majorHAnsi" w:cstheme="majorBidi"/>
      <w:color w:val="2E74B5" w:themeColor="accent1" w:themeShade="BF"/>
      <w:sz w:val="26"/>
      <w:szCs w:val="26"/>
      <w:lang w:val="en-GB"/>
    </w:rPr>
  </w:style>
  <w:style w:type="character" w:customStyle="1" w:styleId="Nadpis3Char">
    <w:name w:val="Nadpis 3 Char"/>
    <w:basedOn w:val="Standardnpsmoodstavce"/>
    <w:link w:val="Nadpis3"/>
    <w:uiPriority w:val="9"/>
    <w:semiHidden/>
    <w:rsid w:val="00746CE1"/>
    <w:rPr>
      <w:rFonts w:asciiTheme="majorHAnsi" w:eastAsiaTheme="majorEastAsia" w:hAnsiTheme="majorHAnsi" w:cstheme="majorBidi"/>
      <w:color w:val="1F4D78"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502">
      <w:bodyDiv w:val="1"/>
      <w:marLeft w:val="0"/>
      <w:marRight w:val="0"/>
      <w:marTop w:val="0"/>
      <w:marBottom w:val="0"/>
      <w:divBdr>
        <w:top w:val="none" w:sz="0" w:space="0" w:color="auto"/>
        <w:left w:val="none" w:sz="0" w:space="0" w:color="auto"/>
        <w:bottom w:val="none" w:sz="0" w:space="0" w:color="auto"/>
        <w:right w:val="none" w:sz="0" w:space="0" w:color="auto"/>
      </w:divBdr>
      <w:divsChild>
        <w:div w:id="1508984871">
          <w:marLeft w:val="0"/>
          <w:marRight w:val="0"/>
          <w:marTop w:val="0"/>
          <w:marBottom w:val="0"/>
          <w:divBdr>
            <w:top w:val="none" w:sz="0" w:space="0" w:color="auto"/>
            <w:left w:val="none" w:sz="0" w:space="0" w:color="auto"/>
            <w:bottom w:val="none" w:sz="0" w:space="0" w:color="auto"/>
            <w:right w:val="none" w:sz="0" w:space="0" w:color="auto"/>
          </w:divBdr>
        </w:div>
      </w:divsChild>
    </w:div>
    <w:div w:id="747272282">
      <w:bodyDiv w:val="1"/>
      <w:marLeft w:val="0"/>
      <w:marRight w:val="0"/>
      <w:marTop w:val="0"/>
      <w:marBottom w:val="0"/>
      <w:divBdr>
        <w:top w:val="none" w:sz="0" w:space="0" w:color="auto"/>
        <w:left w:val="none" w:sz="0" w:space="0" w:color="auto"/>
        <w:bottom w:val="none" w:sz="0" w:space="0" w:color="auto"/>
        <w:right w:val="none" w:sz="0" w:space="0" w:color="auto"/>
      </w:divBdr>
      <w:divsChild>
        <w:div w:id="883907608">
          <w:marLeft w:val="0"/>
          <w:marRight w:val="0"/>
          <w:marTop w:val="0"/>
          <w:marBottom w:val="0"/>
          <w:divBdr>
            <w:top w:val="none" w:sz="0" w:space="0" w:color="auto"/>
            <w:left w:val="none" w:sz="0" w:space="0" w:color="auto"/>
            <w:bottom w:val="none" w:sz="0" w:space="0" w:color="auto"/>
            <w:right w:val="none" w:sz="0" w:space="0" w:color="auto"/>
          </w:divBdr>
        </w:div>
        <w:div w:id="454298696">
          <w:marLeft w:val="0"/>
          <w:marRight w:val="0"/>
          <w:marTop w:val="0"/>
          <w:marBottom w:val="0"/>
          <w:divBdr>
            <w:top w:val="none" w:sz="0" w:space="0" w:color="auto"/>
            <w:left w:val="none" w:sz="0" w:space="0" w:color="auto"/>
            <w:bottom w:val="none" w:sz="0" w:space="0" w:color="auto"/>
            <w:right w:val="none" w:sz="0" w:space="0" w:color="auto"/>
          </w:divBdr>
        </w:div>
        <w:div w:id="585724314">
          <w:marLeft w:val="0"/>
          <w:marRight w:val="0"/>
          <w:marTop w:val="0"/>
          <w:marBottom w:val="0"/>
          <w:divBdr>
            <w:top w:val="none" w:sz="0" w:space="0" w:color="auto"/>
            <w:left w:val="none" w:sz="0" w:space="0" w:color="auto"/>
            <w:bottom w:val="none" w:sz="0" w:space="0" w:color="auto"/>
            <w:right w:val="none" w:sz="0" w:space="0" w:color="auto"/>
          </w:divBdr>
        </w:div>
        <w:div w:id="1409961080">
          <w:marLeft w:val="0"/>
          <w:marRight w:val="0"/>
          <w:marTop w:val="0"/>
          <w:marBottom w:val="0"/>
          <w:divBdr>
            <w:top w:val="none" w:sz="0" w:space="0" w:color="auto"/>
            <w:left w:val="none" w:sz="0" w:space="0" w:color="auto"/>
            <w:bottom w:val="none" w:sz="0" w:space="0" w:color="auto"/>
            <w:right w:val="none" w:sz="0" w:space="0" w:color="auto"/>
          </w:divBdr>
        </w:div>
        <w:div w:id="722291705">
          <w:marLeft w:val="0"/>
          <w:marRight w:val="0"/>
          <w:marTop w:val="0"/>
          <w:marBottom w:val="0"/>
          <w:divBdr>
            <w:top w:val="none" w:sz="0" w:space="0" w:color="auto"/>
            <w:left w:val="none" w:sz="0" w:space="0" w:color="auto"/>
            <w:bottom w:val="none" w:sz="0" w:space="0" w:color="auto"/>
            <w:right w:val="none" w:sz="0" w:space="0" w:color="auto"/>
          </w:divBdr>
        </w:div>
        <w:div w:id="982781744">
          <w:marLeft w:val="0"/>
          <w:marRight w:val="0"/>
          <w:marTop w:val="0"/>
          <w:marBottom w:val="0"/>
          <w:divBdr>
            <w:top w:val="none" w:sz="0" w:space="0" w:color="auto"/>
            <w:left w:val="none" w:sz="0" w:space="0" w:color="auto"/>
            <w:bottom w:val="none" w:sz="0" w:space="0" w:color="auto"/>
            <w:right w:val="none" w:sz="0" w:space="0" w:color="auto"/>
          </w:divBdr>
        </w:div>
        <w:div w:id="509755716">
          <w:marLeft w:val="0"/>
          <w:marRight w:val="0"/>
          <w:marTop w:val="0"/>
          <w:marBottom w:val="0"/>
          <w:divBdr>
            <w:top w:val="none" w:sz="0" w:space="0" w:color="auto"/>
            <w:left w:val="none" w:sz="0" w:space="0" w:color="auto"/>
            <w:bottom w:val="none" w:sz="0" w:space="0" w:color="auto"/>
            <w:right w:val="none" w:sz="0" w:space="0" w:color="auto"/>
          </w:divBdr>
        </w:div>
        <w:div w:id="1790082602">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712116469">
          <w:marLeft w:val="0"/>
          <w:marRight w:val="0"/>
          <w:marTop w:val="0"/>
          <w:marBottom w:val="0"/>
          <w:divBdr>
            <w:top w:val="none" w:sz="0" w:space="0" w:color="auto"/>
            <w:left w:val="none" w:sz="0" w:space="0" w:color="auto"/>
            <w:bottom w:val="none" w:sz="0" w:space="0" w:color="auto"/>
            <w:right w:val="none" w:sz="0" w:space="0" w:color="auto"/>
          </w:divBdr>
        </w:div>
        <w:div w:id="674769233">
          <w:marLeft w:val="0"/>
          <w:marRight w:val="0"/>
          <w:marTop w:val="0"/>
          <w:marBottom w:val="0"/>
          <w:divBdr>
            <w:top w:val="none" w:sz="0" w:space="0" w:color="auto"/>
            <w:left w:val="none" w:sz="0" w:space="0" w:color="auto"/>
            <w:bottom w:val="none" w:sz="0" w:space="0" w:color="auto"/>
            <w:right w:val="none" w:sz="0" w:space="0" w:color="auto"/>
          </w:divBdr>
        </w:div>
        <w:div w:id="180975147">
          <w:marLeft w:val="0"/>
          <w:marRight w:val="0"/>
          <w:marTop w:val="0"/>
          <w:marBottom w:val="0"/>
          <w:divBdr>
            <w:top w:val="none" w:sz="0" w:space="0" w:color="auto"/>
            <w:left w:val="none" w:sz="0" w:space="0" w:color="auto"/>
            <w:bottom w:val="none" w:sz="0" w:space="0" w:color="auto"/>
            <w:right w:val="none" w:sz="0" w:space="0" w:color="auto"/>
          </w:divBdr>
        </w:div>
        <w:div w:id="15469433">
          <w:marLeft w:val="0"/>
          <w:marRight w:val="0"/>
          <w:marTop w:val="0"/>
          <w:marBottom w:val="0"/>
          <w:divBdr>
            <w:top w:val="none" w:sz="0" w:space="0" w:color="auto"/>
            <w:left w:val="none" w:sz="0" w:space="0" w:color="auto"/>
            <w:bottom w:val="none" w:sz="0" w:space="0" w:color="auto"/>
            <w:right w:val="none" w:sz="0" w:space="0" w:color="auto"/>
          </w:divBdr>
        </w:div>
        <w:div w:id="606349381">
          <w:marLeft w:val="0"/>
          <w:marRight w:val="0"/>
          <w:marTop w:val="0"/>
          <w:marBottom w:val="0"/>
          <w:divBdr>
            <w:top w:val="none" w:sz="0" w:space="0" w:color="auto"/>
            <w:left w:val="none" w:sz="0" w:space="0" w:color="auto"/>
            <w:bottom w:val="none" w:sz="0" w:space="0" w:color="auto"/>
            <w:right w:val="none" w:sz="0" w:space="0" w:color="auto"/>
          </w:divBdr>
        </w:div>
        <w:div w:id="35198816">
          <w:marLeft w:val="0"/>
          <w:marRight w:val="0"/>
          <w:marTop w:val="0"/>
          <w:marBottom w:val="0"/>
          <w:divBdr>
            <w:top w:val="none" w:sz="0" w:space="0" w:color="auto"/>
            <w:left w:val="none" w:sz="0" w:space="0" w:color="auto"/>
            <w:bottom w:val="none" w:sz="0" w:space="0" w:color="auto"/>
            <w:right w:val="none" w:sz="0" w:space="0" w:color="auto"/>
          </w:divBdr>
        </w:div>
        <w:div w:id="1296328262">
          <w:marLeft w:val="0"/>
          <w:marRight w:val="0"/>
          <w:marTop w:val="0"/>
          <w:marBottom w:val="0"/>
          <w:divBdr>
            <w:top w:val="none" w:sz="0" w:space="0" w:color="auto"/>
            <w:left w:val="none" w:sz="0" w:space="0" w:color="auto"/>
            <w:bottom w:val="none" w:sz="0" w:space="0" w:color="auto"/>
            <w:right w:val="none" w:sz="0" w:space="0" w:color="auto"/>
          </w:divBdr>
        </w:div>
        <w:div w:id="631523521">
          <w:marLeft w:val="0"/>
          <w:marRight w:val="0"/>
          <w:marTop w:val="0"/>
          <w:marBottom w:val="0"/>
          <w:divBdr>
            <w:top w:val="none" w:sz="0" w:space="0" w:color="auto"/>
            <w:left w:val="none" w:sz="0" w:space="0" w:color="auto"/>
            <w:bottom w:val="none" w:sz="0" w:space="0" w:color="auto"/>
            <w:right w:val="none" w:sz="0" w:space="0" w:color="auto"/>
          </w:divBdr>
        </w:div>
        <w:div w:id="1097947009">
          <w:marLeft w:val="0"/>
          <w:marRight w:val="0"/>
          <w:marTop w:val="0"/>
          <w:marBottom w:val="0"/>
          <w:divBdr>
            <w:top w:val="none" w:sz="0" w:space="0" w:color="auto"/>
            <w:left w:val="none" w:sz="0" w:space="0" w:color="auto"/>
            <w:bottom w:val="none" w:sz="0" w:space="0" w:color="auto"/>
            <w:right w:val="none" w:sz="0" w:space="0" w:color="auto"/>
          </w:divBdr>
        </w:div>
        <w:div w:id="104661242">
          <w:marLeft w:val="0"/>
          <w:marRight w:val="0"/>
          <w:marTop w:val="0"/>
          <w:marBottom w:val="0"/>
          <w:divBdr>
            <w:top w:val="none" w:sz="0" w:space="0" w:color="auto"/>
            <w:left w:val="none" w:sz="0" w:space="0" w:color="auto"/>
            <w:bottom w:val="none" w:sz="0" w:space="0" w:color="auto"/>
            <w:right w:val="none" w:sz="0" w:space="0" w:color="auto"/>
          </w:divBdr>
        </w:div>
        <w:div w:id="212931282">
          <w:marLeft w:val="0"/>
          <w:marRight w:val="0"/>
          <w:marTop w:val="0"/>
          <w:marBottom w:val="0"/>
          <w:divBdr>
            <w:top w:val="none" w:sz="0" w:space="0" w:color="auto"/>
            <w:left w:val="none" w:sz="0" w:space="0" w:color="auto"/>
            <w:bottom w:val="none" w:sz="0" w:space="0" w:color="auto"/>
            <w:right w:val="none" w:sz="0" w:space="0" w:color="auto"/>
          </w:divBdr>
        </w:div>
        <w:div w:id="2119526906">
          <w:marLeft w:val="0"/>
          <w:marRight w:val="0"/>
          <w:marTop w:val="0"/>
          <w:marBottom w:val="0"/>
          <w:divBdr>
            <w:top w:val="none" w:sz="0" w:space="0" w:color="auto"/>
            <w:left w:val="none" w:sz="0" w:space="0" w:color="auto"/>
            <w:bottom w:val="none" w:sz="0" w:space="0" w:color="auto"/>
            <w:right w:val="none" w:sz="0" w:space="0" w:color="auto"/>
          </w:divBdr>
        </w:div>
        <w:div w:id="971903479">
          <w:marLeft w:val="0"/>
          <w:marRight w:val="0"/>
          <w:marTop w:val="0"/>
          <w:marBottom w:val="0"/>
          <w:divBdr>
            <w:top w:val="none" w:sz="0" w:space="0" w:color="auto"/>
            <w:left w:val="none" w:sz="0" w:space="0" w:color="auto"/>
            <w:bottom w:val="none" w:sz="0" w:space="0" w:color="auto"/>
            <w:right w:val="none" w:sz="0" w:space="0" w:color="auto"/>
          </w:divBdr>
        </w:div>
        <w:div w:id="1016149681">
          <w:marLeft w:val="0"/>
          <w:marRight w:val="0"/>
          <w:marTop w:val="0"/>
          <w:marBottom w:val="0"/>
          <w:divBdr>
            <w:top w:val="none" w:sz="0" w:space="0" w:color="auto"/>
            <w:left w:val="none" w:sz="0" w:space="0" w:color="auto"/>
            <w:bottom w:val="none" w:sz="0" w:space="0" w:color="auto"/>
            <w:right w:val="none" w:sz="0" w:space="0" w:color="auto"/>
          </w:divBdr>
        </w:div>
        <w:div w:id="851410154">
          <w:marLeft w:val="0"/>
          <w:marRight w:val="0"/>
          <w:marTop w:val="0"/>
          <w:marBottom w:val="0"/>
          <w:divBdr>
            <w:top w:val="none" w:sz="0" w:space="0" w:color="auto"/>
            <w:left w:val="none" w:sz="0" w:space="0" w:color="auto"/>
            <w:bottom w:val="none" w:sz="0" w:space="0" w:color="auto"/>
            <w:right w:val="none" w:sz="0" w:space="0" w:color="auto"/>
          </w:divBdr>
        </w:div>
        <w:div w:id="1132594606">
          <w:marLeft w:val="0"/>
          <w:marRight w:val="0"/>
          <w:marTop w:val="0"/>
          <w:marBottom w:val="0"/>
          <w:divBdr>
            <w:top w:val="none" w:sz="0" w:space="0" w:color="auto"/>
            <w:left w:val="none" w:sz="0" w:space="0" w:color="auto"/>
            <w:bottom w:val="none" w:sz="0" w:space="0" w:color="auto"/>
            <w:right w:val="none" w:sz="0" w:space="0" w:color="auto"/>
          </w:divBdr>
        </w:div>
        <w:div w:id="1731540655">
          <w:marLeft w:val="0"/>
          <w:marRight w:val="0"/>
          <w:marTop w:val="0"/>
          <w:marBottom w:val="0"/>
          <w:divBdr>
            <w:top w:val="none" w:sz="0" w:space="0" w:color="auto"/>
            <w:left w:val="none" w:sz="0" w:space="0" w:color="auto"/>
            <w:bottom w:val="none" w:sz="0" w:space="0" w:color="auto"/>
            <w:right w:val="none" w:sz="0" w:space="0" w:color="auto"/>
          </w:divBdr>
        </w:div>
        <w:div w:id="2126077719">
          <w:marLeft w:val="0"/>
          <w:marRight w:val="0"/>
          <w:marTop w:val="0"/>
          <w:marBottom w:val="0"/>
          <w:divBdr>
            <w:top w:val="none" w:sz="0" w:space="0" w:color="auto"/>
            <w:left w:val="none" w:sz="0" w:space="0" w:color="auto"/>
            <w:bottom w:val="none" w:sz="0" w:space="0" w:color="auto"/>
            <w:right w:val="none" w:sz="0" w:space="0" w:color="auto"/>
          </w:divBdr>
        </w:div>
      </w:divsChild>
    </w:div>
    <w:div w:id="897478332">
      <w:bodyDiv w:val="1"/>
      <w:marLeft w:val="0"/>
      <w:marRight w:val="0"/>
      <w:marTop w:val="0"/>
      <w:marBottom w:val="0"/>
      <w:divBdr>
        <w:top w:val="none" w:sz="0" w:space="0" w:color="auto"/>
        <w:left w:val="none" w:sz="0" w:space="0" w:color="auto"/>
        <w:bottom w:val="none" w:sz="0" w:space="0" w:color="auto"/>
        <w:right w:val="none" w:sz="0" w:space="0" w:color="auto"/>
      </w:divBdr>
      <w:divsChild>
        <w:div w:id="125664019">
          <w:marLeft w:val="0"/>
          <w:marRight w:val="0"/>
          <w:marTop w:val="0"/>
          <w:marBottom w:val="0"/>
          <w:divBdr>
            <w:top w:val="none" w:sz="0" w:space="0" w:color="auto"/>
            <w:left w:val="none" w:sz="0" w:space="0" w:color="auto"/>
            <w:bottom w:val="none" w:sz="0" w:space="0" w:color="auto"/>
            <w:right w:val="none" w:sz="0" w:space="0" w:color="auto"/>
          </w:divBdr>
        </w:div>
        <w:div w:id="1085419502">
          <w:marLeft w:val="0"/>
          <w:marRight w:val="0"/>
          <w:marTop w:val="0"/>
          <w:marBottom w:val="0"/>
          <w:divBdr>
            <w:top w:val="none" w:sz="0" w:space="0" w:color="auto"/>
            <w:left w:val="none" w:sz="0" w:space="0" w:color="auto"/>
            <w:bottom w:val="none" w:sz="0" w:space="0" w:color="auto"/>
            <w:right w:val="none" w:sz="0" w:space="0" w:color="auto"/>
          </w:divBdr>
        </w:div>
        <w:div w:id="1694384064">
          <w:marLeft w:val="0"/>
          <w:marRight w:val="0"/>
          <w:marTop w:val="0"/>
          <w:marBottom w:val="0"/>
          <w:divBdr>
            <w:top w:val="none" w:sz="0" w:space="0" w:color="auto"/>
            <w:left w:val="none" w:sz="0" w:space="0" w:color="auto"/>
            <w:bottom w:val="none" w:sz="0" w:space="0" w:color="auto"/>
            <w:right w:val="none" w:sz="0" w:space="0" w:color="auto"/>
          </w:divBdr>
        </w:div>
        <w:div w:id="837771813">
          <w:marLeft w:val="0"/>
          <w:marRight w:val="0"/>
          <w:marTop w:val="0"/>
          <w:marBottom w:val="0"/>
          <w:divBdr>
            <w:top w:val="none" w:sz="0" w:space="0" w:color="auto"/>
            <w:left w:val="none" w:sz="0" w:space="0" w:color="auto"/>
            <w:bottom w:val="none" w:sz="0" w:space="0" w:color="auto"/>
            <w:right w:val="none" w:sz="0" w:space="0" w:color="auto"/>
          </w:divBdr>
        </w:div>
        <w:div w:id="1457597497">
          <w:marLeft w:val="0"/>
          <w:marRight w:val="0"/>
          <w:marTop w:val="0"/>
          <w:marBottom w:val="0"/>
          <w:divBdr>
            <w:top w:val="none" w:sz="0" w:space="0" w:color="auto"/>
            <w:left w:val="none" w:sz="0" w:space="0" w:color="auto"/>
            <w:bottom w:val="none" w:sz="0" w:space="0" w:color="auto"/>
            <w:right w:val="none" w:sz="0" w:space="0" w:color="auto"/>
          </w:divBdr>
        </w:div>
        <w:div w:id="292488331">
          <w:marLeft w:val="0"/>
          <w:marRight w:val="0"/>
          <w:marTop w:val="0"/>
          <w:marBottom w:val="0"/>
          <w:divBdr>
            <w:top w:val="none" w:sz="0" w:space="0" w:color="auto"/>
            <w:left w:val="none" w:sz="0" w:space="0" w:color="auto"/>
            <w:bottom w:val="none" w:sz="0" w:space="0" w:color="auto"/>
            <w:right w:val="none" w:sz="0" w:space="0" w:color="auto"/>
          </w:divBdr>
        </w:div>
        <w:div w:id="1666855522">
          <w:marLeft w:val="0"/>
          <w:marRight w:val="0"/>
          <w:marTop w:val="0"/>
          <w:marBottom w:val="0"/>
          <w:divBdr>
            <w:top w:val="none" w:sz="0" w:space="0" w:color="auto"/>
            <w:left w:val="none" w:sz="0" w:space="0" w:color="auto"/>
            <w:bottom w:val="none" w:sz="0" w:space="0" w:color="auto"/>
            <w:right w:val="none" w:sz="0" w:space="0" w:color="auto"/>
          </w:divBdr>
        </w:div>
        <w:div w:id="1753892604">
          <w:marLeft w:val="0"/>
          <w:marRight w:val="0"/>
          <w:marTop w:val="0"/>
          <w:marBottom w:val="0"/>
          <w:divBdr>
            <w:top w:val="none" w:sz="0" w:space="0" w:color="auto"/>
            <w:left w:val="none" w:sz="0" w:space="0" w:color="auto"/>
            <w:bottom w:val="none" w:sz="0" w:space="0" w:color="auto"/>
            <w:right w:val="none" w:sz="0" w:space="0" w:color="auto"/>
          </w:divBdr>
        </w:div>
        <w:div w:id="1046182058">
          <w:marLeft w:val="0"/>
          <w:marRight w:val="0"/>
          <w:marTop w:val="0"/>
          <w:marBottom w:val="0"/>
          <w:divBdr>
            <w:top w:val="none" w:sz="0" w:space="0" w:color="auto"/>
            <w:left w:val="none" w:sz="0" w:space="0" w:color="auto"/>
            <w:bottom w:val="none" w:sz="0" w:space="0" w:color="auto"/>
            <w:right w:val="none" w:sz="0" w:space="0" w:color="auto"/>
          </w:divBdr>
        </w:div>
        <w:div w:id="817574741">
          <w:marLeft w:val="0"/>
          <w:marRight w:val="0"/>
          <w:marTop w:val="0"/>
          <w:marBottom w:val="0"/>
          <w:divBdr>
            <w:top w:val="none" w:sz="0" w:space="0" w:color="auto"/>
            <w:left w:val="none" w:sz="0" w:space="0" w:color="auto"/>
            <w:bottom w:val="none" w:sz="0" w:space="0" w:color="auto"/>
            <w:right w:val="none" w:sz="0" w:space="0" w:color="auto"/>
          </w:divBdr>
        </w:div>
        <w:div w:id="1459950655">
          <w:marLeft w:val="0"/>
          <w:marRight w:val="0"/>
          <w:marTop w:val="0"/>
          <w:marBottom w:val="0"/>
          <w:divBdr>
            <w:top w:val="none" w:sz="0" w:space="0" w:color="auto"/>
            <w:left w:val="none" w:sz="0" w:space="0" w:color="auto"/>
            <w:bottom w:val="none" w:sz="0" w:space="0" w:color="auto"/>
            <w:right w:val="none" w:sz="0" w:space="0" w:color="auto"/>
          </w:divBdr>
        </w:div>
        <w:div w:id="1026828159">
          <w:marLeft w:val="0"/>
          <w:marRight w:val="0"/>
          <w:marTop w:val="0"/>
          <w:marBottom w:val="0"/>
          <w:divBdr>
            <w:top w:val="none" w:sz="0" w:space="0" w:color="auto"/>
            <w:left w:val="none" w:sz="0" w:space="0" w:color="auto"/>
            <w:bottom w:val="none" w:sz="0" w:space="0" w:color="auto"/>
            <w:right w:val="none" w:sz="0" w:space="0" w:color="auto"/>
          </w:divBdr>
        </w:div>
        <w:div w:id="1476877202">
          <w:marLeft w:val="0"/>
          <w:marRight w:val="0"/>
          <w:marTop w:val="0"/>
          <w:marBottom w:val="0"/>
          <w:divBdr>
            <w:top w:val="none" w:sz="0" w:space="0" w:color="auto"/>
            <w:left w:val="none" w:sz="0" w:space="0" w:color="auto"/>
            <w:bottom w:val="none" w:sz="0" w:space="0" w:color="auto"/>
            <w:right w:val="none" w:sz="0" w:space="0" w:color="auto"/>
          </w:divBdr>
        </w:div>
        <w:div w:id="29846256">
          <w:marLeft w:val="0"/>
          <w:marRight w:val="0"/>
          <w:marTop w:val="0"/>
          <w:marBottom w:val="0"/>
          <w:divBdr>
            <w:top w:val="none" w:sz="0" w:space="0" w:color="auto"/>
            <w:left w:val="none" w:sz="0" w:space="0" w:color="auto"/>
            <w:bottom w:val="none" w:sz="0" w:space="0" w:color="auto"/>
            <w:right w:val="none" w:sz="0" w:space="0" w:color="auto"/>
          </w:divBdr>
        </w:div>
        <w:div w:id="528880963">
          <w:marLeft w:val="0"/>
          <w:marRight w:val="0"/>
          <w:marTop w:val="0"/>
          <w:marBottom w:val="0"/>
          <w:divBdr>
            <w:top w:val="none" w:sz="0" w:space="0" w:color="auto"/>
            <w:left w:val="none" w:sz="0" w:space="0" w:color="auto"/>
            <w:bottom w:val="none" w:sz="0" w:space="0" w:color="auto"/>
            <w:right w:val="none" w:sz="0" w:space="0" w:color="auto"/>
          </w:divBdr>
        </w:div>
        <w:div w:id="1099832737">
          <w:marLeft w:val="0"/>
          <w:marRight w:val="0"/>
          <w:marTop w:val="0"/>
          <w:marBottom w:val="0"/>
          <w:divBdr>
            <w:top w:val="none" w:sz="0" w:space="0" w:color="auto"/>
            <w:left w:val="none" w:sz="0" w:space="0" w:color="auto"/>
            <w:bottom w:val="none" w:sz="0" w:space="0" w:color="auto"/>
            <w:right w:val="none" w:sz="0" w:space="0" w:color="auto"/>
          </w:divBdr>
        </w:div>
        <w:div w:id="777066443">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585768702">
          <w:marLeft w:val="0"/>
          <w:marRight w:val="0"/>
          <w:marTop w:val="0"/>
          <w:marBottom w:val="0"/>
          <w:divBdr>
            <w:top w:val="none" w:sz="0" w:space="0" w:color="auto"/>
            <w:left w:val="none" w:sz="0" w:space="0" w:color="auto"/>
            <w:bottom w:val="none" w:sz="0" w:space="0" w:color="auto"/>
            <w:right w:val="none" w:sz="0" w:space="0" w:color="auto"/>
          </w:divBdr>
        </w:div>
        <w:div w:id="2134514482">
          <w:marLeft w:val="0"/>
          <w:marRight w:val="0"/>
          <w:marTop w:val="0"/>
          <w:marBottom w:val="0"/>
          <w:divBdr>
            <w:top w:val="none" w:sz="0" w:space="0" w:color="auto"/>
            <w:left w:val="none" w:sz="0" w:space="0" w:color="auto"/>
            <w:bottom w:val="none" w:sz="0" w:space="0" w:color="auto"/>
            <w:right w:val="none" w:sz="0" w:space="0" w:color="auto"/>
          </w:divBdr>
        </w:div>
        <w:div w:id="1453136287">
          <w:marLeft w:val="0"/>
          <w:marRight w:val="0"/>
          <w:marTop w:val="0"/>
          <w:marBottom w:val="0"/>
          <w:divBdr>
            <w:top w:val="none" w:sz="0" w:space="0" w:color="auto"/>
            <w:left w:val="none" w:sz="0" w:space="0" w:color="auto"/>
            <w:bottom w:val="none" w:sz="0" w:space="0" w:color="auto"/>
            <w:right w:val="none" w:sz="0" w:space="0" w:color="auto"/>
          </w:divBdr>
        </w:div>
        <w:div w:id="1799060975">
          <w:marLeft w:val="0"/>
          <w:marRight w:val="0"/>
          <w:marTop w:val="0"/>
          <w:marBottom w:val="0"/>
          <w:divBdr>
            <w:top w:val="none" w:sz="0" w:space="0" w:color="auto"/>
            <w:left w:val="none" w:sz="0" w:space="0" w:color="auto"/>
            <w:bottom w:val="none" w:sz="0" w:space="0" w:color="auto"/>
            <w:right w:val="none" w:sz="0" w:space="0" w:color="auto"/>
          </w:divBdr>
        </w:div>
        <w:div w:id="1457136350">
          <w:marLeft w:val="0"/>
          <w:marRight w:val="0"/>
          <w:marTop w:val="0"/>
          <w:marBottom w:val="0"/>
          <w:divBdr>
            <w:top w:val="none" w:sz="0" w:space="0" w:color="auto"/>
            <w:left w:val="none" w:sz="0" w:space="0" w:color="auto"/>
            <w:bottom w:val="none" w:sz="0" w:space="0" w:color="auto"/>
            <w:right w:val="none" w:sz="0" w:space="0" w:color="auto"/>
          </w:divBdr>
        </w:div>
        <w:div w:id="570235153">
          <w:marLeft w:val="0"/>
          <w:marRight w:val="0"/>
          <w:marTop w:val="0"/>
          <w:marBottom w:val="0"/>
          <w:divBdr>
            <w:top w:val="none" w:sz="0" w:space="0" w:color="auto"/>
            <w:left w:val="none" w:sz="0" w:space="0" w:color="auto"/>
            <w:bottom w:val="none" w:sz="0" w:space="0" w:color="auto"/>
            <w:right w:val="none" w:sz="0" w:space="0" w:color="auto"/>
          </w:divBdr>
        </w:div>
        <w:div w:id="1003898543">
          <w:marLeft w:val="0"/>
          <w:marRight w:val="0"/>
          <w:marTop w:val="0"/>
          <w:marBottom w:val="0"/>
          <w:divBdr>
            <w:top w:val="none" w:sz="0" w:space="0" w:color="auto"/>
            <w:left w:val="none" w:sz="0" w:space="0" w:color="auto"/>
            <w:bottom w:val="none" w:sz="0" w:space="0" w:color="auto"/>
            <w:right w:val="none" w:sz="0" w:space="0" w:color="auto"/>
          </w:divBdr>
        </w:div>
      </w:divsChild>
    </w:div>
    <w:div w:id="1191141340">
      <w:bodyDiv w:val="1"/>
      <w:marLeft w:val="0"/>
      <w:marRight w:val="0"/>
      <w:marTop w:val="0"/>
      <w:marBottom w:val="0"/>
      <w:divBdr>
        <w:top w:val="none" w:sz="0" w:space="0" w:color="auto"/>
        <w:left w:val="none" w:sz="0" w:space="0" w:color="auto"/>
        <w:bottom w:val="none" w:sz="0" w:space="0" w:color="auto"/>
        <w:right w:val="none" w:sz="0" w:space="0" w:color="auto"/>
      </w:divBdr>
      <w:divsChild>
        <w:div w:id="924798078">
          <w:marLeft w:val="0"/>
          <w:marRight w:val="0"/>
          <w:marTop w:val="0"/>
          <w:marBottom w:val="0"/>
          <w:divBdr>
            <w:top w:val="none" w:sz="0" w:space="0" w:color="auto"/>
            <w:left w:val="none" w:sz="0" w:space="0" w:color="auto"/>
            <w:bottom w:val="none" w:sz="0" w:space="0" w:color="auto"/>
            <w:right w:val="none" w:sz="0" w:space="0" w:color="auto"/>
          </w:divBdr>
        </w:div>
        <w:div w:id="678704246">
          <w:marLeft w:val="0"/>
          <w:marRight w:val="0"/>
          <w:marTop w:val="0"/>
          <w:marBottom w:val="0"/>
          <w:divBdr>
            <w:top w:val="none" w:sz="0" w:space="0" w:color="auto"/>
            <w:left w:val="none" w:sz="0" w:space="0" w:color="auto"/>
            <w:bottom w:val="none" w:sz="0" w:space="0" w:color="auto"/>
            <w:right w:val="none" w:sz="0" w:space="0" w:color="auto"/>
          </w:divBdr>
        </w:div>
        <w:div w:id="547648184">
          <w:marLeft w:val="0"/>
          <w:marRight w:val="0"/>
          <w:marTop w:val="0"/>
          <w:marBottom w:val="0"/>
          <w:divBdr>
            <w:top w:val="none" w:sz="0" w:space="0" w:color="auto"/>
            <w:left w:val="none" w:sz="0" w:space="0" w:color="auto"/>
            <w:bottom w:val="none" w:sz="0" w:space="0" w:color="auto"/>
            <w:right w:val="none" w:sz="0" w:space="0" w:color="auto"/>
          </w:divBdr>
        </w:div>
        <w:div w:id="576088190">
          <w:marLeft w:val="0"/>
          <w:marRight w:val="0"/>
          <w:marTop w:val="0"/>
          <w:marBottom w:val="0"/>
          <w:divBdr>
            <w:top w:val="none" w:sz="0" w:space="0" w:color="auto"/>
            <w:left w:val="none" w:sz="0" w:space="0" w:color="auto"/>
            <w:bottom w:val="none" w:sz="0" w:space="0" w:color="auto"/>
            <w:right w:val="none" w:sz="0" w:space="0" w:color="auto"/>
          </w:divBdr>
        </w:div>
        <w:div w:id="1588076021">
          <w:marLeft w:val="0"/>
          <w:marRight w:val="0"/>
          <w:marTop w:val="0"/>
          <w:marBottom w:val="0"/>
          <w:divBdr>
            <w:top w:val="none" w:sz="0" w:space="0" w:color="auto"/>
            <w:left w:val="none" w:sz="0" w:space="0" w:color="auto"/>
            <w:bottom w:val="none" w:sz="0" w:space="0" w:color="auto"/>
            <w:right w:val="none" w:sz="0" w:space="0" w:color="auto"/>
          </w:divBdr>
        </w:div>
        <w:div w:id="1255356974">
          <w:marLeft w:val="0"/>
          <w:marRight w:val="0"/>
          <w:marTop w:val="0"/>
          <w:marBottom w:val="0"/>
          <w:divBdr>
            <w:top w:val="none" w:sz="0" w:space="0" w:color="auto"/>
            <w:left w:val="none" w:sz="0" w:space="0" w:color="auto"/>
            <w:bottom w:val="none" w:sz="0" w:space="0" w:color="auto"/>
            <w:right w:val="none" w:sz="0" w:space="0" w:color="auto"/>
          </w:divBdr>
        </w:div>
        <w:div w:id="58132696">
          <w:marLeft w:val="0"/>
          <w:marRight w:val="0"/>
          <w:marTop w:val="0"/>
          <w:marBottom w:val="0"/>
          <w:divBdr>
            <w:top w:val="none" w:sz="0" w:space="0" w:color="auto"/>
            <w:left w:val="none" w:sz="0" w:space="0" w:color="auto"/>
            <w:bottom w:val="none" w:sz="0" w:space="0" w:color="auto"/>
            <w:right w:val="none" w:sz="0" w:space="0" w:color="auto"/>
          </w:divBdr>
        </w:div>
        <w:div w:id="1192304263">
          <w:marLeft w:val="0"/>
          <w:marRight w:val="0"/>
          <w:marTop w:val="0"/>
          <w:marBottom w:val="0"/>
          <w:divBdr>
            <w:top w:val="none" w:sz="0" w:space="0" w:color="auto"/>
            <w:left w:val="none" w:sz="0" w:space="0" w:color="auto"/>
            <w:bottom w:val="none" w:sz="0" w:space="0" w:color="auto"/>
            <w:right w:val="none" w:sz="0" w:space="0" w:color="auto"/>
          </w:divBdr>
        </w:div>
        <w:div w:id="644623960">
          <w:marLeft w:val="0"/>
          <w:marRight w:val="0"/>
          <w:marTop w:val="0"/>
          <w:marBottom w:val="0"/>
          <w:divBdr>
            <w:top w:val="none" w:sz="0" w:space="0" w:color="auto"/>
            <w:left w:val="none" w:sz="0" w:space="0" w:color="auto"/>
            <w:bottom w:val="none" w:sz="0" w:space="0" w:color="auto"/>
            <w:right w:val="none" w:sz="0" w:space="0" w:color="auto"/>
          </w:divBdr>
        </w:div>
        <w:div w:id="1886208948">
          <w:marLeft w:val="0"/>
          <w:marRight w:val="0"/>
          <w:marTop w:val="0"/>
          <w:marBottom w:val="0"/>
          <w:divBdr>
            <w:top w:val="none" w:sz="0" w:space="0" w:color="auto"/>
            <w:left w:val="none" w:sz="0" w:space="0" w:color="auto"/>
            <w:bottom w:val="none" w:sz="0" w:space="0" w:color="auto"/>
            <w:right w:val="none" w:sz="0" w:space="0" w:color="auto"/>
          </w:divBdr>
        </w:div>
        <w:div w:id="1763143986">
          <w:marLeft w:val="0"/>
          <w:marRight w:val="0"/>
          <w:marTop w:val="0"/>
          <w:marBottom w:val="0"/>
          <w:divBdr>
            <w:top w:val="none" w:sz="0" w:space="0" w:color="auto"/>
            <w:left w:val="none" w:sz="0" w:space="0" w:color="auto"/>
            <w:bottom w:val="none" w:sz="0" w:space="0" w:color="auto"/>
            <w:right w:val="none" w:sz="0" w:space="0" w:color="auto"/>
          </w:divBdr>
        </w:div>
        <w:div w:id="858079477">
          <w:marLeft w:val="0"/>
          <w:marRight w:val="0"/>
          <w:marTop w:val="0"/>
          <w:marBottom w:val="0"/>
          <w:divBdr>
            <w:top w:val="none" w:sz="0" w:space="0" w:color="auto"/>
            <w:left w:val="none" w:sz="0" w:space="0" w:color="auto"/>
            <w:bottom w:val="none" w:sz="0" w:space="0" w:color="auto"/>
            <w:right w:val="none" w:sz="0" w:space="0" w:color="auto"/>
          </w:divBdr>
        </w:div>
        <w:div w:id="266161165">
          <w:marLeft w:val="0"/>
          <w:marRight w:val="0"/>
          <w:marTop w:val="0"/>
          <w:marBottom w:val="0"/>
          <w:divBdr>
            <w:top w:val="none" w:sz="0" w:space="0" w:color="auto"/>
            <w:left w:val="none" w:sz="0" w:space="0" w:color="auto"/>
            <w:bottom w:val="none" w:sz="0" w:space="0" w:color="auto"/>
            <w:right w:val="none" w:sz="0" w:space="0" w:color="auto"/>
          </w:divBdr>
        </w:div>
        <w:div w:id="600650205">
          <w:marLeft w:val="0"/>
          <w:marRight w:val="0"/>
          <w:marTop w:val="0"/>
          <w:marBottom w:val="0"/>
          <w:divBdr>
            <w:top w:val="none" w:sz="0" w:space="0" w:color="auto"/>
            <w:left w:val="none" w:sz="0" w:space="0" w:color="auto"/>
            <w:bottom w:val="none" w:sz="0" w:space="0" w:color="auto"/>
            <w:right w:val="none" w:sz="0" w:space="0" w:color="auto"/>
          </w:divBdr>
        </w:div>
        <w:div w:id="115831796">
          <w:marLeft w:val="0"/>
          <w:marRight w:val="0"/>
          <w:marTop w:val="0"/>
          <w:marBottom w:val="0"/>
          <w:divBdr>
            <w:top w:val="none" w:sz="0" w:space="0" w:color="auto"/>
            <w:left w:val="none" w:sz="0" w:space="0" w:color="auto"/>
            <w:bottom w:val="none" w:sz="0" w:space="0" w:color="auto"/>
            <w:right w:val="none" w:sz="0" w:space="0" w:color="auto"/>
          </w:divBdr>
        </w:div>
        <w:div w:id="184945693">
          <w:marLeft w:val="0"/>
          <w:marRight w:val="0"/>
          <w:marTop w:val="0"/>
          <w:marBottom w:val="0"/>
          <w:divBdr>
            <w:top w:val="none" w:sz="0" w:space="0" w:color="auto"/>
            <w:left w:val="none" w:sz="0" w:space="0" w:color="auto"/>
            <w:bottom w:val="none" w:sz="0" w:space="0" w:color="auto"/>
            <w:right w:val="none" w:sz="0" w:space="0" w:color="auto"/>
          </w:divBdr>
        </w:div>
        <w:div w:id="999961213">
          <w:marLeft w:val="0"/>
          <w:marRight w:val="0"/>
          <w:marTop w:val="0"/>
          <w:marBottom w:val="0"/>
          <w:divBdr>
            <w:top w:val="none" w:sz="0" w:space="0" w:color="auto"/>
            <w:left w:val="none" w:sz="0" w:space="0" w:color="auto"/>
            <w:bottom w:val="none" w:sz="0" w:space="0" w:color="auto"/>
            <w:right w:val="none" w:sz="0" w:space="0" w:color="auto"/>
          </w:divBdr>
        </w:div>
        <w:div w:id="12846313">
          <w:marLeft w:val="0"/>
          <w:marRight w:val="0"/>
          <w:marTop w:val="0"/>
          <w:marBottom w:val="0"/>
          <w:divBdr>
            <w:top w:val="none" w:sz="0" w:space="0" w:color="auto"/>
            <w:left w:val="none" w:sz="0" w:space="0" w:color="auto"/>
            <w:bottom w:val="none" w:sz="0" w:space="0" w:color="auto"/>
            <w:right w:val="none" w:sz="0" w:space="0" w:color="auto"/>
          </w:divBdr>
        </w:div>
        <w:div w:id="1643192919">
          <w:marLeft w:val="0"/>
          <w:marRight w:val="0"/>
          <w:marTop w:val="0"/>
          <w:marBottom w:val="0"/>
          <w:divBdr>
            <w:top w:val="none" w:sz="0" w:space="0" w:color="auto"/>
            <w:left w:val="none" w:sz="0" w:space="0" w:color="auto"/>
            <w:bottom w:val="none" w:sz="0" w:space="0" w:color="auto"/>
            <w:right w:val="none" w:sz="0" w:space="0" w:color="auto"/>
          </w:divBdr>
        </w:div>
        <w:div w:id="8026619">
          <w:marLeft w:val="0"/>
          <w:marRight w:val="0"/>
          <w:marTop w:val="0"/>
          <w:marBottom w:val="0"/>
          <w:divBdr>
            <w:top w:val="none" w:sz="0" w:space="0" w:color="auto"/>
            <w:left w:val="none" w:sz="0" w:space="0" w:color="auto"/>
            <w:bottom w:val="none" w:sz="0" w:space="0" w:color="auto"/>
            <w:right w:val="none" w:sz="0" w:space="0" w:color="auto"/>
          </w:divBdr>
        </w:div>
        <w:div w:id="1342464199">
          <w:marLeft w:val="0"/>
          <w:marRight w:val="0"/>
          <w:marTop w:val="0"/>
          <w:marBottom w:val="0"/>
          <w:divBdr>
            <w:top w:val="none" w:sz="0" w:space="0" w:color="auto"/>
            <w:left w:val="none" w:sz="0" w:space="0" w:color="auto"/>
            <w:bottom w:val="none" w:sz="0" w:space="0" w:color="auto"/>
            <w:right w:val="none" w:sz="0" w:space="0" w:color="auto"/>
          </w:divBdr>
        </w:div>
        <w:div w:id="1618411564">
          <w:marLeft w:val="0"/>
          <w:marRight w:val="0"/>
          <w:marTop w:val="0"/>
          <w:marBottom w:val="0"/>
          <w:divBdr>
            <w:top w:val="none" w:sz="0" w:space="0" w:color="auto"/>
            <w:left w:val="none" w:sz="0" w:space="0" w:color="auto"/>
            <w:bottom w:val="none" w:sz="0" w:space="0" w:color="auto"/>
            <w:right w:val="none" w:sz="0" w:space="0" w:color="auto"/>
          </w:divBdr>
        </w:div>
        <w:div w:id="589893351">
          <w:marLeft w:val="0"/>
          <w:marRight w:val="0"/>
          <w:marTop w:val="0"/>
          <w:marBottom w:val="0"/>
          <w:divBdr>
            <w:top w:val="none" w:sz="0" w:space="0" w:color="auto"/>
            <w:left w:val="none" w:sz="0" w:space="0" w:color="auto"/>
            <w:bottom w:val="none" w:sz="0" w:space="0" w:color="auto"/>
            <w:right w:val="none" w:sz="0" w:space="0" w:color="auto"/>
          </w:divBdr>
        </w:div>
        <w:div w:id="1070687718">
          <w:marLeft w:val="0"/>
          <w:marRight w:val="0"/>
          <w:marTop w:val="0"/>
          <w:marBottom w:val="0"/>
          <w:divBdr>
            <w:top w:val="none" w:sz="0" w:space="0" w:color="auto"/>
            <w:left w:val="none" w:sz="0" w:space="0" w:color="auto"/>
            <w:bottom w:val="none" w:sz="0" w:space="0" w:color="auto"/>
            <w:right w:val="none" w:sz="0" w:space="0" w:color="auto"/>
          </w:divBdr>
        </w:div>
        <w:div w:id="1222667023">
          <w:marLeft w:val="0"/>
          <w:marRight w:val="0"/>
          <w:marTop w:val="0"/>
          <w:marBottom w:val="0"/>
          <w:divBdr>
            <w:top w:val="none" w:sz="0" w:space="0" w:color="auto"/>
            <w:left w:val="none" w:sz="0" w:space="0" w:color="auto"/>
            <w:bottom w:val="none" w:sz="0" w:space="0" w:color="auto"/>
            <w:right w:val="none" w:sz="0" w:space="0" w:color="auto"/>
          </w:divBdr>
        </w:div>
      </w:divsChild>
    </w:div>
    <w:div w:id="2011132897">
      <w:bodyDiv w:val="1"/>
      <w:marLeft w:val="0"/>
      <w:marRight w:val="0"/>
      <w:marTop w:val="0"/>
      <w:marBottom w:val="0"/>
      <w:divBdr>
        <w:top w:val="none" w:sz="0" w:space="0" w:color="auto"/>
        <w:left w:val="none" w:sz="0" w:space="0" w:color="auto"/>
        <w:bottom w:val="none" w:sz="0" w:space="0" w:color="auto"/>
        <w:right w:val="none" w:sz="0" w:space="0" w:color="auto"/>
      </w:divBdr>
      <w:divsChild>
        <w:div w:id="2031685796">
          <w:marLeft w:val="0"/>
          <w:marRight w:val="0"/>
          <w:marTop w:val="0"/>
          <w:marBottom w:val="0"/>
          <w:divBdr>
            <w:top w:val="none" w:sz="0" w:space="0" w:color="auto"/>
            <w:left w:val="none" w:sz="0" w:space="0" w:color="auto"/>
            <w:bottom w:val="none" w:sz="0" w:space="0" w:color="auto"/>
            <w:right w:val="none" w:sz="0" w:space="0" w:color="auto"/>
          </w:divBdr>
        </w:div>
        <w:div w:id="160950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ov.cz/"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csu.gov.cz/docs/107508/dbd73e72-7537-9dd7-49cc-d0233d33451d/137011a1.pdf"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ecd.org/content/dam/oecd/en/publications/reports/2019/12/the-eu-oecd-definition-of-a-functional-urban-area_cef4a128/d58cb34d-en.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yznysakce.cz/Mistoprozivot2025" TargetMode="External"/><Relationship Id="rId4" Type="http://schemas.openxmlformats.org/officeDocument/2006/relationships/webSettings" Target="webSettings.xml"/><Relationship Id="rId9" Type="http://schemas.openxmlformats.org/officeDocument/2006/relationships/hyperlink" Target="https://www.researchgate.net/publication/341849612_Spatial_Patterns_of_Socioeconomic_Differentiation_in_the_Czech_Republic_at_the_Level_of_Municipaliti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Pages>
  <Words>2429</Words>
  <Characters>14336</Characters>
  <Application>Microsoft Office Word</Application>
  <DocSecurity>0</DocSecurity>
  <Lines>119</Lines>
  <Paragraphs>33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IT Tralee</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Shields</dc:creator>
  <cp:keywords/>
  <dc:description/>
  <cp:lastModifiedBy>Martin Mega</cp:lastModifiedBy>
  <cp:revision>16</cp:revision>
  <dcterms:created xsi:type="dcterms:W3CDTF">2025-10-30T13:00:00Z</dcterms:created>
  <dcterms:modified xsi:type="dcterms:W3CDTF">2025-12-05T22:59:00Z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9cca2a06-0ab2-4bd3-9925-11f079e41061</vt:lpwstr>
  </property>
</Properties>
</file>