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EAF76" w14:textId="29DBBFB0" w:rsidR="00AB4A98" w:rsidRPr="00DE1196" w:rsidRDefault="004C3C59" w:rsidP="00546537">
      <w:pPr>
        <w:pStyle w:val="Heading1"/>
        <w:jc w:val="center"/>
        <w:rPr>
          <w:lang w:val="en-US"/>
        </w:rPr>
      </w:pPr>
      <w:bookmarkStart w:id="0" w:name="_bj2onbs30jsw" w:colFirst="0" w:colLast="0"/>
      <w:bookmarkEnd w:id="0"/>
      <w:r>
        <w:rPr>
          <w:lang w:val="en"/>
        </w:rPr>
        <w:t>Specificity of human capital:</w:t>
      </w:r>
      <w:r w:rsidR="00A54C8C">
        <w:rPr>
          <w:lang w:val="en"/>
        </w:rPr>
        <w:t xml:space="preserve"> evidence based on the </w:t>
      </w:r>
      <w:r w:rsidR="00E202A2">
        <w:rPr>
          <w:lang w:val="en"/>
        </w:rPr>
        <w:t>job</w:t>
      </w:r>
      <w:r w:rsidR="00E202A2">
        <w:rPr>
          <w:lang w:val="en-US"/>
        </w:rPr>
        <w:t>-to-job transitions</w:t>
      </w:r>
      <w:bookmarkStart w:id="1" w:name="_oruistfleqdm" w:colFirst="0" w:colLast="0"/>
      <w:bookmarkEnd w:id="1"/>
    </w:p>
    <w:p w14:paraId="17C76522" w14:textId="77777777" w:rsidR="00CE3E20" w:rsidRPr="00DE1196" w:rsidRDefault="00CE3E20" w:rsidP="008B5CA6">
      <w:pPr>
        <w:jc w:val="center"/>
        <w:rPr>
          <w:lang w:val="en-US"/>
        </w:rPr>
      </w:pPr>
    </w:p>
    <w:p w14:paraId="7BF78B29" w14:textId="77777777" w:rsidR="00CE3E20" w:rsidRPr="00546537" w:rsidRDefault="00CE3E20" w:rsidP="008B5CA6">
      <w:pPr>
        <w:jc w:val="center"/>
        <w:rPr>
          <w:lang w:val="en-US"/>
        </w:rPr>
      </w:pPr>
      <w:bookmarkStart w:id="2" w:name="_biiwsfc5ccio" w:colFirst="0" w:colLast="0"/>
      <w:bookmarkEnd w:id="2"/>
      <w:r w:rsidRPr="00546537">
        <w:rPr>
          <w:lang w:val="en-US"/>
        </w:rPr>
        <w:t xml:space="preserve">Eduardo Levy </w:t>
      </w:r>
      <w:proofErr w:type="spellStart"/>
      <w:r w:rsidRPr="00546537">
        <w:rPr>
          <w:lang w:val="en-US"/>
        </w:rPr>
        <w:t>Yeyati</w:t>
      </w:r>
      <w:proofErr w:type="spellEnd"/>
    </w:p>
    <w:p w14:paraId="581E0E38" w14:textId="62A2AC43" w:rsidR="00AB4A98" w:rsidRPr="00546537" w:rsidRDefault="00131924" w:rsidP="008B5CA6">
      <w:pPr>
        <w:jc w:val="center"/>
        <w:rPr>
          <w:lang w:val="en-US"/>
        </w:rPr>
      </w:pPr>
      <w:r w:rsidRPr="00546537">
        <w:rPr>
          <w:lang w:val="en-US"/>
        </w:rPr>
        <w:t xml:space="preserve">Martín </w:t>
      </w:r>
      <w:proofErr w:type="spellStart"/>
      <w:r w:rsidRPr="00546537">
        <w:rPr>
          <w:lang w:val="en-US"/>
        </w:rPr>
        <w:t>Montané</w:t>
      </w:r>
      <w:proofErr w:type="spellEnd"/>
    </w:p>
    <w:p w14:paraId="15B776A9" w14:textId="77777777" w:rsidR="00CE3E20" w:rsidRPr="00546537" w:rsidRDefault="00CE3E20" w:rsidP="008B5CA6">
      <w:pPr>
        <w:rPr>
          <w:lang w:val="en-US"/>
        </w:rPr>
      </w:pPr>
    </w:p>
    <w:p w14:paraId="141457B5" w14:textId="77777777" w:rsidR="00AB4A98" w:rsidRPr="00546537" w:rsidRDefault="00AB4A98">
      <w:pPr>
        <w:rPr>
          <w:lang w:val="en-US"/>
        </w:rPr>
      </w:pPr>
    </w:p>
    <w:p w14:paraId="6B757AAA" w14:textId="77777777" w:rsidR="00AB4A98" w:rsidRPr="00546537" w:rsidRDefault="00AB4A98">
      <w:pPr>
        <w:rPr>
          <w:lang w:val="en-US"/>
        </w:rPr>
      </w:pPr>
    </w:p>
    <w:p w14:paraId="14EFC9A4" w14:textId="77777777" w:rsidR="00AB4A98" w:rsidRPr="00546537" w:rsidRDefault="00AB4A98">
      <w:pPr>
        <w:rPr>
          <w:lang w:val="en-US"/>
        </w:rPr>
      </w:pPr>
    </w:p>
    <w:p w14:paraId="4E17520C" w14:textId="77777777" w:rsidR="00AB4A98" w:rsidRPr="00546537" w:rsidRDefault="00AB4A98">
      <w:pPr>
        <w:rPr>
          <w:lang w:val="en-US"/>
        </w:rPr>
      </w:pPr>
    </w:p>
    <w:p w14:paraId="6FB37C69" w14:textId="77777777" w:rsidR="00AB4A98" w:rsidRPr="00546537" w:rsidRDefault="00AB4A98">
      <w:pPr>
        <w:rPr>
          <w:lang w:val="en-US"/>
        </w:rPr>
      </w:pPr>
    </w:p>
    <w:p w14:paraId="53B8B11E" w14:textId="77777777" w:rsidR="00AB4A98" w:rsidRPr="00546537" w:rsidRDefault="00AB4A98">
      <w:pPr>
        <w:rPr>
          <w:lang w:val="en-US"/>
        </w:rPr>
      </w:pPr>
    </w:p>
    <w:p w14:paraId="6F6FB82B" w14:textId="77777777" w:rsidR="00AB4A98" w:rsidRPr="00546537" w:rsidRDefault="00AB4A98">
      <w:pPr>
        <w:rPr>
          <w:lang w:val="en-US"/>
        </w:rPr>
      </w:pPr>
    </w:p>
    <w:p w14:paraId="2BF93585" w14:textId="77777777" w:rsidR="00AB4A98" w:rsidRPr="00546537" w:rsidRDefault="00AB4A98">
      <w:pPr>
        <w:rPr>
          <w:lang w:val="en-US"/>
        </w:rPr>
      </w:pPr>
    </w:p>
    <w:p w14:paraId="1286F860" w14:textId="77777777" w:rsidR="00AB4A98" w:rsidRPr="00546537" w:rsidRDefault="00AB4A98">
      <w:pPr>
        <w:rPr>
          <w:lang w:val="en-US"/>
        </w:rPr>
      </w:pPr>
    </w:p>
    <w:p w14:paraId="5EF3322C" w14:textId="77777777" w:rsidR="00AB4A98" w:rsidRPr="00546537" w:rsidRDefault="00AB4A98">
      <w:pPr>
        <w:rPr>
          <w:lang w:val="en-US"/>
        </w:rPr>
      </w:pPr>
    </w:p>
    <w:p w14:paraId="32D89DC6" w14:textId="77777777" w:rsidR="00AB4A98" w:rsidRPr="00546537" w:rsidRDefault="00AB4A98">
      <w:pPr>
        <w:rPr>
          <w:lang w:val="en-US"/>
        </w:rPr>
      </w:pPr>
    </w:p>
    <w:p w14:paraId="3B297BF6" w14:textId="77777777" w:rsidR="00AB4A98" w:rsidRPr="00546537" w:rsidRDefault="00AB4A98">
      <w:pPr>
        <w:rPr>
          <w:lang w:val="en-US"/>
        </w:rPr>
      </w:pPr>
    </w:p>
    <w:p w14:paraId="41856DB3" w14:textId="77777777" w:rsidR="00AB4A98" w:rsidRPr="00546537" w:rsidRDefault="00AB4A98">
      <w:pPr>
        <w:rPr>
          <w:lang w:val="en-US"/>
        </w:rPr>
      </w:pPr>
    </w:p>
    <w:p w14:paraId="36CE43FE" w14:textId="77777777" w:rsidR="00AB4A98" w:rsidRPr="00546537" w:rsidRDefault="00AB4A98">
      <w:pPr>
        <w:rPr>
          <w:lang w:val="en-US"/>
        </w:rPr>
      </w:pPr>
    </w:p>
    <w:p w14:paraId="22134A8E" w14:textId="77777777" w:rsidR="00AB4A98" w:rsidRPr="00546537" w:rsidRDefault="00AB4A98">
      <w:pPr>
        <w:rPr>
          <w:lang w:val="en-US"/>
        </w:rPr>
      </w:pPr>
    </w:p>
    <w:p w14:paraId="591FF6E9" w14:textId="77777777" w:rsidR="00AB4A98" w:rsidRPr="00546537" w:rsidRDefault="00AB4A98">
      <w:pPr>
        <w:rPr>
          <w:lang w:val="en-US"/>
        </w:rPr>
      </w:pPr>
    </w:p>
    <w:p w14:paraId="3A5033DE" w14:textId="77777777" w:rsidR="00AB4A98" w:rsidRPr="00546537" w:rsidRDefault="00AB4A98">
      <w:pPr>
        <w:rPr>
          <w:lang w:val="en-US"/>
        </w:rPr>
      </w:pPr>
    </w:p>
    <w:p w14:paraId="31E2A2B7" w14:textId="77777777" w:rsidR="00AB4A98" w:rsidRPr="00546537" w:rsidRDefault="00AB4A98">
      <w:pPr>
        <w:rPr>
          <w:lang w:val="en-US"/>
        </w:rPr>
      </w:pPr>
    </w:p>
    <w:p w14:paraId="5E8922DE" w14:textId="77777777" w:rsidR="00AB4A98" w:rsidRPr="00546537" w:rsidRDefault="00AB4A98">
      <w:pPr>
        <w:rPr>
          <w:lang w:val="en-US"/>
        </w:rPr>
      </w:pPr>
    </w:p>
    <w:p w14:paraId="4E0B7710" w14:textId="77777777" w:rsidR="00AB4A98" w:rsidRPr="00546537" w:rsidRDefault="00AB4A98">
      <w:pPr>
        <w:rPr>
          <w:lang w:val="en-US"/>
        </w:rPr>
      </w:pPr>
    </w:p>
    <w:p w14:paraId="4A526CC5" w14:textId="7EE67EAA" w:rsidR="00014AE0" w:rsidRPr="00014AE0" w:rsidRDefault="00131924" w:rsidP="00014AE0">
      <w:pPr>
        <w:pStyle w:val="Heading2"/>
        <w:rPr>
          <w:lang w:val="en-US"/>
        </w:rPr>
      </w:pPr>
      <w:bookmarkStart w:id="3" w:name="_3ne6ptayp9s" w:colFirst="0" w:colLast="0"/>
      <w:bookmarkStart w:id="4" w:name="_2h3txt8hyso0" w:colFirst="0" w:colLast="0"/>
      <w:bookmarkEnd w:id="3"/>
      <w:bookmarkEnd w:id="4"/>
      <w:r w:rsidRPr="00014AE0">
        <w:rPr>
          <w:lang w:val="en-US"/>
        </w:rPr>
        <w:br w:type="page"/>
      </w:r>
      <w:bookmarkStart w:id="5" w:name="_36zt0wdusex" w:colFirst="0" w:colLast="0"/>
      <w:bookmarkEnd w:id="5"/>
      <w:r w:rsidR="00014AE0">
        <w:rPr>
          <w:lang w:val="en"/>
        </w:rPr>
        <w:lastRenderedPageBreak/>
        <w:t>Introduction</w:t>
      </w:r>
      <w:r w:rsidR="00BF5447">
        <w:rPr>
          <w:rStyle w:val="FootnoteReference"/>
          <w:lang w:val="en"/>
        </w:rPr>
        <w:footnoteReference w:id="1"/>
      </w:r>
    </w:p>
    <w:p w14:paraId="57238DC4" w14:textId="77777777" w:rsidR="00014AE0" w:rsidRPr="00014AE0" w:rsidRDefault="00014AE0" w:rsidP="00014AE0">
      <w:pPr>
        <w:rPr>
          <w:lang w:val="en-US"/>
        </w:rPr>
      </w:pPr>
    </w:p>
    <w:p w14:paraId="0A028DFE" w14:textId="385DB811" w:rsidR="00014AE0" w:rsidRPr="00014AE0" w:rsidRDefault="00014AE0" w:rsidP="00014AE0">
      <w:pPr>
        <w:spacing w:line="360" w:lineRule="auto"/>
        <w:rPr>
          <w:lang w:val="en-US"/>
        </w:rPr>
      </w:pPr>
      <w:r>
        <w:rPr>
          <w:lang w:val="en"/>
        </w:rPr>
        <w:t>The analysis of movements between employers, industries, occupations and workers' tasks has been a topic extensively studied in recent decades. Two factors have contributed strongly to this phenomenon: 1) the increasing penetration into the technology labor markets that can potentially replace labor in various production processes and 2) the emergence of new databases of higher quality and relevance to these investigations.</w:t>
      </w:r>
    </w:p>
    <w:p w14:paraId="1F0E116F" w14:textId="6CCB8F48" w:rsidR="00014AE0" w:rsidRPr="00014AE0" w:rsidRDefault="00014AE0" w:rsidP="00014AE0">
      <w:pPr>
        <w:spacing w:line="360" w:lineRule="auto"/>
        <w:rPr>
          <w:lang w:val="en-US"/>
        </w:rPr>
      </w:pPr>
      <w:r>
        <w:rPr>
          <w:lang w:val="en"/>
        </w:rPr>
        <w:t xml:space="preserve">Advances on this topic have been mainly applied where administrative data is most accessible or long-standing panel type surveys are conducted. This is how </w:t>
      </w:r>
      <w:r w:rsidR="00C53B47">
        <w:rPr>
          <w:lang w:val="en"/>
        </w:rPr>
        <w:t>papers</w:t>
      </w:r>
      <w:r w:rsidR="00820256">
        <w:rPr>
          <w:lang w:val="en"/>
        </w:rPr>
        <w:t xml:space="preserve"> </w:t>
      </w:r>
      <w:r>
        <w:rPr>
          <w:lang w:val="en"/>
        </w:rPr>
        <w:t xml:space="preserve">that </w:t>
      </w:r>
      <w:r w:rsidR="00025E00">
        <w:rPr>
          <w:lang w:val="en"/>
        </w:rPr>
        <w:t>analyze</w:t>
      </w:r>
      <w:r>
        <w:rPr>
          <w:lang w:val="en"/>
        </w:rPr>
        <w:t xml:space="preserve"> the mobility of workers across industries, occupations and tasks</w:t>
      </w:r>
      <w:r w:rsidR="00B04A31">
        <w:rPr>
          <w:lang w:val="en"/>
        </w:rPr>
        <w:t xml:space="preserve"> are available</w:t>
      </w:r>
      <w:r>
        <w:rPr>
          <w:lang w:val="en"/>
        </w:rPr>
        <w:t xml:space="preserve"> for countries such as the United States, Germany, Sweden or Denmark.</w:t>
      </w:r>
    </w:p>
    <w:p w14:paraId="79BF7FBA" w14:textId="6B65A816" w:rsidR="00014AE0" w:rsidRPr="00014AE0" w:rsidRDefault="00014AE0" w:rsidP="00014AE0">
      <w:pPr>
        <w:spacing w:line="360" w:lineRule="auto"/>
        <w:rPr>
          <w:lang w:val="en-US"/>
        </w:rPr>
      </w:pPr>
      <w:r>
        <w:rPr>
          <w:lang w:val="en"/>
        </w:rPr>
        <w:t xml:space="preserve">In the Argentine case two </w:t>
      </w:r>
      <w:r w:rsidR="00820256">
        <w:rPr>
          <w:lang w:val="en"/>
        </w:rPr>
        <w:t>research works</w:t>
      </w:r>
      <w:r w:rsidR="00D161B6">
        <w:rPr>
          <w:lang w:val="en"/>
        </w:rPr>
        <w:t xml:space="preserve"> </w:t>
      </w:r>
      <w:r>
        <w:rPr>
          <w:lang w:val="en"/>
        </w:rPr>
        <w:t xml:space="preserve">have gone in this direction. </w:t>
      </w:r>
      <w:proofErr w:type="spellStart"/>
      <w:r>
        <w:rPr>
          <w:lang w:val="en"/>
        </w:rPr>
        <w:t>Montané</w:t>
      </w:r>
      <w:proofErr w:type="spellEnd"/>
      <w:r>
        <w:rPr>
          <w:lang w:val="en"/>
        </w:rPr>
        <w:t xml:space="preserve"> and Sartorio (2019) used the data in the Permanent Household Survey (EPH), a quarterly frequency survey with representativeness of 62% of the Argentine population, to study the movements of workers between occupations according to the National Occupational Code (CNO), and also information on the movement of registered </w:t>
      </w:r>
      <w:r w:rsidR="00836669">
        <w:rPr>
          <w:lang w:val="en"/>
        </w:rPr>
        <w:t>wage</w:t>
      </w:r>
      <w:r>
        <w:rPr>
          <w:lang w:val="en"/>
        </w:rPr>
        <w:t xml:space="preserve"> workers between activities according to the Longitudinal Sample of Registered Employment prepared by the Ministry of Labor and Social Security (M</w:t>
      </w:r>
      <w:r w:rsidR="00946633">
        <w:rPr>
          <w:lang w:val="en"/>
        </w:rPr>
        <w:t>L&amp;SS</w:t>
      </w:r>
      <w:r>
        <w:rPr>
          <w:lang w:val="en"/>
        </w:rPr>
        <w:t xml:space="preserve">). </w:t>
      </w:r>
      <w:r w:rsidR="00946633">
        <w:rPr>
          <w:lang w:val="en"/>
        </w:rPr>
        <w:t>On the other hand</w:t>
      </w:r>
      <w:r>
        <w:rPr>
          <w:lang w:val="en"/>
        </w:rPr>
        <w:t xml:space="preserve">, De </w:t>
      </w:r>
      <w:proofErr w:type="spellStart"/>
      <w:r>
        <w:rPr>
          <w:lang w:val="en"/>
        </w:rPr>
        <w:t>Raco</w:t>
      </w:r>
      <w:proofErr w:type="spellEnd"/>
      <w:r>
        <w:rPr>
          <w:lang w:val="en"/>
        </w:rPr>
        <w:t xml:space="preserve"> and </w:t>
      </w:r>
      <w:proofErr w:type="spellStart"/>
      <w:r>
        <w:rPr>
          <w:lang w:val="en"/>
        </w:rPr>
        <w:t>Semeshenko</w:t>
      </w:r>
      <w:proofErr w:type="spellEnd"/>
      <w:r>
        <w:rPr>
          <w:lang w:val="en"/>
        </w:rPr>
        <w:t xml:space="preserve"> (2019) studied similarities and differences between </w:t>
      </w:r>
      <w:r w:rsidR="00A54C8C">
        <w:rPr>
          <w:lang w:val="en"/>
        </w:rPr>
        <w:t xml:space="preserve">Argentina and Germany’s </w:t>
      </w:r>
      <w:r w:rsidR="00E202A2">
        <w:rPr>
          <w:lang w:val="en"/>
        </w:rPr>
        <w:t>networks</w:t>
      </w:r>
      <w:r>
        <w:rPr>
          <w:lang w:val="en"/>
        </w:rPr>
        <w:t xml:space="preserve"> </w:t>
      </w:r>
      <w:commentRangeStart w:id="6"/>
      <w:r w:rsidR="00593F0B">
        <w:rPr>
          <w:lang w:val="en"/>
        </w:rPr>
        <w:t xml:space="preserve">from the </w:t>
      </w:r>
      <w:r w:rsidR="003D3309">
        <w:rPr>
          <w:lang w:val="en"/>
        </w:rPr>
        <w:t>analysis</w:t>
      </w:r>
      <w:r w:rsidR="00070A7B">
        <w:rPr>
          <w:lang w:val="en"/>
        </w:rPr>
        <w:t xml:space="preserve"> of </w:t>
      </w:r>
      <w:r>
        <w:rPr>
          <w:lang w:val="en"/>
        </w:rPr>
        <w:t xml:space="preserve">movements </w:t>
      </w:r>
      <w:commentRangeEnd w:id="6"/>
      <w:r w:rsidR="00946633">
        <w:rPr>
          <w:rStyle w:val="CommentReference"/>
        </w:rPr>
        <w:commentReference w:id="6"/>
      </w:r>
      <w:r>
        <w:rPr>
          <w:lang w:val="en"/>
        </w:rPr>
        <w:t>between</w:t>
      </w:r>
      <w:r w:rsidR="00E202A2">
        <w:rPr>
          <w:lang w:val="en"/>
        </w:rPr>
        <w:t xml:space="preserve"> industries</w:t>
      </w:r>
      <w:r w:rsidR="00836669">
        <w:rPr>
          <w:lang w:val="en"/>
        </w:rPr>
        <w:t xml:space="preserve"> using administrative data.</w:t>
      </w:r>
    </w:p>
    <w:p w14:paraId="4293E972" w14:textId="35EE468F" w:rsidR="00014AE0" w:rsidRPr="00014AE0" w:rsidRDefault="00014AE0" w:rsidP="00014AE0">
      <w:pPr>
        <w:spacing w:line="360" w:lineRule="auto"/>
        <w:rPr>
          <w:lang w:val="en-US"/>
        </w:rPr>
      </w:pPr>
      <w:r>
        <w:rPr>
          <w:lang w:val="en"/>
        </w:rPr>
        <w:t xml:space="preserve">This work aims to characterize the graph that arises from the movements between occupations of workers of the Permanent Household Survey (EPH) and use that distance measurement to assess whether occupations that are less </w:t>
      </w:r>
      <w:proofErr w:type="gramStart"/>
      <w:r>
        <w:rPr>
          <w:lang w:val="en"/>
        </w:rPr>
        <w:t>similar to</w:t>
      </w:r>
      <w:proofErr w:type="gramEnd"/>
      <w:r>
        <w:rPr>
          <w:lang w:val="en"/>
        </w:rPr>
        <w:t xml:space="preserve"> each other bring associated major falls in wages.</w:t>
      </w:r>
    </w:p>
    <w:p w14:paraId="27701084" w14:textId="2A2C0495" w:rsidR="00FD5BDC" w:rsidRPr="00DE1196" w:rsidRDefault="00FD5BDC" w:rsidP="00A54C8C">
      <w:pPr>
        <w:pStyle w:val="Heading2"/>
        <w:rPr>
          <w:lang w:val="en-US"/>
        </w:rPr>
      </w:pPr>
      <w:r>
        <w:rPr>
          <w:lang w:val="en"/>
        </w:rPr>
        <w:t>The distance</w:t>
      </w:r>
      <w:r w:rsidR="00300AA7">
        <w:rPr>
          <w:lang w:val="en"/>
        </w:rPr>
        <w:t xml:space="preserve"> measure</w:t>
      </w:r>
      <w:r>
        <w:rPr>
          <w:lang w:val="en"/>
        </w:rPr>
        <w:t xml:space="preserve"> between occupations</w:t>
      </w:r>
    </w:p>
    <w:p w14:paraId="11364E48" w14:textId="6F802912" w:rsidR="00FD5BDC" w:rsidRPr="00DE1196" w:rsidRDefault="00FD5BDC" w:rsidP="00A54C8C">
      <w:pPr>
        <w:pBdr>
          <w:top w:val="nil"/>
          <w:left w:val="nil"/>
          <w:bottom w:val="nil"/>
          <w:right w:val="nil"/>
          <w:between w:val="nil"/>
        </w:pBdr>
        <w:spacing w:line="360" w:lineRule="auto"/>
        <w:rPr>
          <w:lang w:val="en-US"/>
        </w:rPr>
      </w:pPr>
      <w:r>
        <w:rPr>
          <w:lang w:val="en"/>
        </w:rPr>
        <w:t xml:space="preserve">The methodology used in this work is based on the theoretical contributions of the literature of economic complexity and its derivatives (for example Hidalgo et al (2007), Hidalgo and Hausmann (2009), </w:t>
      </w:r>
      <w:proofErr w:type="spellStart"/>
      <w:r>
        <w:rPr>
          <w:lang w:val="en"/>
        </w:rPr>
        <w:t>Neffke</w:t>
      </w:r>
      <w:proofErr w:type="spellEnd"/>
      <w:r>
        <w:rPr>
          <w:lang w:val="en"/>
        </w:rPr>
        <w:t xml:space="preserve"> and Henning (2013), and </w:t>
      </w:r>
      <w:proofErr w:type="spellStart"/>
      <w:r>
        <w:rPr>
          <w:lang w:val="en"/>
        </w:rPr>
        <w:t>Neffke</w:t>
      </w:r>
      <w:proofErr w:type="spellEnd"/>
      <w:r>
        <w:rPr>
          <w:lang w:val="en"/>
        </w:rPr>
        <w:t xml:space="preserve"> et al (2017)). The objective of all this literature is to identify similarities bet</w:t>
      </w:r>
      <w:bookmarkStart w:id="7" w:name="_GoBack"/>
      <w:bookmarkEnd w:id="7"/>
      <w:r>
        <w:rPr>
          <w:lang w:val="en"/>
        </w:rPr>
        <w:t xml:space="preserve">ween different variables (productive capacities of countries, demand for similar </w:t>
      </w:r>
      <w:r w:rsidR="00D2444A">
        <w:rPr>
          <w:lang w:val="en"/>
        </w:rPr>
        <w:lastRenderedPageBreak/>
        <w:t xml:space="preserve">skills </w:t>
      </w:r>
      <w:r>
        <w:rPr>
          <w:lang w:val="en"/>
        </w:rPr>
        <w:t>between industries, among others) through the observed flows of variables we could call "</w:t>
      </w:r>
      <w:r w:rsidR="00F16413">
        <w:rPr>
          <w:lang w:val="en"/>
        </w:rPr>
        <w:t xml:space="preserve">of </w:t>
      </w:r>
      <w:r>
        <w:rPr>
          <w:lang w:val="en"/>
        </w:rPr>
        <w:t>results"</w:t>
      </w:r>
      <w:r w:rsidR="00F81813">
        <w:rPr>
          <w:lang w:val="en"/>
        </w:rPr>
        <w:t>.</w:t>
      </w:r>
      <w:r>
        <w:rPr>
          <w:lang w:val="en"/>
        </w:rPr>
        <w:t xml:space="preserve"> </w:t>
      </w:r>
    </w:p>
    <w:p w14:paraId="6B65C7B7" w14:textId="0187EFE1" w:rsidR="00FD5BDC" w:rsidRPr="00DE1196" w:rsidRDefault="002B546C" w:rsidP="00A54C8C">
      <w:pPr>
        <w:pBdr>
          <w:top w:val="nil"/>
          <w:left w:val="nil"/>
          <w:bottom w:val="nil"/>
          <w:right w:val="nil"/>
          <w:between w:val="nil"/>
        </w:pBdr>
        <w:spacing w:line="360" w:lineRule="auto"/>
        <w:rPr>
          <w:lang w:val="en-US"/>
        </w:rPr>
      </w:pPr>
      <w:r>
        <w:rPr>
          <w:lang w:val="en"/>
        </w:rPr>
        <w:t>T</w:t>
      </w:r>
      <w:r w:rsidR="00FD5BDC">
        <w:rPr>
          <w:lang w:val="en"/>
        </w:rPr>
        <w:t xml:space="preserve">his methodology </w:t>
      </w:r>
      <w:r>
        <w:rPr>
          <w:lang w:val="en"/>
        </w:rPr>
        <w:t>requires</w:t>
      </w:r>
      <w:r w:rsidR="00FD5BDC">
        <w:rPr>
          <w:lang w:val="en"/>
        </w:rPr>
        <w:t xml:space="preserve"> t</w:t>
      </w:r>
      <w:r>
        <w:rPr>
          <w:lang w:val="en"/>
        </w:rPr>
        <w:t xml:space="preserve">he </w:t>
      </w:r>
      <w:r w:rsidR="00FD5BDC">
        <w:rPr>
          <w:lang w:val="en"/>
        </w:rPr>
        <w:t>defin</w:t>
      </w:r>
      <w:r>
        <w:rPr>
          <w:lang w:val="en"/>
        </w:rPr>
        <w:t>ition of</w:t>
      </w:r>
      <w:r w:rsidR="00FD5BDC">
        <w:rPr>
          <w:lang w:val="en"/>
        </w:rPr>
        <w:t xml:space="preserve"> a "base case" of flow between the units (countries, industries, </w:t>
      </w:r>
      <w:r w:rsidR="00D2444A">
        <w:rPr>
          <w:lang w:val="en"/>
        </w:rPr>
        <w:t>workers</w:t>
      </w:r>
      <w:r w:rsidR="00FD5BDC">
        <w:rPr>
          <w:lang w:val="en"/>
        </w:rPr>
        <w:t>), i.e. th</w:t>
      </w:r>
      <w:r w:rsidR="003535FB">
        <w:rPr>
          <w:lang w:val="en"/>
        </w:rPr>
        <w:t>e</w:t>
      </w:r>
      <w:r w:rsidR="00FD5BDC">
        <w:rPr>
          <w:lang w:val="en"/>
        </w:rPr>
        <w:t xml:space="preserve"> flow that is expected to exist if there is no specific attraction between the units. Once this expected flow is identified, this value is compared against the </w:t>
      </w:r>
      <w:r w:rsidR="00D2444A">
        <w:rPr>
          <w:lang w:val="en"/>
        </w:rPr>
        <w:t>observed</w:t>
      </w:r>
      <w:r w:rsidR="00FD5BDC">
        <w:rPr>
          <w:lang w:val="en"/>
        </w:rPr>
        <w:t xml:space="preserve"> flow and conclusions are drawn about the differences.</w:t>
      </w:r>
    </w:p>
    <w:p w14:paraId="3AABB416" w14:textId="444B5FAC" w:rsidR="00FD5BDC" w:rsidRPr="00DE1196" w:rsidRDefault="00FD5BDC" w:rsidP="00A54C8C">
      <w:pPr>
        <w:pBdr>
          <w:top w:val="nil"/>
          <w:left w:val="nil"/>
          <w:bottom w:val="nil"/>
          <w:right w:val="nil"/>
          <w:between w:val="nil"/>
        </w:pBdr>
        <w:spacing w:line="360" w:lineRule="auto"/>
        <w:rPr>
          <w:lang w:val="en-US"/>
        </w:rPr>
      </w:pPr>
      <w:r>
        <w:rPr>
          <w:lang w:val="en"/>
        </w:rPr>
        <w:t xml:space="preserve">This way of detecting non-random patterns has analogies in other domains, </w:t>
      </w:r>
      <w:r w:rsidR="001904FB">
        <w:rPr>
          <w:lang w:val="en"/>
        </w:rPr>
        <w:t>for example</w:t>
      </w:r>
      <w:r w:rsidR="00B64177">
        <w:rPr>
          <w:lang w:val="en"/>
        </w:rPr>
        <w:t>,</w:t>
      </w:r>
      <w:r>
        <w:rPr>
          <w:lang w:val="en"/>
        </w:rPr>
        <w:t xml:space="preserve"> in spatial statistics to compare crime rates</w:t>
      </w:r>
      <w:r w:rsidR="00B64177">
        <w:rPr>
          <w:lang w:val="en"/>
        </w:rPr>
        <w:t xml:space="preserve"> </w:t>
      </w:r>
      <w:r>
        <w:rPr>
          <w:lang w:val="en"/>
        </w:rPr>
        <w:t xml:space="preserve">in different regions relative to the average, which would indicate a random distribution in </w:t>
      </w:r>
      <w:r w:rsidR="00CE7EB8">
        <w:rPr>
          <w:lang w:val="en"/>
        </w:rPr>
        <w:t>spatial terms</w:t>
      </w:r>
      <w:r>
        <w:rPr>
          <w:lang w:val="en"/>
        </w:rPr>
        <w:t xml:space="preserve">. </w:t>
      </w:r>
      <w:r w:rsidR="008E7936">
        <w:rPr>
          <w:lang w:val="en"/>
        </w:rPr>
        <w:t xml:space="preserve">It is also </w:t>
      </w:r>
      <w:proofErr w:type="gramStart"/>
      <w:r w:rsidR="008E7936">
        <w:rPr>
          <w:lang w:val="en"/>
        </w:rPr>
        <w:t>similar to</w:t>
      </w:r>
      <w:proofErr w:type="gramEnd"/>
      <w:r>
        <w:rPr>
          <w:lang w:val="en"/>
        </w:rPr>
        <w:t xml:space="preserve"> the methodology in contingency table tests as de </w:t>
      </w:r>
      <w:proofErr w:type="spellStart"/>
      <w:r>
        <w:rPr>
          <w:lang w:val="en"/>
        </w:rPr>
        <w:t>Raco</w:t>
      </w:r>
      <w:proofErr w:type="spellEnd"/>
      <w:r>
        <w:rPr>
          <w:lang w:val="en"/>
        </w:rPr>
        <w:t xml:space="preserve"> and </w:t>
      </w:r>
      <w:proofErr w:type="spellStart"/>
      <w:r>
        <w:rPr>
          <w:lang w:val="en"/>
        </w:rPr>
        <w:t>Semeshenko</w:t>
      </w:r>
      <w:proofErr w:type="spellEnd"/>
      <w:r>
        <w:rPr>
          <w:lang w:val="en"/>
        </w:rPr>
        <w:t xml:space="preserve"> (2019) point out.</w:t>
      </w:r>
    </w:p>
    <w:p w14:paraId="68288C87" w14:textId="01A63E86" w:rsidR="00FD5BDC" w:rsidRPr="00DE1196" w:rsidRDefault="00FD5BDC" w:rsidP="00A54C8C">
      <w:pPr>
        <w:pBdr>
          <w:top w:val="nil"/>
          <w:left w:val="nil"/>
          <w:bottom w:val="nil"/>
          <w:right w:val="nil"/>
          <w:between w:val="nil"/>
        </w:pBdr>
        <w:spacing w:line="360" w:lineRule="auto"/>
        <w:rPr>
          <w:lang w:val="en-US"/>
        </w:rPr>
      </w:pPr>
      <w:r>
        <w:rPr>
          <w:lang w:val="en"/>
        </w:rPr>
        <w:t xml:space="preserve">However, the </w:t>
      </w:r>
      <w:r w:rsidR="009E0FF2">
        <w:rPr>
          <w:lang w:val="en"/>
        </w:rPr>
        <w:t>strategy</w:t>
      </w:r>
      <w:r w:rsidR="00956FBD">
        <w:rPr>
          <w:lang w:val="en"/>
        </w:rPr>
        <w:t xml:space="preserve"> used to determine the </w:t>
      </w:r>
      <w:r>
        <w:rPr>
          <w:lang w:val="en"/>
        </w:rPr>
        <w:t xml:space="preserve">selection of this base scenario has </w:t>
      </w:r>
      <w:r w:rsidR="00956FBD">
        <w:rPr>
          <w:lang w:val="en"/>
        </w:rPr>
        <w:t>varied</w:t>
      </w:r>
      <w:r>
        <w:rPr>
          <w:lang w:val="en"/>
        </w:rPr>
        <w:t xml:space="preserve"> </w:t>
      </w:r>
      <w:r w:rsidR="003A590F">
        <w:rPr>
          <w:lang w:val="en"/>
        </w:rPr>
        <w:t>throughout</w:t>
      </w:r>
      <w:r>
        <w:rPr>
          <w:lang w:val="en"/>
        </w:rPr>
        <w:t xml:space="preserve"> literature. For example, Hidalgo et al (2007) create this base scenario using Balassa's </w:t>
      </w:r>
      <w:r w:rsidR="00CE7EB8">
        <w:rPr>
          <w:lang w:val="en"/>
        </w:rPr>
        <w:t>c</w:t>
      </w:r>
      <w:r>
        <w:rPr>
          <w:lang w:val="en"/>
        </w:rPr>
        <w:t>oncept of Revealed Comparative Advantage (RCA) (1986). Analyzing international trade between countries we define the</w:t>
      </w:r>
      <w:r w:rsidR="00BF135B">
        <w:rPr>
          <w:lang w:val="en"/>
        </w:rPr>
        <w:t xml:space="preserve"> RCA</w:t>
      </w:r>
      <w:r w:rsidR="00B55356">
        <w:rPr>
          <w:lang w:val="en"/>
        </w:rPr>
        <w:t xml:space="preserve"> of</w:t>
      </w:r>
      <w:r>
        <w:rPr>
          <w:lang w:val="en"/>
        </w:rPr>
        <w:t xml:space="preserve"> country c in product p by the following formula:</w:t>
      </w:r>
    </w:p>
    <w:p w14:paraId="26692966" w14:textId="109E0AE9" w:rsidR="00AB4A98" w:rsidRPr="00546537" w:rsidRDefault="00131924">
      <w:pPr>
        <w:jc w:val="center"/>
        <w:rPr>
          <w:lang w:val="en-US"/>
        </w:rPr>
      </w:pPr>
      <m:oMath>
        <m:r>
          <w:rPr>
            <w:rFonts w:ascii="Cambria Math" w:hAnsi="Cambria Math"/>
          </w:rPr>
          <m:t>RC</m:t>
        </m:r>
        <m:sSub>
          <m:sSubPr>
            <m:ctrlPr>
              <w:rPr>
                <w:rFonts w:ascii="Cambria Math" w:hAnsi="Cambria Math"/>
              </w:rPr>
            </m:ctrlPr>
          </m:sSubPr>
          <m:e>
            <m:r>
              <w:rPr>
                <w:rFonts w:ascii="Cambria Math" w:hAnsi="Cambria Math"/>
              </w:rPr>
              <m:t>A</m:t>
            </m:r>
          </m:e>
          <m:sub>
            <m:r>
              <w:rPr>
                <w:rFonts w:ascii="Cambria Math" w:hAnsi="Cambria Math"/>
              </w:rPr>
              <m:t>cp</m:t>
            </m:r>
          </m:sub>
        </m:sSub>
        <m:r>
          <w:rPr>
            <w:rFonts w:ascii="Cambria Math" w:hAnsi="Cambria Math"/>
            <w:lang w:val="en-US"/>
          </w:rPr>
          <m:t xml:space="preserve"> =(</m:t>
        </m:r>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cp</m:t>
            </m:r>
          </m:sub>
        </m:sSub>
        <m:r>
          <w:rPr>
            <w:rFonts w:ascii="Cambria Math" w:hAnsi="Cambria Math"/>
            <w:lang w:val="en-US"/>
          </w:rPr>
          <m:t>/</m:t>
        </m:r>
        <m:nary>
          <m:naryPr>
            <m:chr m:val="∑"/>
            <m:ctrlPr>
              <w:rPr>
                <w:rFonts w:ascii="Cambria Math" w:hAnsi="Cambria Math"/>
              </w:rPr>
            </m:ctrlPr>
          </m:naryPr>
          <m:sub>
            <m:r>
              <w:rPr>
                <w:rFonts w:ascii="Cambria Math" w:hAnsi="Cambria Math"/>
              </w:rPr>
              <m:t>p</m:t>
            </m:r>
            <m:r>
              <w:rPr>
                <w:rFonts w:ascii="Cambria Math" w:hAnsi="Cambria Math"/>
                <w:lang w:val="en-US"/>
              </w:rPr>
              <m:t>=1</m:t>
            </m:r>
          </m:sub>
          <m:sup>
            <m:r>
              <w:rPr>
                <w:rFonts w:ascii="Cambria Math" w:hAnsi="Cambria Math"/>
              </w:rPr>
              <m:t>P</m:t>
            </m:r>
          </m:sup>
          <m:e>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cp</m:t>
                </m:r>
              </m:sub>
            </m:sSub>
          </m:e>
        </m:nary>
      </m:oMath>
      <w:r w:rsidRPr="00546537">
        <w:rPr>
          <w:lang w:val="en-US"/>
        </w:rPr>
        <w:t>) / (</w:t>
      </w:r>
      <m:oMath>
        <m:nary>
          <m:naryPr>
            <m:chr m:val="∑"/>
            <m:ctrlPr>
              <w:rPr>
                <w:rFonts w:ascii="Cambria Math" w:hAnsi="Cambria Math"/>
              </w:rPr>
            </m:ctrlPr>
          </m:naryPr>
          <m:sub>
            <m:r>
              <w:rPr>
                <w:rFonts w:ascii="Cambria Math" w:hAnsi="Cambria Math"/>
              </w:rPr>
              <m:t>c</m:t>
            </m:r>
            <m:r>
              <w:rPr>
                <w:rFonts w:ascii="Cambria Math" w:hAnsi="Cambria Math"/>
                <w:lang w:val="en-US"/>
              </w:rPr>
              <m:t>=1</m:t>
            </m:r>
          </m:sub>
          <m:sup>
            <m:r>
              <w:rPr>
                <w:rFonts w:ascii="Cambria Math" w:hAnsi="Cambria Math"/>
              </w:rPr>
              <m:t>C</m:t>
            </m:r>
          </m:sup>
          <m:e>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cp</m:t>
                </m:r>
              </m:sub>
            </m:sSub>
          </m:e>
        </m:nary>
        <m:r>
          <w:rPr>
            <w:rFonts w:ascii="Cambria Math" w:hAnsi="Cambria Math"/>
            <w:lang w:val="en-US"/>
          </w:rPr>
          <m:t>/</m:t>
        </m:r>
        <m:nary>
          <m:naryPr>
            <m:chr m:val="∑"/>
            <m:ctrlPr>
              <w:rPr>
                <w:rFonts w:ascii="Cambria Math" w:hAnsi="Cambria Math"/>
              </w:rPr>
            </m:ctrlPr>
          </m:naryPr>
          <m:sub>
            <m:r>
              <w:rPr>
                <w:rFonts w:ascii="Cambria Math" w:hAnsi="Cambria Math"/>
              </w:rPr>
              <m:t>c</m:t>
            </m:r>
            <m:r>
              <w:rPr>
                <w:rFonts w:ascii="Cambria Math" w:hAnsi="Cambria Math"/>
                <w:lang w:val="en-US"/>
              </w:rPr>
              <m:t>=1</m:t>
            </m:r>
          </m:sub>
          <m:sup>
            <m:r>
              <w:rPr>
                <w:rFonts w:ascii="Cambria Math" w:hAnsi="Cambria Math"/>
              </w:rPr>
              <m:t>C</m:t>
            </m:r>
          </m:sup>
          <m:e>
            <m:nary>
              <m:naryPr>
                <m:chr m:val="∑"/>
                <m:ctrlPr>
                  <w:rPr>
                    <w:rFonts w:ascii="Cambria Math" w:hAnsi="Cambria Math"/>
                  </w:rPr>
                </m:ctrlPr>
              </m:naryPr>
              <m:sub>
                <m:r>
                  <w:rPr>
                    <w:rFonts w:ascii="Cambria Math" w:hAnsi="Cambria Math"/>
                  </w:rPr>
                  <m:t>p</m:t>
                </m:r>
                <m:r>
                  <w:rPr>
                    <w:rFonts w:ascii="Cambria Math" w:hAnsi="Cambria Math"/>
                    <w:lang w:val="en-US"/>
                  </w:rPr>
                  <m:t>=1</m:t>
                </m:r>
              </m:sub>
              <m:sup>
                <m:r>
                  <w:rPr>
                    <w:rFonts w:ascii="Cambria Math" w:hAnsi="Cambria Math"/>
                  </w:rPr>
                  <m:t>P</m:t>
                </m:r>
              </m:sup>
              <m:e>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cp</m:t>
                    </m:r>
                  </m:sub>
                </m:sSub>
              </m:e>
            </m:nary>
          </m:e>
        </m:nary>
        <m:r>
          <w:rPr>
            <w:rFonts w:ascii="Cambria Math" w:hAnsi="Cambria Math"/>
            <w:lang w:val="en-US"/>
          </w:rPr>
          <m:t>)</m:t>
        </m:r>
      </m:oMath>
    </w:p>
    <w:p w14:paraId="1BB89E88" w14:textId="4085A432" w:rsidR="00CE7EB8" w:rsidRPr="00DE1196" w:rsidRDefault="00CE7EB8" w:rsidP="00A54C8C">
      <w:pPr>
        <w:pBdr>
          <w:top w:val="nil"/>
          <w:left w:val="nil"/>
          <w:bottom w:val="nil"/>
          <w:right w:val="nil"/>
          <w:between w:val="nil"/>
        </w:pBdr>
        <w:spacing w:line="360" w:lineRule="auto"/>
        <w:rPr>
          <w:lang w:val="en-US"/>
        </w:rPr>
      </w:pPr>
      <w:r>
        <w:rPr>
          <w:lang w:val="en"/>
        </w:rPr>
        <w:t xml:space="preserve">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cp</m:t>
            </m:r>
          </m:sub>
        </m:sSub>
      </m:oMath>
      <w:r w:rsidRPr="00DE1196">
        <w:rPr>
          <w:lang w:val="en-US"/>
        </w:rPr>
        <w:t xml:space="preserve"> </w:t>
      </w:r>
      <w:r>
        <w:rPr>
          <w:lang w:val="en-US"/>
        </w:rPr>
        <w:t xml:space="preserve">is </w:t>
      </w:r>
      <w:r>
        <w:rPr>
          <w:lang w:val="en"/>
        </w:rPr>
        <w:t xml:space="preserve">the exported value of the product p by country </w:t>
      </w:r>
      <w:proofErr w:type="gramStart"/>
      <w:r>
        <w:rPr>
          <w:lang w:val="en"/>
        </w:rPr>
        <w:t>c.</w:t>
      </w:r>
      <w:proofErr w:type="gramEnd"/>
      <w:r>
        <w:rPr>
          <w:lang w:val="en"/>
        </w:rPr>
        <w:t xml:space="preserve"> Thus, a value less than one in this indicator implies that the country exports a lower proportion of that good </w:t>
      </w:r>
      <w:r w:rsidR="00276D7F">
        <w:rPr>
          <w:lang w:val="en"/>
        </w:rPr>
        <w:t xml:space="preserve">relative </w:t>
      </w:r>
      <w:r>
        <w:rPr>
          <w:lang w:val="en"/>
        </w:rPr>
        <w:t>to the global average, and a value greater than one implies the opposite. Therefore, the expected flow is the value that would have been observed if the export of that product was distributed evenly in each of the countries.</w:t>
      </w:r>
    </w:p>
    <w:p w14:paraId="14A68D05" w14:textId="61F8E3C2" w:rsidR="00CE7EB8" w:rsidRPr="00DE1196" w:rsidRDefault="00CE7EB8" w:rsidP="00A54C8C">
      <w:pPr>
        <w:pBdr>
          <w:top w:val="nil"/>
          <w:left w:val="nil"/>
          <w:bottom w:val="nil"/>
          <w:right w:val="nil"/>
          <w:between w:val="nil"/>
        </w:pBdr>
        <w:spacing w:line="360" w:lineRule="auto"/>
        <w:rPr>
          <w:lang w:val="en-US"/>
        </w:rPr>
      </w:pPr>
      <w:r>
        <w:rPr>
          <w:lang w:val="en"/>
        </w:rPr>
        <w:t xml:space="preserve">This notion can easily be adapted to the movement of workers between occupations simply by observing the flows of workers (renamed in F) coming out of occupation </w:t>
      </w:r>
      <w:proofErr w:type="spellStart"/>
      <w:r>
        <w:rPr>
          <w:lang w:val="en"/>
        </w:rPr>
        <w:t>i</w:t>
      </w:r>
      <w:proofErr w:type="spellEnd"/>
      <w:r>
        <w:rPr>
          <w:lang w:val="en"/>
        </w:rPr>
        <w:t xml:space="preserve"> to j. </w:t>
      </w:r>
      <w:r w:rsidR="001F1B63">
        <w:rPr>
          <w:lang w:val="en"/>
        </w:rPr>
        <w:t>F</w:t>
      </w:r>
      <w:r>
        <w:rPr>
          <w:lang w:val="en"/>
        </w:rPr>
        <w:t xml:space="preserve">ollowing </w:t>
      </w:r>
      <w:proofErr w:type="spellStart"/>
      <w:r>
        <w:rPr>
          <w:lang w:val="en"/>
        </w:rPr>
        <w:t>Neffke</w:t>
      </w:r>
      <w:proofErr w:type="spellEnd"/>
      <w:r>
        <w:rPr>
          <w:lang w:val="en"/>
        </w:rPr>
        <w:t xml:space="preserve"> et al (2017), </w:t>
      </w:r>
      <w:r w:rsidR="001F1B63">
        <w:rPr>
          <w:lang w:val="en"/>
        </w:rPr>
        <w:t xml:space="preserve">we will </w:t>
      </w:r>
      <w:r>
        <w:rPr>
          <w:lang w:val="en"/>
        </w:rPr>
        <w:t>establish the expected flow of workers</w:t>
      </w:r>
      <w:r w:rsidR="00225CFE">
        <w:rPr>
          <w:lang w:val="en"/>
        </w:rPr>
        <w:t>’ movement</w:t>
      </w:r>
      <w:r>
        <w:rPr>
          <w:lang w:val="en"/>
        </w:rPr>
        <w:t xml:space="preserve"> between occupations </w:t>
      </w:r>
      <w:proofErr w:type="gramStart"/>
      <w:r>
        <w:rPr>
          <w:lang w:val="en"/>
        </w:rPr>
        <w:t>taking into account</w:t>
      </w:r>
      <w:proofErr w:type="gramEnd"/>
      <w:r>
        <w:rPr>
          <w:lang w:val="en"/>
        </w:rPr>
        <w:t xml:space="preserve"> the outflows and </w:t>
      </w:r>
      <w:r w:rsidR="00D2444A">
        <w:rPr>
          <w:lang w:val="en"/>
        </w:rPr>
        <w:t xml:space="preserve">inflows </w:t>
      </w:r>
      <w:r>
        <w:rPr>
          <w:lang w:val="en"/>
        </w:rPr>
        <w:t xml:space="preserve">of the occupations between which the workers moved. If the relative output and input size </w:t>
      </w:r>
      <w:r w:rsidR="0008457D">
        <w:rPr>
          <w:lang w:val="en"/>
        </w:rPr>
        <w:t>could be</w:t>
      </w:r>
      <w:r>
        <w:rPr>
          <w:lang w:val="en"/>
        </w:rPr>
        <w:t xml:space="preserve"> used to explain the flow of workers, then the expected flow between sector </w:t>
      </w:r>
      <w:proofErr w:type="spellStart"/>
      <w:r>
        <w:rPr>
          <w:lang w:val="en"/>
        </w:rPr>
        <w:t>i</w:t>
      </w:r>
      <w:proofErr w:type="spellEnd"/>
      <w:r>
        <w:rPr>
          <w:lang w:val="en"/>
        </w:rPr>
        <w:t xml:space="preserve"> and j would be given by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lang w:val="en-US"/>
                  </w:rPr>
                  <m:t>,</m:t>
                </m:r>
                <m:r>
                  <w:rPr>
                    <w:rFonts w:ascii="Cambria Math" w:hAnsi="Cambria Math"/>
                  </w:rPr>
                  <m:t>j</m:t>
                </m:r>
              </m:sub>
            </m:sSub>
          </m:e>
        </m:acc>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lang w:val="en-US"/>
                  </w:rPr>
                  <m:t>,*</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lang w:val="en-US"/>
                  </w:rPr>
                  <m:t>*,</m:t>
                </m:r>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lang w:val="en-US"/>
                  </w:rPr>
                  <m:t>*,*</m:t>
                </m:r>
              </m:sub>
            </m:sSub>
          </m:den>
        </m:f>
      </m:oMath>
      <w:r>
        <w:rPr>
          <w:lang w:val="en"/>
        </w:rPr>
        <w:t>.  In this way, we can measure the "likeness" between occupations by the ratio between expected and observed flows, which after a small algebraic arrangement has the following form:</w:t>
      </w:r>
    </w:p>
    <w:p w14:paraId="40DE4E57" w14:textId="08BC22E2" w:rsidR="00131924" w:rsidRPr="00621438" w:rsidRDefault="004B537B" w:rsidP="00131924">
      <w:pPr>
        <w:pBdr>
          <w:top w:val="nil"/>
          <w:left w:val="nil"/>
          <w:bottom w:val="nil"/>
          <w:right w:val="nil"/>
          <w:between w:val="nil"/>
        </w:pBd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w:bookmarkStart w:id="8" w:name="_Hlk26948648"/>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en>
          </m:f>
        </m:oMath>
      </m:oMathPara>
      <w:bookmarkEnd w:id="8"/>
    </w:p>
    <w:p w14:paraId="359E132F" w14:textId="400016B0" w:rsidR="00AC70FE" w:rsidRPr="00DE1196" w:rsidRDefault="00AC70FE" w:rsidP="00A54C8C">
      <w:pPr>
        <w:pBdr>
          <w:top w:val="nil"/>
          <w:left w:val="nil"/>
          <w:bottom w:val="nil"/>
          <w:right w:val="nil"/>
          <w:between w:val="nil"/>
        </w:pBdr>
        <w:spacing w:line="360" w:lineRule="auto"/>
        <w:rPr>
          <w:lang w:val="en-US"/>
        </w:rPr>
      </w:pPr>
      <w:r>
        <w:rPr>
          <w:lang w:val="en"/>
        </w:rPr>
        <w:lastRenderedPageBreak/>
        <w:t xml:space="preserve">where asterisks (*) refer to all sectors. In this way, the similarity between occupation </w:t>
      </w:r>
      <w:proofErr w:type="spellStart"/>
      <w:r>
        <w:rPr>
          <w:lang w:val="en"/>
        </w:rPr>
        <w:t>i</w:t>
      </w:r>
      <w:proofErr w:type="spellEnd"/>
      <w:r>
        <w:rPr>
          <w:lang w:val="en"/>
        </w:rPr>
        <w:t xml:space="preserve"> and occupation j (</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lang w:val="en"/>
        </w:rPr>
        <w:t xml:space="preserve">) is given by a variable that goes between </w:t>
      </w:r>
      <w:r w:rsidR="006C10E9">
        <w:rPr>
          <w:lang w:val="en"/>
        </w:rPr>
        <w:t>zero</w:t>
      </w:r>
      <w:r>
        <w:rPr>
          <w:lang w:val="en"/>
        </w:rPr>
        <w:t xml:space="preserve"> and </w:t>
      </w:r>
      <w:r w:rsidR="00D72595">
        <w:rPr>
          <w:lang w:val="en"/>
        </w:rPr>
        <w:t>infinite</w:t>
      </w:r>
      <w:r>
        <w:rPr>
          <w:lang w:val="en"/>
        </w:rPr>
        <w:t xml:space="preserve">. A value </w:t>
      </w:r>
      <w:r w:rsidR="00AE2C19">
        <w:rPr>
          <w:lang w:val="en"/>
        </w:rPr>
        <w:t>smaller</w:t>
      </w:r>
      <w:r>
        <w:rPr>
          <w:lang w:val="en"/>
        </w:rPr>
        <w:t xml:space="preserve"> </w:t>
      </w:r>
      <w:r w:rsidR="003B7F93">
        <w:rPr>
          <w:lang w:val="en"/>
        </w:rPr>
        <w:t>t</w:t>
      </w:r>
      <w:r w:rsidR="00D831F6">
        <w:rPr>
          <w:lang w:val="en"/>
        </w:rPr>
        <w:t>han</w:t>
      </w:r>
      <w:r>
        <w:rPr>
          <w:lang w:val="en"/>
        </w:rPr>
        <w:t xml:space="preserve"> 1 implies a movement of workers</w:t>
      </w:r>
      <w:r w:rsidR="006D3D04">
        <w:rPr>
          <w:lang w:val="en"/>
        </w:rPr>
        <w:t xml:space="preserve"> </w:t>
      </w:r>
      <w:r w:rsidR="003B7F93">
        <w:rPr>
          <w:lang w:val="en"/>
        </w:rPr>
        <w:t>below the expectations</w:t>
      </w:r>
      <w:r>
        <w:rPr>
          <w:lang w:val="en"/>
        </w:rPr>
        <w:t>, while one greater than 1 implies the opposite. However, this distance measurement has an asymmetric distribution, with extreme values to</w:t>
      </w:r>
      <w:r w:rsidR="00CA3BCD">
        <w:rPr>
          <w:lang w:val="en"/>
        </w:rPr>
        <w:t>ward</w:t>
      </w:r>
      <w:r>
        <w:rPr>
          <w:lang w:val="en"/>
        </w:rPr>
        <w:t xml:space="preserve"> the values o</w:t>
      </w:r>
      <w:r w:rsidR="009F5355">
        <w:rPr>
          <w:lang w:val="en"/>
        </w:rPr>
        <w:t>n</w:t>
      </w:r>
      <w:r>
        <w:rPr>
          <w:lang w:val="en"/>
        </w:rPr>
        <w:t xml:space="preserve"> the</w:t>
      </w:r>
      <w:r w:rsidR="00D2444A">
        <w:rPr>
          <w:lang w:val="en"/>
        </w:rPr>
        <w:t xml:space="preserve"> positive </w:t>
      </w:r>
      <w:r w:rsidR="00E202A2">
        <w:rPr>
          <w:lang w:val="en"/>
        </w:rPr>
        <w:t>side</w:t>
      </w:r>
      <w:r>
        <w:rPr>
          <w:lang w:val="en"/>
        </w:rPr>
        <w:t>. To be able to count with a measure symmetrically distributed around a value (0) we do the following transformation:</w:t>
      </w:r>
    </w:p>
    <w:p w14:paraId="0C52B883" w14:textId="77777777" w:rsidR="00AC70FE" w:rsidRPr="00621438" w:rsidRDefault="004B537B" w:rsidP="00A54C8C">
      <w:pPr>
        <w:pBdr>
          <w:top w:val="nil"/>
          <w:left w:val="nil"/>
          <w:bottom w:val="nil"/>
          <w:right w:val="nil"/>
          <w:between w:val="nil"/>
        </w:pBdr>
        <w:spacing w:line="360" w:lineRule="auto"/>
        <w:jc w:val="center"/>
        <w:rPr>
          <w:rFonts w:asciiTheme="majorHAnsi" w:hAnsiTheme="majorHAnsi" w:cstheme="majorHAnsi"/>
          <w:i/>
        </w:rPr>
      </w:pPr>
      <m:oMathPara>
        <m:oMath>
          <m:acc>
            <m:accPr>
              <m:chr m:val="̅"/>
              <m:ctrlPr>
                <w:rPr>
                  <w:rFonts w:ascii="Cambria Math" w:hAnsi="Cambria Math" w:cstheme="majorHAnsi"/>
                  <w:i/>
                </w:rPr>
              </m:ctrlPr>
            </m:acc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i,j</m:t>
                  </m:r>
                </m:sub>
              </m:sSub>
            </m:e>
          </m:acc>
          <m:r>
            <w:rPr>
              <w:rFonts w:ascii="Cambria Math" w:hAnsi="Cambria Math" w:cstheme="majorHAnsi"/>
            </w:rPr>
            <m:t xml:space="preserve">= </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ij</m:t>
                  </m:r>
                </m:sub>
              </m:sSub>
              <m:r>
                <w:rPr>
                  <w:rFonts w:ascii="Cambria Math" w:hAnsi="Cambria Math" w:cstheme="majorHAnsi"/>
                </w:rPr>
                <m:t xml:space="preserve">-1) </m:t>
              </m:r>
            </m:num>
            <m:den>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ij</m:t>
                  </m:r>
                </m:sub>
              </m:sSub>
              <m:r>
                <w:rPr>
                  <w:rFonts w:ascii="Cambria Math" w:hAnsi="Cambria Math" w:cstheme="majorHAnsi"/>
                </w:rPr>
                <m:t>+ 1)</m:t>
              </m:r>
            </m:den>
          </m:f>
        </m:oMath>
      </m:oMathPara>
    </w:p>
    <w:p w14:paraId="5C7D232C" w14:textId="339E14EE" w:rsidR="00AC70FE" w:rsidRPr="00DE1196" w:rsidRDefault="00D2444A" w:rsidP="00A54C8C">
      <w:pPr>
        <w:spacing w:line="360" w:lineRule="auto"/>
        <w:rPr>
          <w:lang w:val="en-US"/>
        </w:rPr>
      </w:pPr>
      <w:r>
        <w:rPr>
          <w:lang w:val="en"/>
        </w:rPr>
        <w:t>This measure of distance is symmetrical and bounded between -1 and 1</w:t>
      </w:r>
    </w:p>
    <w:p w14:paraId="59CDF325" w14:textId="77777777" w:rsidR="00C82274" w:rsidRPr="00DE1196" w:rsidRDefault="00C82274" w:rsidP="00A54C8C">
      <w:pPr>
        <w:pStyle w:val="Heading2"/>
        <w:rPr>
          <w:lang w:val="en-US"/>
        </w:rPr>
      </w:pPr>
      <w:r>
        <w:rPr>
          <w:lang w:val="en"/>
        </w:rPr>
        <w:t xml:space="preserve">The facts: </w:t>
      </w:r>
      <w:proofErr w:type="gramStart"/>
      <w:r>
        <w:rPr>
          <w:lang w:val="en"/>
        </w:rPr>
        <w:t>the</w:t>
      </w:r>
      <w:proofErr w:type="gramEnd"/>
      <w:r>
        <w:rPr>
          <w:lang w:val="en"/>
        </w:rPr>
        <w:t xml:space="preserve"> Permanent Household Survey</w:t>
      </w:r>
    </w:p>
    <w:p w14:paraId="4CF5C2C2" w14:textId="39C36F06" w:rsidR="00C82274" w:rsidRPr="00DE1196" w:rsidRDefault="00C82274" w:rsidP="00A54C8C">
      <w:pPr>
        <w:pBdr>
          <w:top w:val="nil"/>
          <w:left w:val="nil"/>
          <w:bottom w:val="nil"/>
          <w:right w:val="nil"/>
          <w:between w:val="nil"/>
        </w:pBdr>
        <w:spacing w:line="360" w:lineRule="auto"/>
        <w:rPr>
          <w:lang w:val="en-US"/>
        </w:rPr>
      </w:pPr>
      <w:r>
        <w:rPr>
          <w:lang w:val="en"/>
        </w:rPr>
        <w:t xml:space="preserve">This work uses data from the Permanent Household Survey (EPH), the </w:t>
      </w:r>
      <w:r w:rsidR="004C153A">
        <w:rPr>
          <w:lang w:val="en"/>
        </w:rPr>
        <w:t>h</w:t>
      </w:r>
      <w:r>
        <w:rPr>
          <w:lang w:val="en"/>
        </w:rPr>
        <w:t xml:space="preserve">ousehold </w:t>
      </w:r>
      <w:r w:rsidR="004C153A">
        <w:rPr>
          <w:lang w:val="en"/>
        </w:rPr>
        <w:t>s</w:t>
      </w:r>
      <w:r>
        <w:rPr>
          <w:lang w:val="en"/>
        </w:rPr>
        <w:t>urvey in Argentina. It systematically reveals information on the socio-economic situation of most of Argentina's urban population, reaching approximately 64% of the country's population.</w:t>
      </w:r>
    </w:p>
    <w:p w14:paraId="0B3D7109" w14:textId="3D3B5811" w:rsidR="00C82274" w:rsidRPr="00DE1196" w:rsidRDefault="00C82274" w:rsidP="00A54C8C">
      <w:pPr>
        <w:pBdr>
          <w:top w:val="nil"/>
          <w:left w:val="nil"/>
          <w:bottom w:val="nil"/>
          <w:right w:val="nil"/>
          <w:between w:val="nil"/>
        </w:pBdr>
        <w:spacing w:line="360" w:lineRule="auto"/>
        <w:rPr>
          <w:lang w:val="en-US"/>
        </w:rPr>
      </w:pPr>
      <w:r>
        <w:rPr>
          <w:lang w:val="en"/>
        </w:rPr>
        <w:t xml:space="preserve">The survey is </w:t>
      </w:r>
      <w:r w:rsidR="00274A0C">
        <w:rPr>
          <w:lang w:val="en"/>
        </w:rPr>
        <w:t>carried out</w:t>
      </w:r>
      <w:r>
        <w:rPr>
          <w:lang w:val="en"/>
        </w:rPr>
        <w:t xml:space="preserve"> continuously and on a quarterly basis since the second quarter of 2003, with some quarters missing in 2007, 2015 and 2016. Like many other household surveys in other countries, the sample design</w:t>
      </w:r>
      <w:commentRangeStart w:id="9"/>
      <w:r>
        <w:rPr>
          <w:lang w:val="en"/>
        </w:rPr>
        <w:t xml:space="preserve"> </w:t>
      </w:r>
      <w:r w:rsidR="004F0550">
        <w:rPr>
          <w:lang w:val="en"/>
        </w:rPr>
        <w:t>has a rotative nature</w:t>
      </w:r>
      <w:commentRangeEnd w:id="9"/>
      <w:r w:rsidR="004F0550">
        <w:rPr>
          <w:rStyle w:val="CommentReference"/>
        </w:rPr>
        <w:commentReference w:id="9"/>
      </w:r>
      <w:r>
        <w:rPr>
          <w:lang w:val="en"/>
        </w:rPr>
        <w:t>. In this scheme, the same home is relieved for four noncontiguous quarters. A household is surveyed twice in a row, then for two quarters it is not surveyed, and finally enters the sample for two more quarters. In this way, the dynamics of a home can be observed for a maximum period of approximately 18 months. This work exploits these short temporary windows to know between which occupations workers often move and to establish similarities based on these flows.</w:t>
      </w:r>
    </w:p>
    <w:p w14:paraId="4F26109A" w14:textId="6772C09C" w:rsidR="00C82274" w:rsidRPr="00DE1196" w:rsidRDefault="00C82274" w:rsidP="00A54C8C">
      <w:pPr>
        <w:pBdr>
          <w:top w:val="nil"/>
          <w:left w:val="nil"/>
          <w:bottom w:val="nil"/>
          <w:right w:val="nil"/>
          <w:between w:val="nil"/>
        </w:pBdr>
        <w:spacing w:line="360" w:lineRule="auto"/>
        <w:rPr>
          <w:lang w:val="en-US"/>
        </w:rPr>
      </w:pPr>
      <w:r>
        <w:rPr>
          <w:lang w:val="en"/>
        </w:rPr>
        <w:t xml:space="preserve">Occupations </w:t>
      </w:r>
      <w:r w:rsidR="007410FD">
        <w:rPr>
          <w:lang w:val="en"/>
        </w:rPr>
        <w:t>are included</w:t>
      </w:r>
      <w:r>
        <w:rPr>
          <w:lang w:val="en"/>
        </w:rPr>
        <w:t xml:space="preserve"> </w:t>
      </w:r>
      <w:r w:rsidR="007410FD">
        <w:rPr>
          <w:lang w:val="en"/>
        </w:rPr>
        <w:t xml:space="preserve">in </w:t>
      </w:r>
      <w:r>
        <w:rPr>
          <w:lang w:val="en"/>
        </w:rPr>
        <w:t>the National Occupational Code (CNO/2001). It is a hierarchical occupation classifier, in which the first two digits correspond to occupations with a high level of aggregation, while the rest of the digits refer to the level of qualification, technology, and hierarchy.</w:t>
      </w:r>
    </w:p>
    <w:p w14:paraId="0257D5D7" w14:textId="23C06696" w:rsidR="00C82274" w:rsidRPr="00DE1196" w:rsidRDefault="00C82274" w:rsidP="00A54C8C">
      <w:pPr>
        <w:pBdr>
          <w:top w:val="nil"/>
          <w:left w:val="nil"/>
          <w:bottom w:val="nil"/>
          <w:right w:val="nil"/>
          <w:between w:val="nil"/>
        </w:pBdr>
        <w:spacing w:line="360" w:lineRule="auto"/>
        <w:rPr>
          <w:lang w:val="en-US"/>
        </w:rPr>
      </w:pPr>
      <w:r>
        <w:rPr>
          <w:lang w:val="en"/>
        </w:rPr>
        <w:t xml:space="preserve">The interest of this work lies in the movements between occupations, and not between the qualification, technology or hierarchy, so only the first two digits of the CNO, which refer to the group of occupations, will be </w:t>
      </w:r>
      <w:proofErr w:type="gramStart"/>
      <w:r w:rsidR="007F3A25">
        <w:rPr>
          <w:lang w:val="en"/>
        </w:rPr>
        <w:t>taken into account</w:t>
      </w:r>
      <w:proofErr w:type="gramEnd"/>
      <w:r>
        <w:rPr>
          <w:lang w:val="en"/>
        </w:rPr>
        <w:t>. In total, these are 52 large groups of occupations (see Table 1 of the Annex). In addition to this data, we have information on income from the main occupation, which will be used to analyze the relationship between change of occupation and change in wages.</w:t>
      </w:r>
    </w:p>
    <w:p w14:paraId="7EB3502D" w14:textId="3AA1A902" w:rsidR="00C82274" w:rsidRPr="00DE1196" w:rsidRDefault="00C82274" w:rsidP="00A54C8C">
      <w:pPr>
        <w:pBdr>
          <w:top w:val="nil"/>
          <w:left w:val="nil"/>
          <w:bottom w:val="nil"/>
          <w:right w:val="nil"/>
          <w:between w:val="nil"/>
        </w:pBdr>
        <w:spacing w:line="360" w:lineRule="auto"/>
        <w:rPr>
          <w:lang w:val="en-US"/>
        </w:rPr>
      </w:pPr>
      <w:r>
        <w:rPr>
          <w:lang w:val="en"/>
        </w:rPr>
        <w:lastRenderedPageBreak/>
        <w:t xml:space="preserve">Although these are short trajectories, this exercise is </w:t>
      </w:r>
      <w:proofErr w:type="gramStart"/>
      <w:r>
        <w:rPr>
          <w:lang w:val="en"/>
        </w:rPr>
        <w:t>similar to</w:t>
      </w:r>
      <w:proofErr w:type="gramEnd"/>
      <w:r>
        <w:rPr>
          <w:lang w:val="en"/>
        </w:rPr>
        <w:t xml:space="preserve"> th</w:t>
      </w:r>
      <w:r w:rsidR="007F3A25">
        <w:rPr>
          <w:lang w:val="en"/>
        </w:rPr>
        <w:t>e one</w:t>
      </w:r>
      <w:r>
        <w:rPr>
          <w:lang w:val="en"/>
        </w:rPr>
        <w:t xml:space="preserve"> performed by </w:t>
      </w:r>
      <w:proofErr w:type="spellStart"/>
      <w:r>
        <w:rPr>
          <w:lang w:val="en"/>
        </w:rPr>
        <w:t>Nedelkoska</w:t>
      </w:r>
      <w:proofErr w:type="spellEnd"/>
      <w:r>
        <w:rPr>
          <w:lang w:val="en"/>
        </w:rPr>
        <w:t xml:space="preserve"> et al (2018). In this paper, researchers used monthly data from the U.S. Current Population Survey (CPS), with a 15-month time window, virtually identical to </w:t>
      </w:r>
      <w:r w:rsidR="00143052">
        <w:rPr>
          <w:lang w:val="en"/>
        </w:rPr>
        <w:t>the one</w:t>
      </w:r>
      <w:r>
        <w:rPr>
          <w:lang w:val="en"/>
        </w:rPr>
        <w:t xml:space="preserve"> of </w:t>
      </w:r>
      <w:r w:rsidR="007F3A25">
        <w:rPr>
          <w:lang w:val="en"/>
        </w:rPr>
        <w:t>t</w:t>
      </w:r>
      <w:r>
        <w:rPr>
          <w:lang w:val="en"/>
        </w:rPr>
        <w:t>he EPH.</w:t>
      </w:r>
    </w:p>
    <w:p w14:paraId="7C8E2254" w14:textId="4DEDE16D" w:rsidR="007F3A25" w:rsidRPr="00DE1196" w:rsidRDefault="007F3A25" w:rsidP="00A54C8C">
      <w:pPr>
        <w:pBdr>
          <w:top w:val="nil"/>
          <w:left w:val="nil"/>
          <w:bottom w:val="nil"/>
          <w:right w:val="nil"/>
          <w:between w:val="nil"/>
        </w:pBdr>
        <w:spacing w:line="360" w:lineRule="auto"/>
        <w:rPr>
          <w:lang w:val="en-US"/>
        </w:rPr>
      </w:pPr>
      <w:r>
        <w:rPr>
          <w:lang w:val="en"/>
        </w:rPr>
        <w:t xml:space="preserve">A relevant factor in measuring the distances between occupations is to </w:t>
      </w:r>
      <w:proofErr w:type="gramStart"/>
      <w:r>
        <w:rPr>
          <w:lang w:val="en"/>
        </w:rPr>
        <w:t>take into account</w:t>
      </w:r>
      <w:proofErr w:type="gramEnd"/>
      <w:r>
        <w:rPr>
          <w:lang w:val="en"/>
        </w:rPr>
        <w:t xml:space="preserve"> the regional factor of labor markets. At least part of the flows is likely to be explained by the simple fact that some occupations are more in demand in some areas, and aggregated flows at the national level hide this effect. For this reason, this document works only with data from the City of Buenos Aires and Greater Buenos Aires, which for practical purposes can be considered as a consolidated labor market.</w:t>
      </w:r>
    </w:p>
    <w:p w14:paraId="73C7F2F7" w14:textId="5751A239" w:rsidR="007F3A25" w:rsidRPr="00DE1196" w:rsidRDefault="007F3A25" w:rsidP="00A54C8C">
      <w:pPr>
        <w:pBdr>
          <w:top w:val="nil"/>
          <w:left w:val="nil"/>
          <w:bottom w:val="nil"/>
          <w:right w:val="nil"/>
          <w:between w:val="nil"/>
        </w:pBdr>
        <w:spacing w:line="360" w:lineRule="auto"/>
        <w:rPr>
          <w:lang w:val="en-US"/>
        </w:rPr>
      </w:pPr>
      <w:r>
        <w:rPr>
          <w:lang w:val="en"/>
        </w:rPr>
        <w:t xml:space="preserve">This leaves us with </w:t>
      </w:r>
      <w:r w:rsidR="00992437">
        <w:rPr>
          <w:lang w:val="en"/>
        </w:rPr>
        <w:t>212</w:t>
      </w:r>
      <w:r>
        <w:rPr>
          <w:lang w:val="en"/>
        </w:rPr>
        <w:t>,</w:t>
      </w:r>
      <w:r w:rsidR="00992437">
        <w:rPr>
          <w:lang w:val="en"/>
        </w:rPr>
        <w:t xml:space="preserve">455 </w:t>
      </w:r>
      <w:r>
        <w:rPr>
          <w:lang w:val="en"/>
        </w:rPr>
        <w:t xml:space="preserve">observations from people who at least once reported working while they were in the survey. The next step is to determine when a person changed jobs. This is not just a challenge in this exercise, but other articles have also encountered difficulty at this point (see </w:t>
      </w:r>
      <w:proofErr w:type="spellStart"/>
      <w:r>
        <w:rPr>
          <w:lang w:val="en"/>
        </w:rPr>
        <w:t>Kambourov</w:t>
      </w:r>
      <w:proofErr w:type="spellEnd"/>
      <w:r>
        <w:rPr>
          <w:lang w:val="en"/>
        </w:rPr>
        <w:t xml:space="preserve"> and </w:t>
      </w:r>
      <w:proofErr w:type="spellStart"/>
      <w:r>
        <w:rPr>
          <w:color w:val="222222"/>
          <w:sz w:val="20"/>
          <w:szCs w:val="20"/>
          <w:highlight w:val="white"/>
          <w:lang w:val="en"/>
        </w:rPr>
        <w:t>Manovskii</w:t>
      </w:r>
      <w:proofErr w:type="spellEnd"/>
      <w:r>
        <w:rPr>
          <w:color w:val="222222"/>
          <w:sz w:val="20"/>
          <w:szCs w:val="20"/>
          <w:highlight w:val="white"/>
          <w:lang w:val="en"/>
        </w:rPr>
        <w:t>, 2009).</w:t>
      </w:r>
    </w:p>
    <w:p w14:paraId="58C0D0B6" w14:textId="013D11B3" w:rsidR="007F3A25" w:rsidRPr="00DE1196" w:rsidRDefault="007F3A25" w:rsidP="00A54C8C">
      <w:pPr>
        <w:pBdr>
          <w:top w:val="nil"/>
          <w:left w:val="nil"/>
          <w:bottom w:val="nil"/>
          <w:right w:val="nil"/>
          <w:between w:val="nil"/>
        </w:pBdr>
        <w:spacing w:line="360" w:lineRule="auto"/>
        <w:rPr>
          <w:lang w:val="en-US"/>
        </w:rPr>
      </w:pPr>
      <w:r>
        <w:rPr>
          <w:lang w:val="en"/>
        </w:rPr>
        <w:t xml:space="preserve">In the specific case of </w:t>
      </w:r>
      <w:r w:rsidR="007F26C5">
        <w:rPr>
          <w:lang w:val="en"/>
        </w:rPr>
        <w:t>t</w:t>
      </w:r>
      <w:r>
        <w:rPr>
          <w:lang w:val="en"/>
        </w:rPr>
        <w:t xml:space="preserve">he EPH, there is a question in which seniority in the occupation declared as principal is </w:t>
      </w:r>
      <w:r w:rsidR="007F26C5">
        <w:rPr>
          <w:lang w:val="en"/>
        </w:rPr>
        <w:t>revealed</w:t>
      </w:r>
      <w:r>
        <w:rPr>
          <w:lang w:val="en"/>
        </w:rPr>
        <w:t xml:space="preserve">. Using this question, this </w:t>
      </w:r>
      <w:r w:rsidR="00A9324A">
        <w:rPr>
          <w:lang w:val="en"/>
        </w:rPr>
        <w:t>work</w:t>
      </w:r>
      <w:r>
        <w:rPr>
          <w:lang w:val="en"/>
        </w:rPr>
        <w:t xml:space="preserve"> recognizes a change of employment, and therefore assesses whether there were any occupational changes, provided that the difference between the surveyed </w:t>
      </w:r>
      <w:r w:rsidR="00A9324A">
        <w:rPr>
          <w:lang w:val="en"/>
        </w:rPr>
        <w:t xml:space="preserve">quarters </w:t>
      </w:r>
      <w:r>
        <w:rPr>
          <w:lang w:val="en"/>
        </w:rPr>
        <w:t xml:space="preserve">is greater than the time of experience declared in the main occupation. In addition, </w:t>
      </w:r>
      <w:r w:rsidR="00A9324A">
        <w:rPr>
          <w:lang w:val="en"/>
        </w:rPr>
        <w:t xml:space="preserve">it will be considered </w:t>
      </w:r>
      <w:r>
        <w:rPr>
          <w:lang w:val="en"/>
        </w:rPr>
        <w:t>an employment transition if the person has reported being unemployed or inactive between two observations in which he was occupied, beyond seniority in employment. Given all these conditions, 9,</w:t>
      </w:r>
      <w:r w:rsidR="004D64AA">
        <w:rPr>
          <w:lang w:val="en"/>
        </w:rPr>
        <w:t xml:space="preserve">299 </w:t>
      </w:r>
      <w:r>
        <w:rPr>
          <w:lang w:val="en"/>
        </w:rPr>
        <w:t xml:space="preserve">job changes were identified between 2003 and 2019, </w:t>
      </w:r>
      <w:r w:rsidR="00A9324A">
        <w:rPr>
          <w:lang w:val="en"/>
        </w:rPr>
        <w:t>the</w:t>
      </w:r>
      <w:r>
        <w:rPr>
          <w:lang w:val="en"/>
        </w:rPr>
        <w:t xml:space="preserve"> sample </w:t>
      </w:r>
      <w:r w:rsidR="00A9324A">
        <w:rPr>
          <w:lang w:val="en"/>
        </w:rPr>
        <w:t>used is</w:t>
      </w:r>
      <w:r>
        <w:rPr>
          <w:lang w:val="en"/>
        </w:rPr>
        <w:t xml:space="preserve"> on the next pages.</w:t>
      </w:r>
    </w:p>
    <w:p w14:paraId="4B77DC2E" w14:textId="555F8FEB" w:rsidR="00A9324A" w:rsidRPr="00DE1196" w:rsidRDefault="00A9324A" w:rsidP="00A54C8C">
      <w:pPr>
        <w:pStyle w:val="Heading2"/>
        <w:rPr>
          <w:lang w:val="en-US"/>
        </w:rPr>
      </w:pPr>
      <w:r>
        <w:rPr>
          <w:lang w:val="en"/>
        </w:rPr>
        <w:t>Descriptive analysis of worker movements</w:t>
      </w:r>
    </w:p>
    <w:p w14:paraId="5046BA36" w14:textId="5C4E64A0" w:rsidR="00A9324A" w:rsidRPr="00DE1196" w:rsidRDefault="00A9324A" w:rsidP="00A54C8C">
      <w:pPr>
        <w:spacing w:line="360" w:lineRule="auto"/>
        <w:rPr>
          <w:lang w:val="en-US"/>
        </w:rPr>
      </w:pPr>
      <w:r>
        <w:rPr>
          <w:lang w:val="en"/>
        </w:rPr>
        <w:t>Before displaying the analysis of the resulting graph and estimating the regression and machine learning models, this section proposes a characterization of the detected transitions</w:t>
      </w:r>
      <w:r w:rsidR="00E202A2">
        <w:rPr>
          <w:lang w:val="en"/>
        </w:rPr>
        <w:t xml:space="preserve"> and an analysis of robustness of the switch detection</w:t>
      </w:r>
      <w:r>
        <w:rPr>
          <w:lang w:val="en"/>
        </w:rPr>
        <w:t xml:space="preserve">. Of the </w:t>
      </w:r>
      <w:r w:rsidR="00E202A2">
        <w:rPr>
          <w:lang w:val="en"/>
        </w:rPr>
        <w:t>9</w:t>
      </w:r>
      <w:r>
        <w:rPr>
          <w:lang w:val="en"/>
        </w:rPr>
        <w:t>,</w:t>
      </w:r>
      <w:r w:rsidR="00E202A2">
        <w:rPr>
          <w:lang w:val="en"/>
        </w:rPr>
        <w:t xml:space="preserve">299 </w:t>
      </w:r>
      <w:r>
        <w:rPr>
          <w:lang w:val="en"/>
        </w:rPr>
        <w:t>work transitions, 3,</w:t>
      </w:r>
      <w:r w:rsidR="00992437">
        <w:rPr>
          <w:lang w:val="en"/>
        </w:rPr>
        <w:t>717</w:t>
      </w:r>
      <w:r>
        <w:rPr>
          <w:lang w:val="en"/>
        </w:rPr>
        <w:t xml:space="preserve"> correspond to movements that included a period of unemployment or intermediate inactivity, while the remaining 5,</w:t>
      </w:r>
      <w:r w:rsidR="00992437">
        <w:rPr>
          <w:lang w:val="en"/>
        </w:rPr>
        <w:t>582</w:t>
      </w:r>
      <w:r>
        <w:rPr>
          <w:lang w:val="en"/>
        </w:rPr>
        <w:t xml:space="preserve"> were detected through the </w:t>
      </w:r>
      <w:r w:rsidR="000902D9">
        <w:rPr>
          <w:lang w:val="en"/>
        </w:rPr>
        <w:t>seniority</w:t>
      </w:r>
      <w:r>
        <w:rPr>
          <w:lang w:val="en"/>
        </w:rPr>
        <w:t xml:space="preserve"> declared with the employer.</w:t>
      </w:r>
    </w:p>
    <w:p w14:paraId="446279DE" w14:textId="1CD440E3" w:rsidR="00A9324A" w:rsidRPr="00DE1196" w:rsidRDefault="00A9324A" w:rsidP="00A54C8C">
      <w:pPr>
        <w:spacing w:line="360" w:lineRule="auto"/>
        <w:rPr>
          <w:lang w:val="en-US"/>
        </w:rPr>
      </w:pPr>
      <w:r>
        <w:rPr>
          <w:lang w:val="en"/>
        </w:rPr>
        <w:t xml:space="preserve">The importance of differentiating these labor movements is that a different cost is expected </w:t>
      </w:r>
      <w:r w:rsidR="004F69A5">
        <w:rPr>
          <w:lang w:val="en"/>
        </w:rPr>
        <w:t>of</w:t>
      </w:r>
      <w:r>
        <w:rPr>
          <w:lang w:val="en"/>
        </w:rPr>
        <w:t xml:space="preserve"> a job </w:t>
      </w:r>
      <w:r w:rsidR="001C4A6D">
        <w:rPr>
          <w:lang w:val="en"/>
        </w:rPr>
        <w:t>reinsertion</w:t>
      </w:r>
      <w:r>
        <w:rPr>
          <w:lang w:val="en"/>
        </w:rPr>
        <w:t xml:space="preserve"> of a person who sought a job, but did not find it for a while, than someone else who got a job quickly. On the one hand, people who are inactive/unoccupied during the transition may be more demanding, so when they get a job it will be of a better condition than those who achieved it without reporting this intermediate state. On the other hand, it is also likely that those who go through </w:t>
      </w:r>
      <w:r>
        <w:rPr>
          <w:lang w:val="en"/>
        </w:rPr>
        <w:lastRenderedPageBreak/>
        <w:t>unemployment or rigor inactivity will have greater problems getting jobs, and that the insertion they achieve is worse than they had in the first place.</w:t>
      </w:r>
    </w:p>
    <w:p w14:paraId="10EA01BC" w14:textId="13DC2899" w:rsidR="00A9324A" w:rsidRPr="00DE1196" w:rsidRDefault="00A9324A" w:rsidP="00A54C8C">
      <w:pPr>
        <w:spacing w:line="360" w:lineRule="auto"/>
        <w:rPr>
          <w:lang w:val="en-US"/>
        </w:rPr>
      </w:pPr>
      <w:r>
        <w:rPr>
          <w:lang w:val="en"/>
        </w:rPr>
        <w:t>Figure 1 shows us, in fact, that we are talking about different job insertions between</w:t>
      </w:r>
      <w:r w:rsidR="00145D93">
        <w:rPr>
          <w:lang w:val="en"/>
        </w:rPr>
        <w:t xml:space="preserve"> the</w:t>
      </w:r>
      <w:r>
        <w:rPr>
          <w:lang w:val="en"/>
        </w:rPr>
        <w:t xml:space="preserve"> groups under analysis. The biggest difference is between them who have gone through a period of unemployment or inactivity compared to the rest of the workers who did not: the average salary</w:t>
      </w:r>
      <w:r>
        <w:rPr>
          <w:vertAlign w:val="superscript"/>
          <w:lang w:val="en"/>
        </w:rPr>
        <w:footnoteReference w:id="2"/>
      </w:r>
      <w:r w:rsidR="00A37A23">
        <w:rPr>
          <w:lang w:val="en"/>
        </w:rPr>
        <w:t xml:space="preserve"> </w:t>
      </w:r>
      <w:r>
        <w:rPr>
          <w:lang w:val="en"/>
        </w:rPr>
        <w:t xml:space="preserve">of the first group is systematically lower than that of the other two, except for a short period between 2014 and 2015. However, this does not relate to </w:t>
      </w:r>
      <w:r>
        <w:rPr>
          <w:i/>
          <w:lang w:val="en"/>
        </w:rPr>
        <w:t>changes</w:t>
      </w:r>
      <w:r>
        <w:rPr>
          <w:lang w:val="en"/>
        </w:rPr>
        <w:t xml:space="preserve"> in wages, but to </w:t>
      </w:r>
      <w:r>
        <w:rPr>
          <w:i/>
          <w:lang w:val="en"/>
        </w:rPr>
        <w:t>levels.</w:t>
      </w:r>
      <w:r>
        <w:rPr>
          <w:lang w:val="en"/>
        </w:rPr>
        <w:t xml:space="preserve"> The relevance of the different transition types is evaluated on the following pages.</w:t>
      </w:r>
    </w:p>
    <w:p w14:paraId="3EB211A2" w14:textId="467733BA" w:rsidR="00AB4A98" w:rsidRDefault="00992437">
      <w:pPr>
        <w:spacing w:after="0"/>
        <w:jc w:val="center"/>
      </w:pPr>
      <w:bookmarkStart w:id="10" w:name="_31mgb25z1zyf" w:colFirst="0" w:colLast="0"/>
      <w:bookmarkStart w:id="11" w:name="_tq6cxzl4n6k1" w:colFirst="0" w:colLast="0"/>
      <w:bookmarkEnd w:id="10"/>
      <w:bookmarkEnd w:id="11"/>
      <w:r>
        <w:rPr>
          <w:noProof/>
        </w:rPr>
        <w:drawing>
          <wp:inline distT="0" distB="0" distL="0" distR="0" wp14:anchorId="6D06CCEC" wp14:editId="44A43BF2">
            <wp:extent cx="5730240" cy="356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566160"/>
                    </a:xfrm>
                    <a:prstGeom prst="rect">
                      <a:avLst/>
                    </a:prstGeom>
                    <a:noFill/>
                    <a:ln>
                      <a:noFill/>
                    </a:ln>
                  </pic:spPr>
                </pic:pic>
              </a:graphicData>
            </a:graphic>
          </wp:inline>
        </w:drawing>
      </w:r>
    </w:p>
    <w:p w14:paraId="60C0F9F6" w14:textId="54F234C4" w:rsidR="00ED4B09" w:rsidRPr="00DE1196" w:rsidRDefault="00ED4B09" w:rsidP="00A54C8C">
      <w:pPr>
        <w:rPr>
          <w:lang w:val="en-US"/>
        </w:rPr>
      </w:pPr>
      <w:r>
        <w:rPr>
          <w:b/>
          <w:lang w:val="en"/>
        </w:rPr>
        <w:t>Figure 1</w:t>
      </w:r>
      <w:r>
        <w:rPr>
          <w:lang w:val="en"/>
        </w:rPr>
        <w:t xml:space="preserve">. Evolution of the </w:t>
      </w:r>
      <w:r w:rsidR="008F0573">
        <w:rPr>
          <w:lang w:val="en"/>
        </w:rPr>
        <w:t>real</w:t>
      </w:r>
      <w:r>
        <w:rPr>
          <w:lang w:val="en"/>
        </w:rPr>
        <w:t xml:space="preserve"> </w:t>
      </w:r>
      <w:r w:rsidR="00775D48">
        <w:rPr>
          <w:lang w:val="en"/>
        </w:rPr>
        <w:t>wage</w:t>
      </w:r>
      <w:r>
        <w:rPr>
          <w:lang w:val="en"/>
        </w:rPr>
        <w:t xml:space="preserve"> of the main occupation according to the type of transition. Different occupation: they changed jobs from one occupation to a different occupation; same occupation: they shifted employment towards the same occupation; inactivity: they changed jobs and went through a period of unemployment or inactivity. Own elaboration based on the Permanent Household Survey (EPH) and Consumer Price Indexes (CPIs) of provincial statistics and census addresses and INDEC.</w:t>
      </w:r>
    </w:p>
    <w:p w14:paraId="4C351A07" w14:textId="14A36666" w:rsidR="002F6E7C" w:rsidRPr="00DE1196" w:rsidRDefault="002F6E7C" w:rsidP="00A54C8C">
      <w:pPr>
        <w:pBdr>
          <w:top w:val="nil"/>
          <w:left w:val="nil"/>
          <w:bottom w:val="nil"/>
          <w:right w:val="nil"/>
          <w:between w:val="nil"/>
        </w:pBdr>
        <w:spacing w:line="360" w:lineRule="auto"/>
        <w:rPr>
          <w:lang w:val="en-US"/>
        </w:rPr>
      </w:pPr>
      <w:r>
        <w:rPr>
          <w:lang w:val="en"/>
        </w:rPr>
        <w:t xml:space="preserve">The National Occupational Code (CNO) is one of the most important restrictions for the analysis of this work. The Annex describes the occupations we are working with and </w:t>
      </w:r>
      <w:r w:rsidR="00287F0B">
        <w:rPr>
          <w:lang w:val="en"/>
        </w:rPr>
        <w:t>one</w:t>
      </w:r>
      <w:r>
        <w:rPr>
          <w:lang w:val="en"/>
        </w:rPr>
        <w:t xml:space="preserve"> can easily find out that these are occupations with a high degree of aggregation. This causes</w:t>
      </w:r>
      <w:r w:rsidR="009E38E9">
        <w:rPr>
          <w:lang w:val="en"/>
        </w:rPr>
        <w:t xml:space="preserve"> that</w:t>
      </w:r>
      <w:r>
        <w:rPr>
          <w:lang w:val="en"/>
        </w:rPr>
        <w:t xml:space="preserve"> only a handful of occupations explain more than 50% of the transitions between occupancy sectors (Figure 2). In fact, only two occupations (Construction and Commerce) account for almost 33% of departure and arrival </w:t>
      </w:r>
      <w:r>
        <w:rPr>
          <w:lang w:val="en"/>
        </w:rPr>
        <w:lastRenderedPageBreak/>
        <w:t>occupations. This fact is resumed in the subsequent analysis, since the estimated distance measurement over sectors with so little count can introduce error to the analysis.</w:t>
      </w:r>
    </w:p>
    <w:p w14:paraId="751CA60C" w14:textId="77777777" w:rsidR="00AB4A98" w:rsidRPr="00DE1196" w:rsidRDefault="00AB4A98">
      <w:pPr>
        <w:spacing w:after="0" w:line="360" w:lineRule="auto"/>
        <w:rPr>
          <w:lang w:val="en-US"/>
        </w:rPr>
      </w:pPr>
    </w:p>
    <w:p w14:paraId="671AFFBC" w14:textId="0BBE8C49" w:rsidR="00AB4A98" w:rsidRPr="00546537" w:rsidRDefault="00AE618C" w:rsidP="00836669">
      <w:pPr>
        <w:spacing w:after="0" w:line="360" w:lineRule="auto"/>
        <w:jc w:val="center"/>
        <w:rPr>
          <w:lang w:val="en-US"/>
        </w:rPr>
      </w:pPr>
      <w:r>
        <w:rPr>
          <w:noProof/>
        </w:rPr>
        <w:drawing>
          <wp:inline distT="0" distB="0" distL="0" distR="0" wp14:anchorId="2312F09A" wp14:editId="37E1C156">
            <wp:extent cx="5425440" cy="33809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7695" cy="3382372"/>
                    </a:xfrm>
                    <a:prstGeom prst="rect">
                      <a:avLst/>
                    </a:prstGeom>
                    <a:noFill/>
                    <a:ln>
                      <a:noFill/>
                    </a:ln>
                  </pic:spPr>
                </pic:pic>
              </a:graphicData>
            </a:graphic>
          </wp:inline>
        </w:drawing>
      </w:r>
    </w:p>
    <w:p w14:paraId="689D5227" w14:textId="075F29E8" w:rsidR="00B62109" w:rsidRDefault="00B62109" w:rsidP="00A54C8C">
      <w:pPr>
        <w:rPr>
          <w:lang w:val="en"/>
        </w:rPr>
      </w:pPr>
      <w:r>
        <w:rPr>
          <w:b/>
          <w:lang w:val="en"/>
        </w:rPr>
        <w:t>Figure 2</w:t>
      </w:r>
      <w:r>
        <w:rPr>
          <w:lang w:val="en"/>
        </w:rPr>
        <w:t>. Distribution of occupations according to their participation in the total of transitions such as departure</w:t>
      </w:r>
      <w:r w:rsidR="00AE618C">
        <w:rPr>
          <w:lang w:val="en"/>
        </w:rPr>
        <w:t xml:space="preserve"> (old)</w:t>
      </w:r>
      <w:r>
        <w:rPr>
          <w:lang w:val="en"/>
        </w:rPr>
        <w:t xml:space="preserve"> and arrival</w:t>
      </w:r>
      <w:r w:rsidR="00AE618C">
        <w:rPr>
          <w:lang w:val="en"/>
        </w:rPr>
        <w:t xml:space="preserve"> (new)</w:t>
      </w:r>
      <w:r>
        <w:rPr>
          <w:lang w:val="en"/>
        </w:rPr>
        <w:t xml:space="preserve"> occupations. </w:t>
      </w:r>
      <w:r w:rsidR="00B651A6">
        <w:rPr>
          <w:lang w:val="en"/>
        </w:rPr>
        <w:t>Elaborat</w:t>
      </w:r>
      <w:r w:rsidR="00D83C69">
        <w:rPr>
          <w:lang w:val="en"/>
        </w:rPr>
        <w:t>ed by the authors</w:t>
      </w:r>
      <w:r>
        <w:rPr>
          <w:lang w:val="en"/>
        </w:rPr>
        <w:t xml:space="preserve"> based on the Permanent Household Survey (EPH).</w:t>
      </w:r>
    </w:p>
    <w:p w14:paraId="722187EC" w14:textId="77777777" w:rsidR="00836669" w:rsidRPr="00DE1196" w:rsidRDefault="00836669" w:rsidP="00836669">
      <w:pPr>
        <w:pBdr>
          <w:top w:val="nil"/>
          <w:left w:val="nil"/>
          <w:bottom w:val="nil"/>
          <w:right w:val="nil"/>
          <w:between w:val="nil"/>
        </w:pBdr>
        <w:spacing w:line="360" w:lineRule="auto"/>
        <w:rPr>
          <w:lang w:val="en-US"/>
        </w:rPr>
      </w:pPr>
      <w:r>
        <w:rPr>
          <w:lang w:val="en"/>
        </w:rPr>
        <w:t xml:space="preserve">Figure 3 shows the distribution of the distance measurement between each pair of occupations for the complete sample. In that plot we remove all pairs reporting a similarity index of -1, because a high number of pairs can be observed at the lowest part of the distribution, showing almost no connection between them. This may be </w:t>
      </w:r>
      <w:proofErr w:type="gramStart"/>
      <w:r>
        <w:rPr>
          <w:lang w:val="en"/>
        </w:rPr>
        <w:t>due to the fact that</w:t>
      </w:r>
      <w:proofErr w:type="gramEnd"/>
      <w:r>
        <w:rPr>
          <w:lang w:val="en"/>
        </w:rPr>
        <w:t>, as a sample, some minority sectors are not well captured by the EPH-based analysis.</w:t>
      </w:r>
    </w:p>
    <w:p w14:paraId="68D75590" w14:textId="27FA5C91" w:rsidR="00836669" w:rsidRPr="00836669" w:rsidRDefault="00836669" w:rsidP="00A54C8C">
      <w:pPr>
        <w:rPr>
          <w:lang w:val="en-US"/>
        </w:rPr>
      </w:pPr>
    </w:p>
    <w:p w14:paraId="4ABDE5B1" w14:textId="77777777" w:rsidR="00836669" w:rsidRPr="00DE1196" w:rsidRDefault="00836669" w:rsidP="00A54C8C">
      <w:pPr>
        <w:rPr>
          <w:lang w:val="en-US"/>
        </w:rPr>
      </w:pPr>
    </w:p>
    <w:p w14:paraId="37B382F3" w14:textId="7070ED77" w:rsidR="00AB4A98" w:rsidRDefault="00836669" w:rsidP="00546537">
      <w:pPr>
        <w:spacing w:after="0" w:line="360" w:lineRule="auto"/>
        <w:jc w:val="center"/>
      </w:pPr>
      <w:r>
        <w:rPr>
          <w:noProof/>
        </w:rPr>
        <w:lastRenderedPageBreak/>
        <w:drawing>
          <wp:inline distT="0" distB="0" distL="0" distR="0" wp14:anchorId="47AFFA31" wp14:editId="798B4F5F">
            <wp:extent cx="572262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550920"/>
                    </a:xfrm>
                    <a:prstGeom prst="rect">
                      <a:avLst/>
                    </a:prstGeom>
                    <a:noFill/>
                    <a:ln>
                      <a:noFill/>
                    </a:ln>
                  </pic:spPr>
                </pic:pic>
              </a:graphicData>
            </a:graphic>
          </wp:inline>
        </w:drawing>
      </w:r>
    </w:p>
    <w:p w14:paraId="3C05D8DA" w14:textId="7A7BFAED" w:rsidR="00D83C69" w:rsidRPr="00DE1196" w:rsidRDefault="00D83C69" w:rsidP="00A54C8C">
      <w:pPr>
        <w:jc w:val="center"/>
        <w:rPr>
          <w:lang w:val="en-US"/>
        </w:rPr>
      </w:pPr>
      <w:r>
        <w:rPr>
          <w:b/>
          <w:lang w:val="en"/>
        </w:rPr>
        <w:t>Figure 3</w:t>
      </w:r>
      <w:r>
        <w:rPr>
          <w:lang w:val="en"/>
        </w:rPr>
        <w:t xml:space="preserve">. Distance distribution between pairs of occupations. </w:t>
      </w:r>
      <w:r w:rsidR="000D6CC9">
        <w:rPr>
          <w:lang w:val="en"/>
        </w:rPr>
        <w:t>Elaboration by the authors</w:t>
      </w:r>
      <w:r>
        <w:rPr>
          <w:lang w:val="en"/>
        </w:rPr>
        <w:t xml:space="preserve"> </w:t>
      </w:r>
      <w:r w:rsidR="00E609D8">
        <w:rPr>
          <w:lang w:val="en"/>
        </w:rPr>
        <w:t xml:space="preserve">based on </w:t>
      </w:r>
      <w:r w:rsidR="00764A3F">
        <w:rPr>
          <w:lang w:val="en"/>
        </w:rPr>
        <w:t>data</w:t>
      </w:r>
      <w:r>
        <w:rPr>
          <w:lang w:val="en"/>
        </w:rPr>
        <w:t xml:space="preserve"> </w:t>
      </w:r>
      <w:r w:rsidR="000D6CC9">
        <w:rPr>
          <w:lang w:val="en"/>
        </w:rPr>
        <w:t>from</w:t>
      </w:r>
      <w:r>
        <w:rPr>
          <w:lang w:val="en"/>
        </w:rPr>
        <w:t xml:space="preserve"> the Permanent Household Survey</w:t>
      </w:r>
      <w:r w:rsidR="00AE618C">
        <w:rPr>
          <w:lang w:val="en"/>
        </w:rPr>
        <w:t xml:space="preserve"> (EPH). Values of </w:t>
      </w:r>
      <w:r w:rsidR="00AE618C">
        <w:rPr>
          <w:lang w:val="en-US"/>
        </w:rPr>
        <w:t>-1 are excluded from the plot.</w:t>
      </w:r>
    </w:p>
    <w:p w14:paraId="475CF82A" w14:textId="45C5B462" w:rsidR="00D83C69" w:rsidRPr="00DE1196" w:rsidRDefault="00D83C69" w:rsidP="00A54C8C">
      <w:pPr>
        <w:spacing w:line="360" w:lineRule="auto"/>
        <w:rPr>
          <w:lang w:val="en-US"/>
        </w:rPr>
      </w:pPr>
      <w:r>
        <w:rPr>
          <w:lang w:val="en"/>
        </w:rPr>
        <w:t xml:space="preserve">After this small digression, Figure 4 shows the density map </w:t>
      </w:r>
      <w:r w:rsidR="00874472">
        <w:rPr>
          <w:lang w:val="en"/>
        </w:rPr>
        <w:t xml:space="preserve">of similarity </w:t>
      </w:r>
      <w:r>
        <w:rPr>
          <w:lang w:val="en"/>
        </w:rPr>
        <w:t xml:space="preserve">between the occupations analyzed with the formula based on </w:t>
      </w:r>
      <w:proofErr w:type="spellStart"/>
      <w:r>
        <w:rPr>
          <w:lang w:val="en"/>
        </w:rPr>
        <w:t>Neffke</w:t>
      </w:r>
      <w:proofErr w:type="spellEnd"/>
      <w:r>
        <w:rPr>
          <w:lang w:val="en"/>
        </w:rPr>
        <w:t xml:space="preserve"> et al (2017), centered on 0 and with limits between -1 and 1. As</w:t>
      </w:r>
      <w:r w:rsidR="00247ED4">
        <w:rPr>
          <w:lang w:val="en"/>
        </w:rPr>
        <w:t xml:space="preserve"> </w:t>
      </w:r>
      <w:r>
        <w:rPr>
          <w:lang w:val="en"/>
        </w:rPr>
        <w:t>can be seen, the main diagonal shows the highest values in the measure of similarity derived simply from observing the flows between occupations and comparing them against a theoretical expected flow.</w:t>
      </w:r>
    </w:p>
    <w:p w14:paraId="54A93C59" w14:textId="7E91FF69" w:rsidR="00D83C69" w:rsidRPr="00DE1196" w:rsidRDefault="00D83C69" w:rsidP="00A54C8C">
      <w:pPr>
        <w:pBdr>
          <w:top w:val="nil"/>
          <w:left w:val="nil"/>
          <w:bottom w:val="nil"/>
          <w:right w:val="nil"/>
          <w:between w:val="nil"/>
        </w:pBdr>
        <w:spacing w:line="360" w:lineRule="auto"/>
        <w:rPr>
          <w:lang w:val="en-US"/>
        </w:rPr>
      </w:pPr>
      <w:r>
        <w:rPr>
          <w:lang w:val="en"/>
        </w:rPr>
        <w:t xml:space="preserve">Even more interesting is the fact that the </w:t>
      </w:r>
      <w:r w:rsidR="00836669">
        <w:rPr>
          <w:lang w:val="en"/>
        </w:rPr>
        <w:t>similarity measure</w:t>
      </w:r>
      <w:r>
        <w:rPr>
          <w:lang w:val="en"/>
        </w:rPr>
        <w:t xml:space="preserve"> appears to have high values in areas close to the main diagonal, while values represented by </w:t>
      </w:r>
      <w:r w:rsidR="00836669">
        <w:rPr>
          <w:lang w:val="en"/>
        </w:rPr>
        <w:t>dark colors (low)</w:t>
      </w:r>
      <w:r>
        <w:rPr>
          <w:lang w:val="en"/>
        </w:rPr>
        <w:t xml:space="preserve"> are in the regions farther away from this diagonal, </w:t>
      </w:r>
      <w:r w:rsidR="00836669">
        <w:rPr>
          <w:lang w:val="en"/>
        </w:rPr>
        <w:t>o</w:t>
      </w:r>
      <w:r>
        <w:rPr>
          <w:lang w:val="en"/>
        </w:rPr>
        <w:t xml:space="preserve">n </w:t>
      </w:r>
      <w:r w:rsidR="00FE5A62">
        <w:rPr>
          <w:lang w:val="en"/>
        </w:rPr>
        <w:t>a</w:t>
      </w:r>
      <w:r>
        <w:rPr>
          <w:lang w:val="en"/>
        </w:rPr>
        <w:t>verage.</w:t>
      </w:r>
    </w:p>
    <w:p w14:paraId="3E914F33" w14:textId="01564E5D" w:rsidR="00AB4A98" w:rsidRDefault="00AE618C">
      <w:pPr>
        <w:pBdr>
          <w:top w:val="nil"/>
          <w:left w:val="nil"/>
          <w:bottom w:val="nil"/>
          <w:right w:val="nil"/>
          <w:between w:val="nil"/>
        </w:pBdr>
        <w:spacing w:after="0"/>
        <w:jc w:val="center"/>
      </w:pPr>
      <w:r>
        <w:rPr>
          <w:noProof/>
        </w:rPr>
        <w:lastRenderedPageBreak/>
        <w:drawing>
          <wp:inline distT="0" distB="0" distL="0" distR="0" wp14:anchorId="10F8EEEF" wp14:editId="1B87A364">
            <wp:extent cx="572262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566160"/>
                    </a:xfrm>
                    <a:prstGeom prst="rect">
                      <a:avLst/>
                    </a:prstGeom>
                    <a:noFill/>
                    <a:ln>
                      <a:noFill/>
                    </a:ln>
                  </pic:spPr>
                </pic:pic>
              </a:graphicData>
            </a:graphic>
          </wp:inline>
        </w:drawing>
      </w:r>
    </w:p>
    <w:p w14:paraId="13577469" w14:textId="1C8AA921" w:rsidR="00241AFA" w:rsidRPr="00DE1196" w:rsidRDefault="00241AFA" w:rsidP="00A54C8C">
      <w:pPr>
        <w:pBdr>
          <w:top w:val="nil"/>
          <w:left w:val="nil"/>
          <w:bottom w:val="nil"/>
          <w:right w:val="nil"/>
          <w:between w:val="nil"/>
        </w:pBdr>
        <w:jc w:val="center"/>
        <w:rPr>
          <w:lang w:val="en-US"/>
        </w:rPr>
      </w:pPr>
      <w:r>
        <w:rPr>
          <w:b/>
          <w:lang w:val="en"/>
        </w:rPr>
        <w:t>Figure</w:t>
      </w:r>
      <w:r w:rsidR="00934233">
        <w:rPr>
          <w:b/>
          <w:lang w:val="en"/>
        </w:rPr>
        <w:t xml:space="preserve"> </w:t>
      </w:r>
      <w:r>
        <w:rPr>
          <w:lang w:val="en"/>
        </w:rPr>
        <w:t>4. Density map among occupations of the National Occupation Code (CNO) based on data from the Permanent Household Survey (EPH)</w:t>
      </w:r>
    </w:p>
    <w:p w14:paraId="24F7D0D9" w14:textId="6536C4C6" w:rsidR="00137D22" w:rsidRDefault="00241AFA" w:rsidP="00A54C8C">
      <w:pPr>
        <w:pBdr>
          <w:top w:val="nil"/>
          <w:left w:val="nil"/>
          <w:bottom w:val="nil"/>
          <w:right w:val="nil"/>
          <w:between w:val="nil"/>
        </w:pBdr>
        <w:spacing w:line="360" w:lineRule="auto"/>
        <w:rPr>
          <w:lang w:val="en"/>
        </w:rPr>
      </w:pPr>
      <w:r>
        <w:rPr>
          <w:lang w:val="en"/>
        </w:rPr>
        <w:t>This pattern gives us some clue that the most common occupational movements occur between occupational groups that generally have some similarity according to the CNO.</w:t>
      </w:r>
      <w:r w:rsidR="00137D22">
        <w:rPr>
          <w:lang w:val="en"/>
        </w:rPr>
        <w:t xml:space="preserve"> This can be inferred by the high values shown along the main diagonal, which shows the similarity between the same CNO code and neighboring codes. This heatmap also shows</w:t>
      </w:r>
      <w:r>
        <w:rPr>
          <w:lang w:val="en"/>
        </w:rPr>
        <w:t xml:space="preserve"> how </w:t>
      </w:r>
      <w:r w:rsidR="00137D22">
        <w:rPr>
          <w:lang w:val="en"/>
        </w:rPr>
        <w:t>there are many occupations that are disconnected based on job-to-job transitions (similarity value of -1), but a few heavily connected occupational codes</w:t>
      </w:r>
    </w:p>
    <w:p w14:paraId="3D1DE0AD" w14:textId="6B44620F" w:rsidR="007901BC" w:rsidRPr="00E6412A" w:rsidRDefault="007901BC" w:rsidP="00A54C8C">
      <w:pPr>
        <w:pBdr>
          <w:top w:val="nil"/>
          <w:left w:val="nil"/>
          <w:bottom w:val="nil"/>
          <w:right w:val="nil"/>
          <w:between w:val="nil"/>
        </w:pBdr>
        <w:spacing w:line="360" w:lineRule="auto"/>
        <w:rPr>
          <w:lang w:val="en-US"/>
        </w:rPr>
      </w:pPr>
      <w:r>
        <w:rPr>
          <w:lang w:val="en"/>
        </w:rPr>
        <w:t xml:space="preserve">This pattern is similar to that observed by </w:t>
      </w:r>
      <w:proofErr w:type="spellStart"/>
      <w:r>
        <w:rPr>
          <w:lang w:val="en"/>
        </w:rPr>
        <w:t>Montané</w:t>
      </w:r>
      <w:proofErr w:type="spellEnd"/>
      <w:r>
        <w:rPr>
          <w:lang w:val="en"/>
        </w:rPr>
        <w:t xml:space="preserve"> and Sartorio (2019) and De </w:t>
      </w:r>
      <w:proofErr w:type="spellStart"/>
      <w:r>
        <w:rPr>
          <w:lang w:val="en"/>
        </w:rPr>
        <w:t>Raco</w:t>
      </w:r>
      <w:proofErr w:type="spellEnd"/>
      <w:r>
        <w:rPr>
          <w:lang w:val="en"/>
        </w:rPr>
        <w:t xml:space="preserve"> and </w:t>
      </w:r>
      <w:proofErr w:type="spellStart"/>
      <w:r>
        <w:rPr>
          <w:lang w:val="en"/>
        </w:rPr>
        <w:t>Semeshenko</w:t>
      </w:r>
      <w:proofErr w:type="spellEnd"/>
      <w:r>
        <w:rPr>
          <w:lang w:val="en"/>
        </w:rPr>
        <w:t xml:space="preserve"> (2019) for movements between sectors of activity, for the Permanent Household Survey (EPH) in the first case, </w:t>
      </w:r>
      <w:r w:rsidR="006F20C7">
        <w:rPr>
          <w:lang w:val="en"/>
        </w:rPr>
        <w:t>as</w:t>
      </w:r>
      <w:r>
        <w:rPr>
          <w:lang w:val="en"/>
        </w:rPr>
        <w:t xml:space="preserve"> for </w:t>
      </w:r>
      <w:r w:rsidR="006F20C7">
        <w:rPr>
          <w:lang w:val="en"/>
        </w:rPr>
        <w:t xml:space="preserve">the </w:t>
      </w:r>
      <w:r>
        <w:rPr>
          <w:lang w:val="en"/>
        </w:rPr>
        <w:t xml:space="preserve">administrative data derived from the </w:t>
      </w:r>
      <w:r w:rsidR="00836669">
        <w:rPr>
          <w:lang w:val="en"/>
        </w:rPr>
        <w:t>Argentine Integrated System of Pensions</w:t>
      </w:r>
      <w:r>
        <w:rPr>
          <w:lang w:val="en"/>
        </w:rPr>
        <w:t xml:space="preserve"> (SIPA) in the case of the second job. It is also a pattern </w:t>
      </w:r>
      <w:proofErr w:type="gramStart"/>
      <w:r>
        <w:rPr>
          <w:lang w:val="en"/>
        </w:rPr>
        <w:t>similar to</w:t>
      </w:r>
      <w:proofErr w:type="gramEnd"/>
      <w:r>
        <w:rPr>
          <w:lang w:val="en"/>
        </w:rPr>
        <w:t xml:space="preserve"> that found, in country exports, by Hidalgo et al (2007).</w:t>
      </w:r>
    </w:p>
    <w:p w14:paraId="3E4114B4" w14:textId="0127BBDF" w:rsidR="007901BC" w:rsidRPr="00DE1196" w:rsidRDefault="007901BC" w:rsidP="00A54C8C">
      <w:pPr>
        <w:pStyle w:val="Heading2"/>
        <w:rPr>
          <w:lang w:val="en-US"/>
        </w:rPr>
      </w:pPr>
      <w:r>
        <w:rPr>
          <w:lang w:val="en"/>
        </w:rPr>
        <w:t xml:space="preserve">The </w:t>
      </w:r>
      <w:r w:rsidR="00AE618C">
        <w:rPr>
          <w:lang w:val="en"/>
        </w:rPr>
        <w:t xml:space="preserve">occupational </w:t>
      </w:r>
      <w:r>
        <w:rPr>
          <w:lang w:val="en"/>
        </w:rPr>
        <w:t>space</w:t>
      </w:r>
    </w:p>
    <w:p w14:paraId="073B5445" w14:textId="5BF655D1" w:rsidR="0031717B" w:rsidRDefault="00AE618C" w:rsidP="0031717B">
      <w:pPr>
        <w:pBdr>
          <w:top w:val="nil"/>
          <w:left w:val="nil"/>
          <w:bottom w:val="nil"/>
          <w:right w:val="nil"/>
          <w:between w:val="nil"/>
        </w:pBdr>
        <w:spacing w:line="360" w:lineRule="auto"/>
        <w:jc w:val="left"/>
        <w:rPr>
          <w:lang w:val="en"/>
        </w:rPr>
      </w:pPr>
      <w:r>
        <w:rPr>
          <w:lang w:val="en"/>
        </w:rPr>
        <w:t xml:space="preserve">We </w:t>
      </w:r>
      <w:r w:rsidR="007901BC">
        <w:rPr>
          <w:lang w:val="en"/>
        </w:rPr>
        <w:t xml:space="preserve">can express this measure of distance between occupations through a weighted graph, as shown in Figure </w:t>
      </w:r>
      <w:r w:rsidR="007E0957">
        <w:rPr>
          <w:lang w:val="en"/>
        </w:rPr>
        <w:t>5</w:t>
      </w:r>
      <w:r w:rsidR="007901BC">
        <w:rPr>
          <w:lang w:val="en"/>
        </w:rPr>
        <w:t>.</w:t>
      </w:r>
      <w:r w:rsidR="0031717B">
        <w:rPr>
          <w:lang w:val="en"/>
        </w:rPr>
        <w:t xml:space="preserve"> In that figure we show all occupational codes, </w:t>
      </w:r>
      <w:proofErr w:type="gramStart"/>
      <w:r w:rsidR="0031717B">
        <w:rPr>
          <w:lang w:val="en"/>
        </w:rPr>
        <w:t>with the exception of</w:t>
      </w:r>
      <w:proofErr w:type="gramEnd"/>
      <w:r w:rsidR="0031717B">
        <w:rPr>
          <w:lang w:val="en"/>
        </w:rPr>
        <w:t xml:space="preserve"> managers and high-ranking officials in the government, and their ties with the rest of the occupational codes. The links width depicts how high is the relationship between two nodes, while the node size represents a </w:t>
      </w:r>
      <w:r w:rsidR="0031717B">
        <w:rPr>
          <w:lang w:val="en"/>
        </w:rPr>
        <w:lastRenderedPageBreak/>
        <w:t xml:space="preserve">strength each node has. The strength is the weighted graph’s adaptation of node degree. It shows the sum of all the links to other occupations, </w:t>
      </w:r>
      <w:proofErr w:type="gramStart"/>
      <w:r w:rsidR="0031717B">
        <w:rPr>
          <w:lang w:val="en"/>
        </w:rPr>
        <w:t>taking into account</w:t>
      </w:r>
      <w:proofErr w:type="gramEnd"/>
      <w:r w:rsidR="0031717B">
        <w:rPr>
          <w:lang w:val="en"/>
        </w:rPr>
        <w:t xml:space="preserve"> the intensity of the attraction.</w:t>
      </w:r>
    </w:p>
    <w:p w14:paraId="275AA6C8" w14:textId="6015B271" w:rsidR="0031717B" w:rsidRPr="00546537" w:rsidRDefault="0031717B" w:rsidP="00546537">
      <w:pPr>
        <w:pBdr>
          <w:top w:val="nil"/>
          <w:left w:val="nil"/>
          <w:bottom w:val="nil"/>
          <w:right w:val="nil"/>
          <w:between w:val="nil"/>
        </w:pBdr>
        <w:spacing w:line="360" w:lineRule="auto"/>
        <w:jc w:val="left"/>
        <w:rPr>
          <w:lang w:val="en-US"/>
        </w:rPr>
      </w:pPr>
      <w:r>
        <w:rPr>
          <w:lang w:val="en"/>
        </w:rPr>
        <w:t xml:space="preserve">We can see that that </w:t>
      </w:r>
      <w:r w:rsidR="00E50AF2">
        <w:rPr>
          <w:lang w:val="en"/>
        </w:rPr>
        <w:t>some occupations are closely linked to many occupations. This is the case of Consulting, Recreat</w:t>
      </w:r>
      <w:r w:rsidR="00D767D0">
        <w:rPr>
          <w:lang w:val="en"/>
        </w:rPr>
        <w:t>ive</w:t>
      </w:r>
      <w:r w:rsidR="00E50AF2">
        <w:rPr>
          <w:lang w:val="en"/>
        </w:rPr>
        <w:t xml:space="preserve"> services, administrative management, planification and management control and education, among others. Two occupations that </w:t>
      </w:r>
      <w:r w:rsidR="009F12A2">
        <w:rPr>
          <w:lang w:val="en-US"/>
        </w:rPr>
        <w:t>explain 14% of the total employment in 2019 (Construction and domestic services) show low connectivity to other nodes.</w:t>
      </w:r>
    </w:p>
    <w:p w14:paraId="66EF04DE" w14:textId="440C4F60" w:rsidR="0031717B" w:rsidRDefault="007E0957" w:rsidP="0031717B">
      <w:pPr>
        <w:pBdr>
          <w:top w:val="nil"/>
          <w:left w:val="nil"/>
          <w:bottom w:val="nil"/>
          <w:right w:val="nil"/>
          <w:between w:val="nil"/>
        </w:pBdr>
        <w:spacing w:line="360" w:lineRule="auto"/>
        <w:jc w:val="center"/>
        <w:rPr>
          <w:lang w:val="en"/>
        </w:rPr>
      </w:pPr>
      <w:r>
        <w:rPr>
          <w:noProof/>
          <w:lang w:val="en"/>
        </w:rPr>
        <w:drawing>
          <wp:inline distT="0" distB="0" distL="0" distR="0" wp14:anchorId="465F086B" wp14:editId="14A8F5C9">
            <wp:extent cx="5730240" cy="5730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5605E10D" w14:textId="64A49D71" w:rsidR="005375B1" w:rsidRPr="00DE1196" w:rsidRDefault="005375B1" w:rsidP="005375B1">
      <w:pPr>
        <w:jc w:val="center"/>
        <w:rPr>
          <w:lang w:val="en-US"/>
        </w:rPr>
      </w:pPr>
      <w:r>
        <w:rPr>
          <w:b/>
          <w:lang w:val="en"/>
        </w:rPr>
        <w:t>Figure 5</w:t>
      </w:r>
      <w:r>
        <w:rPr>
          <w:lang w:val="en"/>
        </w:rPr>
        <w:t>. Weighted graph of occupation codes the transitions of the Permanent Household Survey (EPH). Negative values of similarity are excluded.</w:t>
      </w:r>
    </w:p>
    <w:p w14:paraId="68C78E08" w14:textId="3B07D8B1" w:rsidR="00EF0B0D" w:rsidRPr="00DE1196" w:rsidRDefault="00D767D0" w:rsidP="00546537">
      <w:pPr>
        <w:pBdr>
          <w:top w:val="nil"/>
          <w:left w:val="nil"/>
          <w:bottom w:val="nil"/>
          <w:right w:val="nil"/>
          <w:between w:val="nil"/>
        </w:pBdr>
        <w:spacing w:line="360" w:lineRule="auto"/>
        <w:rPr>
          <w:lang w:val="en-US"/>
        </w:rPr>
      </w:pPr>
      <w:r>
        <w:rPr>
          <w:lang w:val="en-US"/>
        </w:rPr>
        <w:t>Although self-loops are excluded from the graph, s</w:t>
      </w:r>
      <w:r w:rsidR="005375B1">
        <w:rPr>
          <w:lang w:val="en-US"/>
        </w:rPr>
        <w:t xml:space="preserve">omething </w:t>
      </w:r>
      <w:bookmarkStart w:id="12" w:name="_cru5z52gw6n6" w:colFirst="0" w:colLast="0"/>
      <w:bookmarkStart w:id="13" w:name="_ln0a8hegopam" w:colFirst="0" w:colLast="0"/>
      <w:bookmarkEnd w:id="12"/>
      <w:bookmarkEnd w:id="13"/>
      <w:r w:rsidR="00EF0B0D">
        <w:rPr>
          <w:lang w:val="en"/>
        </w:rPr>
        <w:t xml:space="preserve">interesting about the movement of workers is the fact that transitions between same occupations are the rule </w:t>
      </w:r>
      <w:r w:rsidR="005375B1">
        <w:rPr>
          <w:lang w:val="en"/>
        </w:rPr>
        <w:t xml:space="preserve">rather than </w:t>
      </w:r>
      <w:r w:rsidR="00EF0B0D">
        <w:rPr>
          <w:lang w:val="en"/>
        </w:rPr>
        <w:t xml:space="preserve">the exception. </w:t>
      </w:r>
      <w:r w:rsidR="00B537C9">
        <w:rPr>
          <w:lang w:val="en"/>
        </w:rPr>
        <w:lastRenderedPageBreak/>
        <w:t>As an example</w:t>
      </w:r>
      <w:r w:rsidR="00EF0B0D">
        <w:rPr>
          <w:lang w:val="en"/>
        </w:rPr>
        <w:t xml:space="preserve">, 7 of the 10 edges with the highest similarity value are jumps between the same occupation, </w:t>
      </w:r>
      <w:r w:rsidR="005375B1">
        <w:rPr>
          <w:lang w:val="en"/>
        </w:rPr>
        <w:t xml:space="preserve">and </w:t>
      </w:r>
      <w:r w:rsidR="00EF0B0D" w:rsidRPr="00853BB7">
        <w:rPr>
          <w:lang w:val="en"/>
        </w:rPr>
        <w:t>more</w:t>
      </w:r>
      <w:r w:rsidR="00B537C9">
        <w:rPr>
          <w:lang w:val="en"/>
        </w:rPr>
        <w:t xml:space="preserve"> </w:t>
      </w:r>
      <w:r w:rsidR="00EF0B0D">
        <w:rPr>
          <w:lang w:val="en"/>
        </w:rPr>
        <w:t>than 43.5% of all job changes occur between the same occupations.</w:t>
      </w:r>
    </w:p>
    <w:p w14:paraId="4AA0B481" w14:textId="1A6F03B4" w:rsidR="00EF0B0D" w:rsidRPr="00DE1196" w:rsidRDefault="00EF0B0D" w:rsidP="00A54C8C">
      <w:pPr>
        <w:pBdr>
          <w:top w:val="nil"/>
          <w:left w:val="nil"/>
          <w:bottom w:val="nil"/>
          <w:right w:val="nil"/>
          <w:between w:val="nil"/>
        </w:pBdr>
        <w:spacing w:line="360" w:lineRule="auto"/>
        <w:rPr>
          <w:lang w:val="en-US"/>
        </w:rPr>
      </w:pPr>
      <w:r>
        <w:rPr>
          <w:lang w:val="en"/>
        </w:rPr>
        <w:t xml:space="preserve">This pattern is not strange. The economic literature has </w:t>
      </w:r>
      <w:r w:rsidR="00D767D0">
        <w:rPr>
          <w:lang w:val="en"/>
        </w:rPr>
        <w:t>studied</w:t>
      </w:r>
      <w:r>
        <w:rPr>
          <w:lang w:val="en"/>
        </w:rPr>
        <w:t xml:space="preserve"> the specificity of human capital at the level of occupations and tasks, finding important economic returns associated with practicing the same occupations or tasks for years. Even </w:t>
      </w:r>
      <w:proofErr w:type="spellStart"/>
      <w:r>
        <w:rPr>
          <w:lang w:val="en"/>
        </w:rPr>
        <w:t>Nedelkoska</w:t>
      </w:r>
      <w:proofErr w:type="spellEnd"/>
      <w:r>
        <w:rPr>
          <w:lang w:val="en"/>
        </w:rPr>
        <w:t xml:space="preserve"> et al (2018) has found that the variable in similarity between tasks, </w:t>
      </w:r>
      <w:proofErr w:type="gramStart"/>
      <w:r>
        <w:rPr>
          <w:lang w:val="en"/>
        </w:rPr>
        <w:t>similar to</w:t>
      </w:r>
      <w:proofErr w:type="gramEnd"/>
      <w:r>
        <w:rPr>
          <w:lang w:val="en"/>
        </w:rPr>
        <w:t xml:space="preserve"> the one we buil</w:t>
      </w:r>
      <w:r w:rsidR="00425639">
        <w:rPr>
          <w:lang w:val="en"/>
        </w:rPr>
        <w:t>t</w:t>
      </w:r>
      <w:r>
        <w:rPr>
          <w:lang w:val="en"/>
        </w:rPr>
        <w:t xml:space="preserve"> for occupations, can help predict wage change.</w:t>
      </w:r>
    </w:p>
    <w:p w14:paraId="12398C69" w14:textId="46CFFBF9" w:rsidR="00EF0B0D" w:rsidRPr="00DE1196" w:rsidRDefault="00EF0B0D" w:rsidP="00A54C8C">
      <w:pPr>
        <w:pBdr>
          <w:top w:val="nil"/>
          <w:left w:val="nil"/>
          <w:bottom w:val="nil"/>
          <w:right w:val="nil"/>
          <w:between w:val="nil"/>
        </w:pBdr>
        <w:spacing w:line="360" w:lineRule="auto"/>
        <w:rPr>
          <w:lang w:val="en-US"/>
        </w:rPr>
      </w:pPr>
      <w:r>
        <w:rPr>
          <w:lang w:val="en"/>
        </w:rPr>
        <w:t xml:space="preserve">What can we say about central occupations in the </w:t>
      </w:r>
      <w:r w:rsidR="002418AC">
        <w:rPr>
          <w:lang w:val="en"/>
        </w:rPr>
        <w:t>constructed</w:t>
      </w:r>
      <w:r>
        <w:rPr>
          <w:lang w:val="en"/>
        </w:rPr>
        <w:t xml:space="preserve"> graph? The distribution of </w:t>
      </w:r>
      <w:r w:rsidR="00C617DB">
        <w:rPr>
          <w:lang w:val="en"/>
        </w:rPr>
        <w:t xml:space="preserve">strength </w:t>
      </w:r>
      <w:r>
        <w:rPr>
          <w:lang w:val="en"/>
        </w:rPr>
        <w:t xml:space="preserve">can give us information about which occupations are </w:t>
      </w:r>
      <w:r w:rsidR="00FF26F5">
        <w:rPr>
          <w:lang w:val="en"/>
        </w:rPr>
        <w:t>more</w:t>
      </w:r>
      <w:r>
        <w:rPr>
          <w:lang w:val="en"/>
        </w:rPr>
        <w:t xml:space="preserve"> directly related to other occupations (Figure </w:t>
      </w:r>
      <w:r w:rsidR="00C617DB">
        <w:rPr>
          <w:lang w:val="en"/>
        </w:rPr>
        <w:t>6</w:t>
      </w:r>
      <w:r>
        <w:rPr>
          <w:lang w:val="en"/>
        </w:rPr>
        <w:t xml:space="preserve">). </w:t>
      </w:r>
      <w:r w:rsidR="00C617DB">
        <w:rPr>
          <w:lang w:val="en"/>
        </w:rPr>
        <w:t xml:space="preserve">We </w:t>
      </w:r>
      <w:r>
        <w:rPr>
          <w:lang w:val="en"/>
        </w:rPr>
        <w:t>can see that the first 5 occupations with greater</w:t>
      </w:r>
      <w:r w:rsidR="008967EE">
        <w:rPr>
          <w:lang w:val="en"/>
        </w:rPr>
        <w:t xml:space="preserve"> </w:t>
      </w:r>
      <w:r w:rsidR="008967EE">
        <w:rPr>
          <w:i/>
          <w:iCs/>
          <w:lang w:val="en"/>
        </w:rPr>
        <w:t xml:space="preserve">strength </w:t>
      </w:r>
      <w:r>
        <w:rPr>
          <w:lang w:val="en"/>
        </w:rPr>
        <w:t xml:space="preserve">are those linked to </w:t>
      </w:r>
      <w:r w:rsidR="00C617DB">
        <w:rPr>
          <w:lang w:val="en"/>
        </w:rPr>
        <w:t>Consulting, administrative management, planification and management control</w:t>
      </w:r>
      <w:r>
        <w:rPr>
          <w:lang w:val="en"/>
        </w:rPr>
        <w:t xml:space="preserve">. </w:t>
      </w:r>
      <w:r w:rsidR="00C617DB">
        <w:rPr>
          <w:lang w:val="en"/>
        </w:rPr>
        <w:t>Interestingly, domestic services, construction, transport and industrial and craft productions have low “attraction” to other occupational codes.</w:t>
      </w:r>
    </w:p>
    <w:p w14:paraId="1CF45A34" w14:textId="61799230" w:rsidR="00F23F7C" w:rsidRPr="00DE1196" w:rsidRDefault="008967EE" w:rsidP="00A54C8C">
      <w:pPr>
        <w:jc w:val="center"/>
        <w:rPr>
          <w:lang w:val="en-US"/>
        </w:rPr>
      </w:pPr>
      <w:r>
        <w:rPr>
          <w:b/>
          <w:noProof/>
          <w:lang w:val="en"/>
        </w:rPr>
        <w:drawing>
          <wp:inline distT="0" distB="0" distL="0" distR="0" wp14:anchorId="302D3CEF" wp14:editId="2FF2CBCF">
            <wp:extent cx="5730240" cy="4015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4015740"/>
                    </a:xfrm>
                    <a:prstGeom prst="rect">
                      <a:avLst/>
                    </a:prstGeom>
                    <a:noFill/>
                    <a:ln>
                      <a:noFill/>
                    </a:ln>
                  </pic:spPr>
                </pic:pic>
              </a:graphicData>
            </a:graphic>
          </wp:inline>
        </w:drawing>
      </w:r>
      <w:r w:rsidR="00F23F7C">
        <w:rPr>
          <w:b/>
          <w:lang w:val="en"/>
        </w:rPr>
        <w:t xml:space="preserve">Figure </w:t>
      </w:r>
      <w:r w:rsidR="005375B1">
        <w:rPr>
          <w:b/>
          <w:lang w:val="en"/>
        </w:rPr>
        <w:t>6</w:t>
      </w:r>
      <w:r w:rsidR="00F23F7C">
        <w:rPr>
          <w:b/>
          <w:lang w:val="en"/>
        </w:rPr>
        <w:t xml:space="preserve">. </w:t>
      </w:r>
      <w:r w:rsidR="00F23F7C">
        <w:rPr>
          <w:lang w:val="en"/>
        </w:rPr>
        <w:t>Stre</w:t>
      </w:r>
      <w:r w:rsidR="00BB3E06">
        <w:rPr>
          <w:lang w:val="en"/>
        </w:rPr>
        <w:t>ngth</w:t>
      </w:r>
      <w:r w:rsidR="00F23F7C">
        <w:rPr>
          <w:i/>
          <w:iCs/>
          <w:lang w:val="en"/>
        </w:rPr>
        <w:t xml:space="preserve"> </w:t>
      </w:r>
      <w:r w:rsidR="00F23F7C">
        <w:rPr>
          <w:lang w:val="en"/>
        </w:rPr>
        <w:t xml:space="preserve">of each of the vertices (occupations) of the weighted and addressed </w:t>
      </w:r>
      <w:r w:rsidR="003F2B4A">
        <w:rPr>
          <w:lang w:val="en"/>
        </w:rPr>
        <w:t>graph</w:t>
      </w:r>
      <w:r w:rsidR="00F23F7C">
        <w:rPr>
          <w:lang w:val="en"/>
        </w:rPr>
        <w:t xml:space="preserve"> of occupations based on the transitions detected in the Permanent Household Survey (EPH)</w:t>
      </w:r>
    </w:p>
    <w:p w14:paraId="65354E56" w14:textId="77777777" w:rsidR="00F23F7C" w:rsidRPr="00DE1196" w:rsidRDefault="00F23F7C" w:rsidP="00A54C8C">
      <w:pPr>
        <w:pStyle w:val="Heading2"/>
        <w:rPr>
          <w:lang w:val="en-US"/>
        </w:rPr>
      </w:pPr>
      <w:r>
        <w:rPr>
          <w:lang w:val="en"/>
        </w:rPr>
        <w:t>The specificity of human capital</w:t>
      </w:r>
    </w:p>
    <w:p w14:paraId="490B2417" w14:textId="24733579" w:rsidR="00F23F7C" w:rsidRPr="00DE1196" w:rsidRDefault="00F23F7C" w:rsidP="00A54C8C">
      <w:pPr>
        <w:pBdr>
          <w:top w:val="nil"/>
          <w:left w:val="nil"/>
          <w:bottom w:val="nil"/>
          <w:right w:val="nil"/>
          <w:between w:val="nil"/>
        </w:pBdr>
        <w:spacing w:line="360" w:lineRule="auto"/>
        <w:rPr>
          <w:lang w:val="en-US"/>
        </w:rPr>
      </w:pPr>
      <w:r>
        <w:rPr>
          <w:lang w:val="en"/>
        </w:rPr>
        <w:t>Several studies have investigated in depth how general our human capital is (</w:t>
      </w:r>
      <w:proofErr w:type="spellStart"/>
      <w:r>
        <w:rPr>
          <w:lang w:val="en"/>
        </w:rPr>
        <w:t>Poleteav</w:t>
      </w:r>
      <w:proofErr w:type="spellEnd"/>
      <w:r>
        <w:rPr>
          <w:lang w:val="en"/>
        </w:rPr>
        <w:t xml:space="preserve"> and Robinson, 2008; </w:t>
      </w:r>
      <w:proofErr w:type="spellStart"/>
      <w:r>
        <w:rPr>
          <w:lang w:val="en"/>
        </w:rPr>
        <w:t>Kambourov</w:t>
      </w:r>
      <w:proofErr w:type="spellEnd"/>
      <w:r>
        <w:rPr>
          <w:lang w:val="en"/>
        </w:rPr>
        <w:t xml:space="preserve"> and </w:t>
      </w:r>
      <w:proofErr w:type="spellStart"/>
      <w:r>
        <w:rPr>
          <w:lang w:val="en"/>
        </w:rPr>
        <w:t>Manovskii</w:t>
      </w:r>
      <w:proofErr w:type="spellEnd"/>
      <w:r>
        <w:rPr>
          <w:lang w:val="en"/>
        </w:rPr>
        <w:t xml:space="preserve">, 2009; </w:t>
      </w:r>
      <w:proofErr w:type="spellStart"/>
      <w:r>
        <w:rPr>
          <w:lang w:val="en"/>
        </w:rPr>
        <w:t>Gathmann</w:t>
      </w:r>
      <w:proofErr w:type="spellEnd"/>
      <w:r>
        <w:rPr>
          <w:lang w:val="en"/>
        </w:rPr>
        <w:t xml:space="preserve"> &amp; Schonberg, 2010; </w:t>
      </w:r>
      <w:proofErr w:type="spellStart"/>
      <w:r>
        <w:rPr>
          <w:lang w:val="en"/>
        </w:rPr>
        <w:t>Sulivan</w:t>
      </w:r>
      <w:proofErr w:type="spellEnd"/>
      <w:r>
        <w:rPr>
          <w:lang w:val="en"/>
        </w:rPr>
        <w:t xml:space="preserve">, 2010; Yamaguchi, </w:t>
      </w:r>
      <w:r>
        <w:rPr>
          <w:lang w:val="en"/>
        </w:rPr>
        <w:lastRenderedPageBreak/>
        <w:t xml:space="preserve">2012; </w:t>
      </w:r>
      <w:proofErr w:type="spellStart"/>
      <w:r>
        <w:rPr>
          <w:lang w:val="en"/>
        </w:rPr>
        <w:t>Nedelkoska</w:t>
      </w:r>
      <w:proofErr w:type="spellEnd"/>
      <w:r>
        <w:rPr>
          <w:lang w:val="en"/>
        </w:rPr>
        <w:t xml:space="preserve"> et al; 2018). By human capital we mean a set of intangible knowledge and experience that makes it possible for us to perform tasks and occupations in a successful way.</w:t>
      </w:r>
    </w:p>
    <w:p w14:paraId="4B7460F2" w14:textId="0FEA167B" w:rsidR="00F23F7C" w:rsidRPr="00DE1196" w:rsidRDefault="00F23F7C" w:rsidP="00A54C8C">
      <w:pPr>
        <w:pBdr>
          <w:top w:val="nil"/>
          <w:left w:val="nil"/>
          <w:bottom w:val="nil"/>
          <w:right w:val="nil"/>
          <w:between w:val="nil"/>
        </w:pBdr>
        <w:spacing w:line="360" w:lineRule="auto"/>
        <w:rPr>
          <w:lang w:val="en-US"/>
        </w:rPr>
      </w:pPr>
      <w:r>
        <w:rPr>
          <w:lang w:val="en"/>
        </w:rPr>
        <w:t xml:space="preserve">Knowing how specific </w:t>
      </w:r>
      <w:r w:rsidR="001D31B3">
        <w:rPr>
          <w:lang w:val="en"/>
        </w:rPr>
        <w:t>our human capital is</w:t>
      </w:r>
      <w:r>
        <w:rPr>
          <w:lang w:val="en"/>
        </w:rPr>
        <w:t xml:space="preserve"> </w:t>
      </w:r>
      <w:r w:rsidR="008979B2">
        <w:rPr>
          <w:lang w:val="en"/>
        </w:rPr>
        <w:t>becoming</w:t>
      </w:r>
      <w:r>
        <w:rPr>
          <w:lang w:val="en"/>
        </w:rPr>
        <w:t xml:space="preserve"> especially relevant in the point of view of the costs of labor </w:t>
      </w:r>
      <w:r w:rsidR="00A51151">
        <w:rPr>
          <w:lang w:val="en"/>
        </w:rPr>
        <w:t>re</w:t>
      </w:r>
      <w:r>
        <w:rPr>
          <w:lang w:val="en"/>
        </w:rPr>
        <w:t xml:space="preserve">conversion. If human capital </w:t>
      </w:r>
      <w:r w:rsidR="00917F7E">
        <w:rPr>
          <w:lang w:val="en"/>
        </w:rPr>
        <w:t>wasn’t</w:t>
      </w:r>
      <w:r>
        <w:rPr>
          <w:lang w:val="en"/>
        </w:rPr>
        <w:t xml:space="preserve"> specific, a worker would</w:t>
      </w:r>
      <w:r w:rsidR="001D11A8">
        <w:rPr>
          <w:lang w:val="en"/>
        </w:rPr>
        <w:t>n’t</w:t>
      </w:r>
      <w:r>
        <w:rPr>
          <w:lang w:val="en"/>
        </w:rPr>
        <w:t xml:space="preserve"> find greater problems in finding a new career path </w:t>
      </w:r>
      <w:proofErr w:type="gramStart"/>
      <w:r>
        <w:rPr>
          <w:lang w:val="en"/>
        </w:rPr>
        <w:t>in the event that</w:t>
      </w:r>
      <w:proofErr w:type="gramEnd"/>
      <w:r>
        <w:rPr>
          <w:lang w:val="en"/>
        </w:rPr>
        <w:t xml:space="preserve"> their occupation or tasks beg</w:t>
      </w:r>
      <w:r w:rsidR="00E51B28">
        <w:rPr>
          <w:lang w:val="en"/>
        </w:rPr>
        <w:t>a</w:t>
      </w:r>
      <w:r>
        <w:rPr>
          <w:lang w:val="en"/>
        </w:rPr>
        <w:t>n to be deprecated - either by trade openness or technological change.</w:t>
      </w:r>
    </w:p>
    <w:p w14:paraId="4AB7EE8B" w14:textId="7660C0EB" w:rsidR="00F23F7C" w:rsidRPr="00DE1196" w:rsidRDefault="00F23F7C" w:rsidP="00A54C8C">
      <w:pPr>
        <w:pBdr>
          <w:top w:val="nil"/>
          <w:left w:val="nil"/>
          <w:bottom w:val="nil"/>
          <w:right w:val="nil"/>
          <w:between w:val="nil"/>
        </w:pBdr>
        <w:spacing w:line="360" w:lineRule="auto"/>
        <w:rPr>
          <w:lang w:val="en-US"/>
        </w:rPr>
      </w:pPr>
      <w:r>
        <w:rPr>
          <w:lang w:val="en"/>
        </w:rPr>
        <w:t xml:space="preserve">But if moving between occupations or tasks other than the initial ones comes at a significant cost in terms of worker productivity, then the costs of </w:t>
      </w:r>
      <w:r w:rsidR="003B6084">
        <w:rPr>
          <w:lang w:val="en"/>
        </w:rPr>
        <w:t>re</w:t>
      </w:r>
      <w:r>
        <w:rPr>
          <w:lang w:val="en"/>
        </w:rPr>
        <w:t xml:space="preserve">conversion are high and the need for active </w:t>
      </w:r>
      <w:r w:rsidR="00F245A2">
        <w:rPr>
          <w:lang w:val="en"/>
        </w:rPr>
        <w:t>re</w:t>
      </w:r>
      <w:r>
        <w:rPr>
          <w:lang w:val="en"/>
        </w:rPr>
        <w:t>conversion and a set of policies that allow for a smooth transition between occupations</w:t>
      </w:r>
      <w:r w:rsidR="00092740">
        <w:rPr>
          <w:lang w:val="en"/>
        </w:rPr>
        <w:t xml:space="preserve"> become </w:t>
      </w:r>
      <w:r w:rsidR="00F245A2">
        <w:rPr>
          <w:lang w:val="en"/>
        </w:rPr>
        <w:t>urgent</w:t>
      </w:r>
      <w:r>
        <w:rPr>
          <w:lang w:val="en"/>
        </w:rPr>
        <w:t>.</w:t>
      </w:r>
    </w:p>
    <w:p w14:paraId="34F2DD8B" w14:textId="52BD0AEA" w:rsidR="00D04E34" w:rsidRPr="00DE1196" w:rsidRDefault="00D04E34" w:rsidP="00A54C8C">
      <w:pPr>
        <w:pBdr>
          <w:top w:val="nil"/>
          <w:left w:val="nil"/>
          <w:bottom w:val="nil"/>
          <w:right w:val="nil"/>
          <w:between w:val="nil"/>
        </w:pBdr>
        <w:spacing w:line="360" w:lineRule="auto"/>
        <w:rPr>
          <w:lang w:val="en-US"/>
        </w:rPr>
      </w:pPr>
      <w:r>
        <w:rPr>
          <w:lang w:val="en"/>
        </w:rPr>
        <w:t>Ideally, answering this question would require</w:t>
      </w:r>
      <w:r w:rsidR="00666BE3">
        <w:rPr>
          <w:lang w:val="en"/>
        </w:rPr>
        <w:t xml:space="preserve"> having</w:t>
      </w:r>
      <w:r>
        <w:rPr>
          <w:lang w:val="en"/>
        </w:rPr>
        <w:t xml:space="preserve"> some measure of worker productivity before and after moving between occupations in which they have experience and among others where they do not. Unfortunately, these productivity statistics are not usually captured in household surveys or administrative data, and even the purely observational nature of these measures would also not improve the situation.</w:t>
      </w:r>
    </w:p>
    <w:p w14:paraId="6429E7AC" w14:textId="285B0620" w:rsidR="00D04E34" w:rsidRPr="00DE1196" w:rsidRDefault="00D04E34" w:rsidP="00A54C8C">
      <w:pPr>
        <w:pBdr>
          <w:top w:val="nil"/>
          <w:left w:val="nil"/>
          <w:bottom w:val="nil"/>
          <w:right w:val="nil"/>
          <w:between w:val="nil"/>
        </w:pBdr>
        <w:spacing w:line="360" w:lineRule="auto"/>
        <w:rPr>
          <w:lang w:val="en-US"/>
        </w:rPr>
      </w:pPr>
      <w:r>
        <w:rPr>
          <w:lang w:val="en"/>
        </w:rPr>
        <w:t xml:space="preserve">In this way, various research </w:t>
      </w:r>
      <w:r w:rsidR="00306B2F">
        <w:rPr>
          <w:lang w:val="en"/>
        </w:rPr>
        <w:t>res</w:t>
      </w:r>
      <w:r w:rsidR="008A6B97">
        <w:rPr>
          <w:lang w:val="en"/>
        </w:rPr>
        <w:t>o</w:t>
      </w:r>
      <w:r w:rsidR="00306B2F">
        <w:rPr>
          <w:lang w:val="en"/>
        </w:rPr>
        <w:t>rted</w:t>
      </w:r>
      <w:r>
        <w:rPr>
          <w:lang w:val="en"/>
        </w:rPr>
        <w:t xml:space="preserve"> </w:t>
      </w:r>
      <w:r w:rsidR="008A6B97">
        <w:rPr>
          <w:lang w:val="en"/>
        </w:rPr>
        <w:t xml:space="preserve">to </w:t>
      </w:r>
      <w:r>
        <w:rPr>
          <w:lang w:val="en"/>
        </w:rPr>
        <w:t xml:space="preserve">an imperfect measure of labor productivity: the wages received by workers. </w:t>
      </w:r>
      <w:proofErr w:type="spellStart"/>
      <w:r>
        <w:rPr>
          <w:lang w:val="en"/>
        </w:rPr>
        <w:t>Kambourov</w:t>
      </w:r>
      <w:proofErr w:type="spellEnd"/>
      <w:r>
        <w:rPr>
          <w:lang w:val="en"/>
        </w:rPr>
        <w:t xml:space="preserve"> and </w:t>
      </w:r>
      <w:proofErr w:type="spellStart"/>
      <w:r>
        <w:rPr>
          <w:lang w:val="en"/>
        </w:rPr>
        <w:t>Manovskii</w:t>
      </w:r>
      <w:proofErr w:type="spellEnd"/>
      <w:r>
        <w:rPr>
          <w:lang w:val="en"/>
        </w:rPr>
        <w:t xml:space="preserve"> (2009) find that, after time-monitoring with the employer, the activity sector and many other controls, time </w:t>
      </w:r>
      <w:r w:rsidR="00AC3AF2">
        <w:rPr>
          <w:lang w:val="en"/>
        </w:rPr>
        <w:t xml:space="preserve">spent </w:t>
      </w:r>
      <w:r w:rsidR="000D585F">
        <w:rPr>
          <w:lang w:val="en"/>
        </w:rPr>
        <w:t>in performing</w:t>
      </w:r>
      <w:r>
        <w:rPr>
          <w:lang w:val="en"/>
        </w:rPr>
        <w:t xml:space="preserve"> the same occupation explains an important part of the wage received. </w:t>
      </w:r>
      <w:proofErr w:type="spellStart"/>
      <w:r>
        <w:rPr>
          <w:lang w:val="en"/>
        </w:rPr>
        <w:t>Gathmann</w:t>
      </w:r>
      <w:proofErr w:type="spellEnd"/>
      <w:r>
        <w:rPr>
          <w:lang w:val="en"/>
        </w:rPr>
        <w:t xml:space="preserve"> and Schonberg (2010) go further, and with administrative data from Germany, in which they have a disaggregation of tasks at the individual level, they manage to identify a specific effect associated with the time that a worker has been performing the same task. </w:t>
      </w:r>
      <w:r w:rsidR="006B44E6">
        <w:rPr>
          <w:lang w:val="en"/>
        </w:rPr>
        <w:t>Closer to our times</w:t>
      </w:r>
      <w:r>
        <w:rPr>
          <w:lang w:val="en"/>
        </w:rPr>
        <w:t xml:space="preserve">, </w:t>
      </w:r>
      <w:proofErr w:type="spellStart"/>
      <w:r>
        <w:rPr>
          <w:lang w:val="en"/>
        </w:rPr>
        <w:t>Nedelkoska</w:t>
      </w:r>
      <w:proofErr w:type="spellEnd"/>
      <w:r>
        <w:rPr>
          <w:lang w:val="en"/>
        </w:rPr>
        <w:t xml:space="preserve"> et al (2018) find</w:t>
      </w:r>
      <w:r w:rsidR="00214C68">
        <w:rPr>
          <w:lang w:val="en"/>
        </w:rPr>
        <w:t xml:space="preserve"> out</w:t>
      </w:r>
      <w:r>
        <w:rPr>
          <w:lang w:val="en"/>
        </w:rPr>
        <w:t xml:space="preserve"> that the similarity between the occupations </w:t>
      </w:r>
      <w:r w:rsidR="006C28A4">
        <w:rPr>
          <w:lang w:val="en"/>
        </w:rPr>
        <w:t>through</w:t>
      </w:r>
      <w:r>
        <w:rPr>
          <w:lang w:val="en"/>
        </w:rPr>
        <w:t xml:space="preserve"> which workers move, in terms of the type of task and intensity with which it is applied, is a good predictor of wage changes.</w:t>
      </w:r>
    </w:p>
    <w:p w14:paraId="36A9AAF2" w14:textId="1B25DF29" w:rsidR="00D04E34" w:rsidRPr="00DE1196" w:rsidRDefault="00D04E34" w:rsidP="00A54C8C">
      <w:pPr>
        <w:pBdr>
          <w:top w:val="nil"/>
          <w:left w:val="nil"/>
          <w:bottom w:val="nil"/>
          <w:right w:val="nil"/>
          <w:between w:val="nil"/>
        </w:pBdr>
        <w:spacing w:line="360" w:lineRule="auto"/>
        <w:rPr>
          <w:lang w:val="en-US"/>
        </w:rPr>
      </w:pPr>
      <w:r>
        <w:rPr>
          <w:lang w:val="en"/>
        </w:rPr>
        <w:t xml:space="preserve">The Permanent Household Survey </w:t>
      </w:r>
      <w:r w:rsidR="00AB6558">
        <w:rPr>
          <w:lang w:val="en"/>
        </w:rPr>
        <w:t xml:space="preserve">allows us to </w:t>
      </w:r>
      <w:r>
        <w:rPr>
          <w:lang w:val="en"/>
        </w:rPr>
        <w:t>perfor</w:t>
      </w:r>
      <w:r w:rsidR="00AB6558">
        <w:rPr>
          <w:lang w:val="en"/>
        </w:rPr>
        <w:t xml:space="preserve">m </w:t>
      </w:r>
      <w:r>
        <w:rPr>
          <w:lang w:val="en"/>
        </w:rPr>
        <w:t xml:space="preserve">an exercise </w:t>
      </w:r>
      <w:proofErr w:type="gramStart"/>
      <w:r>
        <w:rPr>
          <w:lang w:val="en"/>
        </w:rPr>
        <w:t>similar to</w:t>
      </w:r>
      <w:proofErr w:type="gramEnd"/>
      <w:r>
        <w:rPr>
          <w:lang w:val="en"/>
        </w:rPr>
        <w:t xml:space="preserve"> the rest of the investigations, but this time with evidence for Argentina. The first way to relate the similarity of occupations to changes in wages is to add the variable of similarity between occupations as the independent variable to explain the changes in wages</w:t>
      </w:r>
      <w:r w:rsidR="00094F39">
        <w:rPr>
          <w:lang w:val="en"/>
        </w:rPr>
        <w:t>.</w:t>
      </w:r>
    </w:p>
    <w:p w14:paraId="260FCA40" w14:textId="4DB44ADF" w:rsidR="00D04E34" w:rsidRPr="00DE1196" w:rsidRDefault="00D04E34" w:rsidP="00A54C8C">
      <w:pPr>
        <w:pBdr>
          <w:top w:val="nil"/>
          <w:left w:val="nil"/>
          <w:bottom w:val="nil"/>
          <w:right w:val="nil"/>
          <w:between w:val="nil"/>
        </w:pBdr>
        <w:spacing w:line="360" w:lineRule="auto"/>
        <w:rPr>
          <w:lang w:val="en-US"/>
        </w:rPr>
      </w:pPr>
      <w:r>
        <w:rPr>
          <w:lang w:val="en"/>
        </w:rPr>
        <w:t xml:space="preserve">One of the challenges in building a regression model only from the information of the </w:t>
      </w:r>
      <w:r>
        <w:rPr>
          <w:i/>
          <w:iCs/>
          <w:lang w:val="en"/>
        </w:rPr>
        <w:t>leaps</w:t>
      </w:r>
      <w:r>
        <w:rPr>
          <w:lang w:val="en"/>
        </w:rPr>
        <w:t xml:space="preserve"> between jobs is that </w:t>
      </w:r>
      <w:commentRangeStart w:id="14"/>
      <w:r>
        <w:rPr>
          <w:lang w:val="en"/>
        </w:rPr>
        <w:t xml:space="preserve">economic theory </w:t>
      </w:r>
      <w:r w:rsidR="008979B2">
        <w:rPr>
          <w:lang w:val="en"/>
        </w:rPr>
        <w:t xml:space="preserve">can helps us </w:t>
      </w:r>
      <w:commentRangeEnd w:id="14"/>
      <w:r w:rsidR="003D7535">
        <w:rPr>
          <w:rStyle w:val="CommentReference"/>
        </w:rPr>
        <w:commentReference w:id="14"/>
      </w:r>
      <w:r>
        <w:rPr>
          <w:lang w:val="en"/>
        </w:rPr>
        <w:t xml:space="preserve">more </w:t>
      </w:r>
      <w:r w:rsidR="008979B2">
        <w:rPr>
          <w:lang w:val="en"/>
        </w:rPr>
        <w:t xml:space="preserve">in </w:t>
      </w:r>
      <w:r>
        <w:rPr>
          <w:lang w:val="en"/>
        </w:rPr>
        <w:t xml:space="preserve">determining the level of wages than its variation in the short term. In fact, the Mincer equation, one of the most widely disseminated models, only </w:t>
      </w:r>
      <w:r w:rsidR="00302C18">
        <w:rPr>
          <w:lang w:val="en"/>
        </w:rPr>
        <w:lastRenderedPageBreak/>
        <w:t>includes</w:t>
      </w:r>
      <w:r>
        <w:rPr>
          <w:lang w:val="en"/>
        </w:rPr>
        <w:t xml:space="preserve"> variables that in the short term can be </w:t>
      </w:r>
      <w:r w:rsidR="008551C4">
        <w:rPr>
          <w:lang w:val="en"/>
        </w:rPr>
        <w:t>considered</w:t>
      </w:r>
      <w:r>
        <w:rPr>
          <w:lang w:val="en"/>
        </w:rPr>
        <w:t xml:space="preserve"> constant (educational level and years of work experience). </w:t>
      </w:r>
    </w:p>
    <w:p w14:paraId="46CEC5E7" w14:textId="246C25CE" w:rsidR="00D04E34" w:rsidRPr="00DE1196" w:rsidRDefault="00D04E34" w:rsidP="00A54C8C">
      <w:pPr>
        <w:pBdr>
          <w:top w:val="nil"/>
          <w:left w:val="nil"/>
          <w:bottom w:val="nil"/>
          <w:right w:val="nil"/>
          <w:between w:val="nil"/>
        </w:pBdr>
        <w:spacing w:line="360" w:lineRule="auto"/>
        <w:rPr>
          <w:lang w:val="en-US"/>
        </w:rPr>
      </w:pPr>
      <w:commentRangeStart w:id="15"/>
      <w:r>
        <w:rPr>
          <w:lang w:val="en"/>
        </w:rPr>
        <w:t xml:space="preserve">Due to this lack of theoretical models for such short-term movements, this work proposes to estimate several econometric models that control different variables that can affect the difference in wages observed before and after the change in </w:t>
      </w:r>
      <w:r w:rsidR="00933879">
        <w:rPr>
          <w:lang w:val="en"/>
        </w:rPr>
        <w:t>e</w:t>
      </w:r>
      <w:r>
        <w:rPr>
          <w:lang w:val="en"/>
        </w:rPr>
        <w:t>mployment</w:t>
      </w:r>
      <w:commentRangeEnd w:id="15"/>
      <w:r w:rsidR="009026CE">
        <w:rPr>
          <w:rStyle w:val="CommentReference"/>
        </w:rPr>
        <w:commentReference w:id="15"/>
      </w:r>
      <w:r>
        <w:rPr>
          <w:lang w:val="en"/>
        </w:rPr>
        <w:t>. The most basic model could be defined as follows:</w:t>
      </w:r>
    </w:p>
    <w:p w14:paraId="2AA4A2B1" w14:textId="35131205" w:rsidR="00AB4A98" w:rsidRDefault="00853BB7" w:rsidP="00546537">
      <w:pPr>
        <w:pStyle w:val="ListParagraph"/>
        <w:numPr>
          <w:ilvl w:val="0"/>
          <w:numId w:val="1"/>
        </w:numPr>
        <w:pBdr>
          <w:top w:val="nil"/>
          <w:left w:val="nil"/>
          <w:bottom w:val="nil"/>
          <w:right w:val="nil"/>
          <w:between w:val="nil"/>
        </w:pBdr>
        <w:spacing w:line="360" w:lineRule="auto"/>
        <w:jc w:val="center"/>
      </w:pPr>
      <w:bookmarkStart w:id="16" w:name="_auk7a7vgsl44" w:colFirst="0" w:colLast="0"/>
      <w:bookmarkEnd w:id="16"/>
      <m:oMath>
        <m:r>
          <w:rPr>
            <w:rFonts w:ascii="Cambria Math" w:hAnsi="Cambria Math"/>
          </w:rPr>
          <m:t>∆RealWage=</m:t>
        </m:r>
        <m:r>
          <w:rPr>
            <w:rFonts w:ascii="Cambria Math"/>
          </w:rPr>
          <m:t xml:space="preserve">c+ </m:t>
        </m:r>
        <m:sSub>
          <m:sSubPr>
            <m:ctrlPr>
              <w:rPr>
                <w:rFonts w:ascii="Cambria Math" w:hAnsi="Cambria Math"/>
                <w:i/>
              </w:rPr>
            </m:ctrlPr>
          </m:sSubPr>
          <m:e>
            <m:r>
              <w:rPr>
                <w:rFonts w:ascii="Cambria Math" w:hAnsi="Cambria Math"/>
              </w:rPr>
              <m:t>R</m:t>
            </m:r>
          </m:e>
          <m:sub>
            <m:r>
              <w:rPr>
                <w:rFonts w:ascii="Cambria Math" w:hAnsi="Cambria Math"/>
              </w:rPr>
              <m:t>ij</m:t>
            </m:r>
          </m:sub>
        </m:sSub>
      </m:oMath>
    </w:p>
    <w:p w14:paraId="29F3C602" w14:textId="2B6CB491" w:rsidR="00B0622D" w:rsidRPr="00546537" w:rsidRDefault="004101C7" w:rsidP="00A54C8C">
      <w:pPr>
        <w:pBdr>
          <w:top w:val="nil"/>
          <w:left w:val="nil"/>
          <w:bottom w:val="nil"/>
          <w:right w:val="nil"/>
          <w:between w:val="nil"/>
        </w:pBdr>
        <w:spacing w:line="360" w:lineRule="auto"/>
        <w:rPr>
          <w:lang w:val="en"/>
        </w:rPr>
      </w:pPr>
      <w:r>
        <w:rPr>
          <w:lang w:val="en"/>
        </w:rPr>
        <w:t xml:space="preserve">Where </w:t>
      </w:r>
      <m:oMath>
        <m:r>
          <w:rPr>
            <w:rFonts w:ascii="Cambria Math" w:hAnsi="Cambria Math"/>
            <w:lang w:val="en-US"/>
          </w:rPr>
          <m:t>∆</m:t>
        </m:r>
        <m:r>
          <w:rPr>
            <w:rFonts w:ascii="Cambria Math" w:hAnsi="Cambria Math"/>
          </w:rPr>
          <m:t>RealWage</m:t>
        </m:r>
        <m:r>
          <w:rPr>
            <w:rFonts w:ascii="Cambria Math" w:hAnsi="Cambria Math"/>
            <w:lang w:val="en-US"/>
          </w:rPr>
          <m:t xml:space="preserve"> </m:t>
        </m:r>
      </m:oMath>
      <w:r>
        <w:rPr>
          <w:lang w:val="en"/>
        </w:rPr>
        <w:t xml:space="preserve">refers to the average quarterly change of the worker's </w:t>
      </w:r>
      <w:r w:rsidR="006F36DD">
        <w:rPr>
          <w:lang w:val="en"/>
        </w:rPr>
        <w:t>real</w:t>
      </w:r>
      <w:r>
        <w:rPr>
          <w:lang w:val="en"/>
        </w:rPr>
        <w:t xml:space="preserve"> </w:t>
      </w:r>
      <w:r w:rsidR="006F36DD">
        <w:rPr>
          <w:lang w:val="en"/>
        </w:rPr>
        <w:t>wage</w:t>
      </w:r>
      <w:r>
        <w:rPr>
          <w:lang w:val="en"/>
        </w:rPr>
        <w:t xml:space="preserve"> between the initial and the final</w:t>
      </w:r>
      <w:r>
        <w:rPr>
          <w:rStyle w:val="FootnoteReference"/>
          <w:lang w:val="en"/>
        </w:rPr>
        <w:footnoteReference w:id="3"/>
      </w:r>
      <w:r w:rsidR="00982EBE">
        <w:rPr>
          <w:lang w:val="en"/>
        </w:rPr>
        <w:t xml:space="preserve"> </w:t>
      </w:r>
      <w:r>
        <w:rPr>
          <w:lang w:val="en"/>
        </w:rPr>
        <w:t xml:space="preserve">employment,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Pr>
          <w:lang w:val="en"/>
        </w:rPr>
        <w:t xml:space="preserve">is the similarity variable created between the exit and destination </w:t>
      </w:r>
      <w:r w:rsidR="00056645">
        <w:rPr>
          <w:lang w:val="en"/>
        </w:rPr>
        <w:t xml:space="preserve">occupation </w:t>
      </w:r>
      <w:r>
        <w:rPr>
          <w:lang w:val="en"/>
        </w:rPr>
        <w:t>and c is a constant that represents the average of the wage variations.</w:t>
      </w:r>
      <w:r w:rsidR="00B0622D">
        <w:rPr>
          <w:lang w:val="en"/>
        </w:rPr>
        <w:t xml:space="preserve"> </w:t>
      </w:r>
    </w:p>
    <w:p w14:paraId="6B51F133" w14:textId="76B36AD7" w:rsidR="004101C7" w:rsidRDefault="004101C7" w:rsidP="00A54C8C">
      <w:pPr>
        <w:pBdr>
          <w:top w:val="nil"/>
          <w:left w:val="nil"/>
          <w:bottom w:val="nil"/>
          <w:right w:val="nil"/>
          <w:between w:val="nil"/>
        </w:pBdr>
        <w:spacing w:line="360" w:lineRule="auto"/>
        <w:rPr>
          <w:lang w:val="en"/>
        </w:rPr>
      </w:pPr>
      <w:r>
        <w:rPr>
          <w:lang w:val="en"/>
        </w:rPr>
        <w:t>Although 8,</w:t>
      </w:r>
      <w:r w:rsidR="00240161">
        <w:rPr>
          <w:lang w:val="en"/>
        </w:rPr>
        <w:t>249</w:t>
      </w:r>
      <w:r>
        <w:rPr>
          <w:lang w:val="en"/>
        </w:rPr>
        <w:t xml:space="preserve"> </w:t>
      </w:r>
      <w:r w:rsidR="008979B2">
        <w:rPr>
          <w:lang w:val="en"/>
        </w:rPr>
        <w:t xml:space="preserve">job-to-job transitions </w:t>
      </w:r>
      <w:r>
        <w:rPr>
          <w:lang w:val="en"/>
        </w:rPr>
        <w:t>were available, only 5,</w:t>
      </w:r>
      <w:r w:rsidR="00587ADB">
        <w:rPr>
          <w:lang w:val="en"/>
        </w:rPr>
        <w:t>640</w:t>
      </w:r>
      <w:r>
        <w:rPr>
          <w:lang w:val="en"/>
        </w:rPr>
        <w:t xml:space="preserve"> cases contain</w:t>
      </w:r>
      <w:r w:rsidR="008713F2">
        <w:rPr>
          <w:lang w:val="en"/>
        </w:rPr>
        <w:t xml:space="preserve"> </w:t>
      </w:r>
      <w:r w:rsidR="00F4455B">
        <w:rPr>
          <w:lang w:val="en"/>
        </w:rPr>
        <w:t xml:space="preserve">simultaneously </w:t>
      </w:r>
      <w:r>
        <w:rPr>
          <w:lang w:val="en"/>
        </w:rPr>
        <w:t xml:space="preserve">data on wages and </w:t>
      </w:r>
      <w:r w:rsidR="00504621">
        <w:rPr>
          <w:lang w:val="en"/>
        </w:rPr>
        <w:t>data</w:t>
      </w:r>
      <w:r w:rsidR="006D40CA">
        <w:rPr>
          <w:lang w:val="en"/>
        </w:rPr>
        <w:t xml:space="preserve"> on</w:t>
      </w:r>
      <w:r>
        <w:rPr>
          <w:lang w:val="en"/>
        </w:rPr>
        <w:t xml:space="preserve"> hours worked </w:t>
      </w:r>
      <w:r w:rsidR="00E82A80">
        <w:rPr>
          <w:lang w:val="en"/>
        </w:rPr>
        <w:t>(</w:t>
      </w:r>
      <w:r>
        <w:rPr>
          <w:lang w:val="en"/>
        </w:rPr>
        <w:t>different from zero</w:t>
      </w:r>
      <w:r w:rsidR="00E82A80">
        <w:rPr>
          <w:lang w:val="en"/>
        </w:rPr>
        <w:t>)</w:t>
      </w:r>
      <w:r>
        <w:rPr>
          <w:lang w:val="en"/>
        </w:rPr>
        <w:t>. The expected sign of the coefficient associated with the variable of similarity between occupations is positive</w:t>
      </w:r>
      <w:r w:rsidR="008035E4">
        <w:rPr>
          <w:lang w:val="en"/>
        </w:rPr>
        <w:t>,</w:t>
      </w:r>
      <w:r>
        <w:rPr>
          <w:lang w:val="en"/>
        </w:rPr>
        <w:t xml:space="preserve"> since greater similarity between the new occupation and the previous one should be associated with a higher salary and vice versa.</w:t>
      </w:r>
    </w:p>
    <w:p w14:paraId="2F302906" w14:textId="301E0733" w:rsidR="004D617F" w:rsidRDefault="00062D3D" w:rsidP="00A54C8C">
      <w:pPr>
        <w:pBdr>
          <w:top w:val="nil"/>
          <w:left w:val="nil"/>
          <w:bottom w:val="nil"/>
          <w:right w:val="nil"/>
          <w:between w:val="nil"/>
        </w:pBdr>
        <w:spacing w:line="360" w:lineRule="auto"/>
        <w:rPr>
          <w:lang w:val="en"/>
        </w:rPr>
      </w:pPr>
      <w:r>
        <w:rPr>
          <w:lang w:val="en"/>
        </w:rPr>
        <w:t>Table 1 shows the main results in the nine regressions that are shown in the Annex 2.</w:t>
      </w:r>
      <w:r w:rsidR="000544AF">
        <w:rPr>
          <w:lang w:val="en"/>
        </w:rPr>
        <w:t xml:space="preserve"> If we estimate the regression </w:t>
      </w:r>
      <w:r w:rsidR="004D617F">
        <w:rPr>
          <w:lang w:val="en"/>
        </w:rPr>
        <w:t xml:space="preserve">the regression with the distance between occupations based in the total flows from job-to-job </w:t>
      </w:r>
      <w:r w:rsidR="00027292">
        <w:rPr>
          <w:lang w:val="en"/>
        </w:rPr>
        <w:t>transitions,</w:t>
      </w:r>
      <w:r w:rsidR="004D617F">
        <w:rPr>
          <w:lang w:val="en"/>
        </w:rPr>
        <w:t xml:space="preserve"> we find a mild and statistically non-significant relationship to changes in hourly real wage of 0.02. But the pooled sample consists of two methods of detection of job-to-job transitions: employer tenure and the report of an unemployment or inactivity spell between the transitions.</w:t>
      </w:r>
    </w:p>
    <w:p w14:paraId="34F4BE65" w14:textId="350AEBBE" w:rsidR="00062D3D" w:rsidRDefault="004D617F" w:rsidP="00A54C8C">
      <w:pPr>
        <w:pBdr>
          <w:top w:val="nil"/>
          <w:left w:val="nil"/>
          <w:bottom w:val="nil"/>
          <w:right w:val="nil"/>
          <w:between w:val="nil"/>
        </w:pBdr>
        <w:spacing w:line="360" w:lineRule="auto"/>
        <w:rPr>
          <w:lang w:val="en"/>
        </w:rPr>
      </w:pPr>
      <w:r>
        <w:rPr>
          <w:lang w:val="en"/>
        </w:rPr>
        <w:t>If we construct the similarity between occupations in the sample that are detected without transitioning through unemployment, we find a coefficient of 0.03 that is statistically significant. This means that an increase of one point in the similarity measure between occupations is, on average, linked to an increase of 3% the quarterly change of the real hourly wage</w:t>
      </w:r>
      <w:r w:rsidR="00F36950">
        <w:rPr>
          <w:lang w:val="en"/>
        </w:rPr>
        <w:t xml:space="preserve"> in the job-to-job transition. This relationship doubles when the regression is run only in the subset of workers that have transitioned without </w:t>
      </w:r>
      <w:r w:rsidR="00A76350">
        <w:rPr>
          <w:lang w:val="en"/>
        </w:rPr>
        <w:t xml:space="preserve">going through an </w:t>
      </w:r>
      <w:r w:rsidR="00F36950">
        <w:rPr>
          <w:lang w:val="en"/>
        </w:rPr>
        <w:t>unemployment spell.</w:t>
      </w:r>
    </w:p>
    <w:tbl>
      <w:tblPr>
        <w:tblW w:w="7940" w:type="dxa"/>
        <w:jc w:val="center"/>
        <w:tblCellMar>
          <w:left w:w="70" w:type="dxa"/>
          <w:right w:w="70" w:type="dxa"/>
        </w:tblCellMar>
        <w:tblLook w:val="04A0" w:firstRow="1" w:lastRow="0" w:firstColumn="1" w:lastColumn="0" w:noHBand="0" w:noVBand="1"/>
      </w:tblPr>
      <w:tblGrid>
        <w:gridCol w:w="3480"/>
        <w:gridCol w:w="1124"/>
        <w:gridCol w:w="1814"/>
        <w:gridCol w:w="1522"/>
      </w:tblGrid>
      <w:tr w:rsidR="00062D3D" w:rsidRPr="00062D3D" w14:paraId="64C41A3E" w14:textId="77777777" w:rsidTr="00546537">
        <w:trPr>
          <w:trHeight w:val="288"/>
          <w:jc w:val="center"/>
        </w:trPr>
        <w:tc>
          <w:tcPr>
            <w:tcW w:w="3480" w:type="dxa"/>
            <w:vMerge w:val="restart"/>
            <w:tcBorders>
              <w:top w:val="single" w:sz="4" w:space="0" w:color="auto"/>
              <w:left w:val="nil"/>
              <w:bottom w:val="single" w:sz="4" w:space="0" w:color="000000"/>
              <w:right w:val="nil"/>
            </w:tcBorders>
            <w:shd w:val="clear" w:color="auto" w:fill="auto"/>
            <w:noWrap/>
            <w:vAlign w:val="center"/>
            <w:hideMark/>
          </w:tcPr>
          <w:p w14:paraId="645DAE7B" w14:textId="77777777" w:rsidR="00062D3D" w:rsidRPr="00546537" w:rsidRDefault="00062D3D" w:rsidP="00546537">
            <w:pPr>
              <w:spacing w:after="0"/>
              <w:jc w:val="center"/>
              <w:rPr>
                <w:rFonts w:eastAsia="Times New Roman"/>
                <w:b/>
                <w:bCs/>
                <w:color w:val="000000"/>
                <w:lang w:val="es-AR"/>
              </w:rPr>
            </w:pPr>
            <w:proofErr w:type="spellStart"/>
            <w:r w:rsidRPr="00546537">
              <w:rPr>
                <w:rFonts w:eastAsia="Times New Roman"/>
                <w:b/>
                <w:bCs/>
                <w:color w:val="000000"/>
                <w:lang w:val="es-AR"/>
              </w:rPr>
              <w:t>Distance</w:t>
            </w:r>
            <w:proofErr w:type="spellEnd"/>
            <w:r w:rsidRPr="00546537">
              <w:rPr>
                <w:rFonts w:eastAsia="Times New Roman"/>
                <w:b/>
                <w:bCs/>
                <w:color w:val="000000"/>
                <w:lang w:val="es-AR"/>
              </w:rPr>
              <w:t xml:space="preserve"> </w:t>
            </w:r>
            <w:proofErr w:type="spellStart"/>
            <w:r w:rsidRPr="00546537">
              <w:rPr>
                <w:rFonts w:eastAsia="Times New Roman"/>
                <w:b/>
                <w:bCs/>
                <w:color w:val="000000"/>
                <w:lang w:val="es-AR"/>
              </w:rPr>
              <w:t>based</w:t>
            </w:r>
            <w:proofErr w:type="spellEnd"/>
            <w:r w:rsidRPr="00546537">
              <w:rPr>
                <w:rFonts w:eastAsia="Times New Roman"/>
                <w:b/>
                <w:bCs/>
                <w:color w:val="000000"/>
                <w:lang w:val="es-AR"/>
              </w:rPr>
              <w:t xml:space="preserve"> </w:t>
            </w:r>
            <w:proofErr w:type="spellStart"/>
            <w:r w:rsidRPr="00546537">
              <w:rPr>
                <w:rFonts w:eastAsia="Times New Roman"/>
                <w:b/>
                <w:bCs/>
                <w:color w:val="000000"/>
                <w:lang w:val="es-AR"/>
              </w:rPr>
              <w:t>on</w:t>
            </w:r>
            <w:proofErr w:type="spellEnd"/>
          </w:p>
        </w:tc>
        <w:tc>
          <w:tcPr>
            <w:tcW w:w="4460" w:type="dxa"/>
            <w:gridSpan w:val="3"/>
            <w:tcBorders>
              <w:top w:val="single" w:sz="4" w:space="0" w:color="auto"/>
              <w:left w:val="nil"/>
              <w:bottom w:val="nil"/>
              <w:right w:val="nil"/>
            </w:tcBorders>
            <w:shd w:val="clear" w:color="auto" w:fill="auto"/>
            <w:noWrap/>
            <w:vAlign w:val="center"/>
            <w:hideMark/>
          </w:tcPr>
          <w:p w14:paraId="78FB8902" w14:textId="77777777" w:rsidR="00062D3D" w:rsidRPr="00546537" w:rsidRDefault="00062D3D" w:rsidP="00546537">
            <w:pPr>
              <w:spacing w:after="0"/>
              <w:jc w:val="center"/>
              <w:rPr>
                <w:rFonts w:eastAsia="Times New Roman"/>
                <w:b/>
                <w:bCs/>
                <w:color w:val="000000"/>
                <w:lang w:val="es-AR"/>
              </w:rPr>
            </w:pPr>
            <w:proofErr w:type="spellStart"/>
            <w:r w:rsidRPr="00546537">
              <w:rPr>
                <w:rFonts w:eastAsia="Times New Roman"/>
                <w:b/>
                <w:bCs/>
                <w:color w:val="000000"/>
                <w:lang w:val="es-AR"/>
              </w:rPr>
              <w:t>Subset</w:t>
            </w:r>
            <w:proofErr w:type="spellEnd"/>
            <w:r w:rsidRPr="00546537">
              <w:rPr>
                <w:rFonts w:eastAsia="Times New Roman"/>
                <w:b/>
                <w:bCs/>
                <w:color w:val="000000"/>
                <w:lang w:val="es-AR"/>
              </w:rPr>
              <w:t xml:space="preserve"> in </w:t>
            </w:r>
            <w:proofErr w:type="spellStart"/>
            <w:r w:rsidRPr="00546537">
              <w:rPr>
                <w:rFonts w:eastAsia="Times New Roman"/>
                <w:b/>
                <w:bCs/>
                <w:color w:val="000000"/>
                <w:lang w:val="es-AR"/>
              </w:rPr>
              <w:t>the</w:t>
            </w:r>
            <w:proofErr w:type="spellEnd"/>
            <w:r w:rsidRPr="00546537">
              <w:rPr>
                <w:rFonts w:eastAsia="Times New Roman"/>
                <w:b/>
                <w:bCs/>
                <w:color w:val="000000"/>
                <w:lang w:val="es-AR"/>
              </w:rPr>
              <w:t xml:space="preserve"> </w:t>
            </w:r>
            <w:proofErr w:type="spellStart"/>
            <w:r w:rsidRPr="00546537">
              <w:rPr>
                <w:rFonts w:eastAsia="Times New Roman"/>
                <w:b/>
                <w:bCs/>
                <w:color w:val="000000"/>
                <w:lang w:val="es-AR"/>
              </w:rPr>
              <w:t>regression</w:t>
            </w:r>
            <w:proofErr w:type="spellEnd"/>
          </w:p>
        </w:tc>
      </w:tr>
      <w:tr w:rsidR="00062D3D" w:rsidRPr="00062D3D" w14:paraId="336807B2" w14:textId="77777777" w:rsidTr="00546537">
        <w:trPr>
          <w:trHeight w:val="576"/>
          <w:jc w:val="center"/>
        </w:trPr>
        <w:tc>
          <w:tcPr>
            <w:tcW w:w="3480" w:type="dxa"/>
            <w:vMerge/>
            <w:tcBorders>
              <w:top w:val="single" w:sz="4" w:space="0" w:color="auto"/>
              <w:left w:val="nil"/>
              <w:bottom w:val="single" w:sz="4" w:space="0" w:color="000000"/>
              <w:right w:val="nil"/>
            </w:tcBorders>
            <w:vAlign w:val="center"/>
            <w:hideMark/>
          </w:tcPr>
          <w:p w14:paraId="522FBAED" w14:textId="77777777" w:rsidR="00062D3D" w:rsidRPr="00062D3D" w:rsidRDefault="00062D3D" w:rsidP="00546537">
            <w:pPr>
              <w:spacing w:after="0"/>
              <w:jc w:val="center"/>
              <w:rPr>
                <w:rFonts w:eastAsia="Times New Roman"/>
                <w:color w:val="000000"/>
                <w:lang w:val="es-AR"/>
              </w:rPr>
            </w:pPr>
          </w:p>
        </w:tc>
        <w:tc>
          <w:tcPr>
            <w:tcW w:w="1124" w:type="dxa"/>
            <w:tcBorders>
              <w:top w:val="nil"/>
              <w:left w:val="nil"/>
              <w:bottom w:val="single" w:sz="4" w:space="0" w:color="auto"/>
              <w:right w:val="nil"/>
            </w:tcBorders>
            <w:shd w:val="clear" w:color="auto" w:fill="auto"/>
            <w:noWrap/>
            <w:vAlign w:val="center"/>
            <w:hideMark/>
          </w:tcPr>
          <w:p w14:paraId="0C230059"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 xml:space="preserve">Full </w:t>
            </w:r>
            <w:proofErr w:type="spellStart"/>
            <w:r w:rsidRPr="00062D3D">
              <w:rPr>
                <w:rFonts w:eastAsia="Times New Roman"/>
                <w:color w:val="000000"/>
                <w:lang w:val="es-AR"/>
              </w:rPr>
              <w:t>Sample</w:t>
            </w:r>
            <w:proofErr w:type="spellEnd"/>
          </w:p>
        </w:tc>
        <w:tc>
          <w:tcPr>
            <w:tcW w:w="1814" w:type="dxa"/>
            <w:tcBorders>
              <w:top w:val="nil"/>
              <w:left w:val="nil"/>
              <w:bottom w:val="single" w:sz="4" w:space="0" w:color="auto"/>
              <w:right w:val="nil"/>
            </w:tcBorders>
            <w:shd w:val="clear" w:color="auto" w:fill="auto"/>
            <w:vAlign w:val="center"/>
            <w:hideMark/>
          </w:tcPr>
          <w:p w14:paraId="35D11F8A" w14:textId="0A38358B" w:rsidR="00062D3D" w:rsidRPr="00062D3D" w:rsidRDefault="00062D3D" w:rsidP="00546537">
            <w:pPr>
              <w:spacing w:after="0"/>
              <w:jc w:val="center"/>
              <w:rPr>
                <w:rFonts w:eastAsia="Times New Roman"/>
                <w:color w:val="000000"/>
                <w:lang w:val="es-AR"/>
              </w:rPr>
            </w:pPr>
            <w:proofErr w:type="spellStart"/>
            <w:r w:rsidRPr="00062D3D">
              <w:rPr>
                <w:rFonts w:eastAsia="Times New Roman"/>
                <w:color w:val="000000"/>
                <w:lang w:val="es-AR"/>
              </w:rPr>
              <w:t>Transition</w:t>
            </w:r>
            <w:proofErr w:type="spellEnd"/>
            <w:r w:rsidRPr="00062D3D">
              <w:rPr>
                <w:rFonts w:eastAsia="Times New Roman"/>
                <w:color w:val="000000"/>
                <w:lang w:val="es-AR"/>
              </w:rPr>
              <w:t xml:space="preserve"> </w:t>
            </w:r>
            <w:proofErr w:type="spellStart"/>
            <w:r w:rsidRPr="00062D3D">
              <w:rPr>
                <w:rFonts w:eastAsia="Times New Roman"/>
                <w:color w:val="000000"/>
                <w:lang w:val="es-AR"/>
              </w:rPr>
              <w:t>without</w:t>
            </w:r>
            <w:proofErr w:type="spellEnd"/>
            <w:r w:rsidRPr="00062D3D">
              <w:rPr>
                <w:rFonts w:eastAsia="Times New Roman"/>
                <w:color w:val="000000"/>
                <w:lang w:val="es-AR"/>
              </w:rPr>
              <w:t xml:space="preserve"> </w:t>
            </w:r>
            <w:proofErr w:type="spellStart"/>
            <w:r w:rsidRPr="00062D3D">
              <w:rPr>
                <w:rFonts w:eastAsia="Times New Roman"/>
                <w:color w:val="000000"/>
                <w:lang w:val="es-AR"/>
              </w:rPr>
              <w:t>unemploymen</w:t>
            </w:r>
            <w:r w:rsidR="00F36950">
              <w:rPr>
                <w:rFonts w:eastAsia="Times New Roman"/>
                <w:color w:val="000000"/>
                <w:lang w:val="es-AR"/>
              </w:rPr>
              <w:t>t</w:t>
            </w:r>
            <w:proofErr w:type="spellEnd"/>
          </w:p>
        </w:tc>
        <w:tc>
          <w:tcPr>
            <w:tcW w:w="1522" w:type="dxa"/>
            <w:tcBorders>
              <w:top w:val="nil"/>
              <w:left w:val="nil"/>
              <w:bottom w:val="single" w:sz="4" w:space="0" w:color="auto"/>
              <w:right w:val="nil"/>
            </w:tcBorders>
            <w:shd w:val="clear" w:color="auto" w:fill="auto"/>
            <w:vAlign w:val="center"/>
            <w:hideMark/>
          </w:tcPr>
          <w:p w14:paraId="32B3B65E" w14:textId="77777777" w:rsidR="00062D3D" w:rsidRPr="00062D3D" w:rsidRDefault="00062D3D" w:rsidP="00546537">
            <w:pPr>
              <w:spacing w:after="0"/>
              <w:jc w:val="center"/>
              <w:rPr>
                <w:rFonts w:eastAsia="Times New Roman"/>
                <w:color w:val="000000"/>
                <w:lang w:val="es-AR"/>
              </w:rPr>
            </w:pPr>
            <w:proofErr w:type="spellStart"/>
            <w:r w:rsidRPr="00062D3D">
              <w:rPr>
                <w:rFonts w:eastAsia="Times New Roman"/>
                <w:color w:val="000000"/>
                <w:lang w:val="es-AR"/>
              </w:rPr>
              <w:t>Transition</w:t>
            </w:r>
            <w:proofErr w:type="spellEnd"/>
            <w:r w:rsidRPr="00062D3D">
              <w:rPr>
                <w:rFonts w:eastAsia="Times New Roman"/>
                <w:color w:val="000000"/>
                <w:lang w:val="es-AR"/>
              </w:rPr>
              <w:t xml:space="preserve"> </w:t>
            </w:r>
            <w:proofErr w:type="spellStart"/>
            <w:r w:rsidRPr="00062D3D">
              <w:rPr>
                <w:rFonts w:eastAsia="Times New Roman"/>
                <w:color w:val="000000"/>
                <w:lang w:val="es-AR"/>
              </w:rPr>
              <w:t>with</w:t>
            </w:r>
            <w:proofErr w:type="spellEnd"/>
            <w:r w:rsidRPr="00062D3D">
              <w:rPr>
                <w:rFonts w:eastAsia="Times New Roman"/>
                <w:color w:val="000000"/>
                <w:lang w:val="es-AR"/>
              </w:rPr>
              <w:t xml:space="preserve"> </w:t>
            </w:r>
            <w:proofErr w:type="spellStart"/>
            <w:r w:rsidRPr="00062D3D">
              <w:rPr>
                <w:rFonts w:eastAsia="Times New Roman"/>
                <w:color w:val="000000"/>
                <w:lang w:val="es-AR"/>
              </w:rPr>
              <w:t>unemployment</w:t>
            </w:r>
            <w:proofErr w:type="spellEnd"/>
          </w:p>
        </w:tc>
      </w:tr>
      <w:tr w:rsidR="00062D3D" w:rsidRPr="00062D3D" w14:paraId="5C5EC029" w14:textId="77777777" w:rsidTr="00546537">
        <w:trPr>
          <w:trHeight w:val="288"/>
          <w:jc w:val="center"/>
        </w:trPr>
        <w:tc>
          <w:tcPr>
            <w:tcW w:w="3480" w:type="dxa"/>
            <w:tcBorders>
              <w:top w:val="nil"/>
              <w:left w:val="nil"/>
              <w:bottom w:val="nil"/>
              <w:right w:val="nil"/>
            </w:tcBorders>
            <w:shd w:val="clear" w:color="auto" w:fill="auto"/>
            <w:noWrap/>
            <w:vAlign w:val="center"/>
            <w:hideMark/>
          </w:tcPr>
          <w:p w14:paraId="38FBFF72"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lastRenderedPageBreak/>
              <w:t xml:space="preserve">Full </w:t>
            </w:r>
            <w:proofErr w:type="spellStart"/>
            <w:r w:rsidRPr="00062D3D">
              <w:rPr>
                <w:rFonts w:eastAsia="Times New Roman"/>
                <w:color w:val="000000"/>
                <w:lang w:val="es-AR"/>
              </w:rPr>
              <w:t>Sample</w:t>
            </w:r>
            <w:proofErr w:type="spellEnd"/>
          </w:p>
        </w:tc>
        <w:tc>
          <w:tcPr>
            <w:tcW w:w="1124" w:type="dxa"/>
            <w:tcBorders>
              <w:top w:val="nil"/>
              <w:left w:val="nil"/>
              <w:bottom w:val="nil"/>
              <w:right w:val="nil"/>
            </w:tcBorders>
            <w:shd w:val="clear" w:color="auto" w:fill="auto"/>
            <w:noWrap/>
            <w:vAlign w:val="center"/>
            <w:hideMark/>
          </w:tcPr>
          <w:p w14:paraId="368392B4"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0.02</w:t>
            </w:r>
          </w:p>
        </w:tc>
        <w:tc>
          <w:tcPr>
            <w:tcW w:w="1814" w:type="dxa"/>
            <w:tcBorders>
              <w:top w:val="nil"/>
              <w:left w:val="nil"/>
              <w:bottom w:val="nil"/>
              <w:right w:val="nil"/>
            </w:tcBorders>
            <w:shd w:val="clear" w:color="auto" w:fill="auto"/>
            <w:noWrap/>
            <w:vAlign w:val="center"/>
            <w:hideMark/>
          </w:tcPr>
          <w:p w14:paraId="709FD882"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0.05</w:t>
            </w:r>
          </w:p>
        </w:tc>
        <w:tc>
          <w:tcPr>
            <w:tcW w:w="1522" w:type="dxa"/>
            <w:tcBorders>
              <w:top w:val="nil"/>
              <w:left w:val="nil"/>
              <w:bottom w:val="nil"/>
              <w:right w:val="nil"/>
            </w:tcBorders>
            <w:shd w:val="clear" w:color="auto" w:fill="auto"/>
            <w:noWrap/>
            <w:vAlign w:val="center"/>
            <w:hideMark/>
          </w:tcPr>
          <w:p w14:paraId="3F41DA41"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-0.01</w:t>
            </w:r>
          </w:p>
        </w:tc>
      </w:tr>
      <w:tr w:rsidR="00062D3D" w:rsidRPr="00062D3D" w14:paraId="4C5D3CFF" w14:textId="77777777" w:rsidTr="00546537">
        <w:trPr>
          <w:trHeight w:val="288"/>
          <w:jc w:val="center"/>
        </w:trPr>
        <w:tc>
          <w:tcPr>
            <w:tcW w:w="3480" w:type="dxa"/>
            <w:tcBorders>
              <w:top w:val="nil"/>
              <w:left w:val="nil"/>
              <w:bottom w:val="nil"/>
              <w:right w:val="nil"/>
            </w:tcBorders>
            <w:shd w:val="clear" w:color="auto" w:fill="auto"/>
            <w:noWrap/>
            <w:vAlign w:val="center"/>
            <w:hideMark/>
          </w:tcPr>
          <w:p w14:paraId="39FEC8D9" w14:textId="2F69F25A" w:rsidR="00062D3D" w:rsidRPr="00062D3D" w:rsidRDefault="00062D3D" w:rsidP="00546537">
            <w:pPr>
              <w:spacing w:after="0"/>
              <w:jc w:val="center"/>
              <w:rPr>
                <w:rFonts w:eastAsia="Times New Roman"/>
                <w:color w:val="000000"/>
                <w:lang w:val="es-AR"/>
              </w:rPr>
            </w:pPr>
            <w:proofErr w:type="spellStart"/>
            <w:r w:rsidRPr="00062D3D">
              <w:rPr>
                <w:rFonts w:eastAsia="Times New Roman"/>
                <w:color w:val="000000"/>
                <w:lang w:val="es-AR"/>
              </w:rPr>
              <w:t>Transition</w:t>
            </w:r>
            <w:proofErr w:type="spellEnd"/>
            <w:r w:rsidRPr="00062D3D">
              <w:rPr>
                <w:rFonts w:eastAsia="Times New Roman"/>
                <w:color w:val="000000"/>
                <w:lang w:val="es-AR"/>
              </w:rPr>
              <w:t xml:space="preserve"> </w:t>
            </w:r>
            <w:proofErr w:type="spellStart"/>
            <w:r w:rsidRPr="00062D3D">
              <w:rPr>
                <w:rFonts w:eastAsia="Times New Roman"/>
                <w:color w:val="000000"/>
                <w:lang w:val="es-AR"/>
              </w:rPr>
              <w:t>without</w:t>
            </w:r>
            <w:proofErr w:type="spellEnd"/>
            <w:r w:rsidRPr="00062D3D">
              <w:rPr>
                <w:rFonts w:eastAsia="Times New Roman"/>
                <w:color w:val="000000"/>
                <w:lang w:val="es-AR"/>
              </w:rPr>
              <w:t xml:space="preserve"> </w:t>
            </w:r>
            <w:proofErr w:type="spellStart"/>
            <w:r w:rsidRPr="00062D3D">
              <w:rPr>
                <w:rFonts w:eastAsia="Times New Roman"/>
                <w:color w:val="000000"/>
                <w:lang w:val="es-AR"/>
              </w:rPr>
              <w:t>unemployment</w:t>
            </w:r>
            <w:proofErr w:type="spellEnd"/>
          </w:p>
        </w:tc>
        <w:tc>
          <w:tcPr>
            <w:tcW w:w="1124" w:type="dxa"/>
            <w:tcBorders>
              <w:top w:val="nil"/>
              <w:left w:val="nil"/>
              <w:bottom w:val="nil"/>
              <w:right w:val="nil"/>
            </w:tcBorders>
            <w:shd w:val="clear" w:color="auto" w:fill="auto"/>
            <w:noWrap/>
            <w:vAlign w:val="center"/>
            <w:hideMark/>
          </w:tcPr>
          <w:p w14:paraId="7E6C1282"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0.03*</w:t>
            </w:r>
          </w:p>
        </w:tc>
        <w:tc>
          <w:tcPr>
            <w:tcW w:w="1814" w:type="dxa"/>
            <w:tcBorders>
              <w:top w:val="nil"/>
              <w:left w:val="nil"/>
              <w:bottom w:val="nil"/>
              <w:right w:val="nil"/>
            </w:tcBorders>
            <w:shd w:val="clear" w:color="auto" w:fill="auto"/>
            <w:noWrap/>
            <w:vAlign w:val="center"/>
            <w:hideMark/>
          </w:tcPr>
          <w:p w14:paraId="130EF1BA"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0.06*</w:t>
            </w:r>
          </w:p>
        </w:tc>
        <w:tc>
          <w:tcPr>
            <w:tcW w:w="1522" w:type="dxa"/>
            <w:tcBorders>
              <w:top w:val="nil"/>
              <w:left w:val="nil"/>
              <w:bottom w:val="nil"/>
              <w:right w:val="nil"/>
            </w:tcBorders>
            <w:shd w:val="clear" w:color="auto" w:fill="auto"/>
            <w:noWrap/>
            <w:vAlign w:val="center"/>
            <w:hideMark/>
          </w:tcPr>
          <w:p w14:paraId="3F5C20A5"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-0.01</w:t>
            </w:r>
          </w:p>
        </w:tc>
      </w:tr>
      <w:tr w:rsidR="00062D3D" w:rsidRPr="00062D3D" w14:paraId="44BDEAA7" w14:textId="77777777" w:rsidTr="00546537">
        <w:trPr>
          <w:trHeight w:val="576"/>
          <w:jc w:val="center"/>
        </w:trPr>
        <w:tc>
          <w:tcPr>
            <w:tcW w:w="3480" w:type="dxa"/>
            <w:tcBorders>
              <w:top w:val="nil"/>
              <w:left w:val="nil"/>
              <w:bottom w:val="single" w:sz="4" w:space="0" w:color="auto"/>
              <w:right w:val="nil"/>
            </w:tcBorders>
            <w:shd w:val="clear" w:color="auto" w:fill="auto"/>
            <w:noWrap/>
            <w:vAlign w:val="center"/>
            <w:hideMark/>
          </w:tcPr>
          <w:p w14:paraId="2FF9E16C" w14:textId="77777777" w:rsidR="00062D3D" w:rsidRPr="00062D3D" w:rsidRDefault="00062D3D" w:rsidP="00546537">
            <w:pPr>
              <w:spacing w:after="0"/>
              <w:jc w:val="center"/>
              <w:rPr>
                <w:rFonts w:eastAsia="Times New Roman"/>
                <w:color w:val="000000"/>
                <w:lang w:val="es-AR"/>
              </w:rPr>
            </w:pPr>
            <w:proofErr w:type="spellStart"/>
            <w:r w:rsidRPr="00062D3D">
              <w:rPr>
                <w:rFonts w:eastAsia="Times New Roman"/>
                <w:color w:val="000000"/>
                <w:lang w:val="es-AR"/>
              </w:rPr>
              <w:t>Transition</w:t>
            </w:r>
            <w:proofErr w:type="spellEnd"/>
            <w:r w:rsidRPr="00062D3D">
              <w:rPr>
                <w:rFonts w:eastAsia="Times New Roman"/>
                <w:color w:val="000000"/>
                <w:lang w:val="es-AR"/>
              </w:rPr>
              <w:t xml:space="preserve"> </w:t>
            </w:r>
            <w:proofErr w:type="spellStart"/>
            <w:r w:rsidRPr="00062D3D">
              <w:rPr>
                <w:rFonts w:eastAsia="Times New Roman"/>
                <w:color w:val="000000"/>
                <w:lang w:val="es-AR"/>
              </w:rPr>
              <w:t>with</w:t>
            </w:r>
            <w:proofErr w:type="spellEnd"/>
            <w:r w:rsidRPr="00062D3D">
              <w:rPr>
                <w:rFonts w:eastAsia="Times New Roman"/>
                <w:color w:val="000000"/>
                <w:lang w:val="es-AR"/>
              </w:rPr>
              <w:t xml:space="preserve"> </w:t>
            </w:r>
            <w:proofErr w:type="spellStart"/>
            <w:r w:rsidRPr="00062D3D">
              <w:rPr>
                <w:rFonts w:eastAsia="Times New Roman"/>
                <w:color w:val="000000"/>
                <w:lang w:val="es-AR"/>
              </w:rPr>
              <w:t>unemployment</w:t>
            </w:r>
            <w:proofErr w:type="spellEnd"/>
          </w:p>
        </w:tc>
        <w:tc>
          <w:tcPr>
            <w:tcW w:w="1124" w:type="dxa"/>
            <w:tcBorders>
              <w:top w:val="nil"/>
              <w:left w:val="nil"/>
              <w:bottom w:val="single" w:sz="4" w:space="0" w:color="auto"/>
              <w:right w:val="nil"/>
            </w:tcBorders>
            <w:shd w:val="clear" w:color="auto" w:fill="auto"/>
            <w:noWrap/>
            <w:vAlign w:val="center"/>
            <w:hideMark/>
          </w:tcPr>
          <w:p w14:paraId="2049BD75"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0.02</w:t>
            </w:r>
          </w:p>
        </w:tc>
        <w:tc>
          <w:tcPr>
            <w:tcW w:w="1814" w:type="dxa"/>
            <w:tcBorders>
              <w:top w:val="nil"/>
              <w:left w:val="nil"/>
              <w:bottom w:val="single" w:sz="4" w:space="0" w:color="auto"/>
              <w:right w:val="nil"/>
            </w:tcBorders>
            <w:shd w:val="clear" w:color="auto" w:fill="auto"/>
            <w:noWrap/>
            <w:vAlign w:val="center"/>
            <w:hideMark/>
          </w:tcPr>
          <w:p w14:paraId="47F60772"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0.04</w:t>
            </w:r>
          </w:p>
        </w:tc>
        <w:tc>
          <w:tcPr>
            <w:tcW w:w="1522" w:type="dxa"/>
            <w:tcBorders>
              <w:top w:val="nil"/>
              <w:left w:val="nil"/>
              <w:bottom w:val="single" w:sz="4" w:space="0" w:color="auto"/>
              <w:right w:val="nil"/>
            </w:tcBorders>
            <w:shd w:val="clear" w:color="auto" w:fill="auto"/>
            <w:noWrap/>
            <w:vAlign w:val="center"/>
            <w:hideMark/>
          </w:tcPr>
          <w:p w14:paraId="4488875E" w14:textId="77777777" w:rsidR="00062D3D" w:rsidRPr="00062D3D" w:rsidRDefault="00062D3D" w:rsidP="00546537">
            <w:pPr>
              <w:spacing w:after="0"/>
              <w:jc w:val="center"/>
              <w:rPr>
                <w:rFonts w:eastAsia="Times New Roman"/>
                <w:color w:val="000000"/>
                <w:lang w:val="es-AR"/>
              </w:rPr>
            </w:pPr>
            <w:r w:rsidRPr="00062D3D">
              <w:rPr>
                <w:rFonts w:eastAsia="Times New Roman"/>
                <w:color w:val="000000"/>
                <w:lang w:val="es-AR"/>
              </w:rPr>
              <w:t>0.004</w:t>
            </w:r>
          </w:p>
        </w:tc>
      </w:tr>
    </w:tbl>
    <w:p w14:paraId="00978339" w14:textId="7270277D" w:rsidR="00062D3D" w:rsidRDefault="00062D3D" w:rsidP="00546537">
      <w:pPr>
        <w:pBdr>
          <w:top w:val="nil"/>
          <w:left w:val="nil"/>
          <w:bottom w:val="nil"/>
          <w:right w:val="nil"/>
          <w:between w:val="nil"/>
        </w:pBdr>
        <w:spacing w:after="0"/>
        <w:rPr>
          <w:lang w:val="en"/>
        </w:rPr>
      </w:pPr>
      <w:r w:rsidRPr="00546537">
        <w:rPr>
          <w:b/>
          <w:bCs/>
          <w:lang w:val="en"/>
        </w:rPr>
        <w:t>Table 1</w:t>
      </w:r>
      <w:r>
        <w:rPr>
          <w:lang w:val="en"/>
        </w:rPr>
        <w:t xml:space="preserve">. Estimated coefficients of the similarity between occupations. Each regression has a dependent variable the quarterly change in hourly real wage at the beginning and the end of a job transition. </w:t>
      </w:r>
      <w:r w:rsidR="00EC1C5E">
        <w:rPr>
          <w:lang w:val="en"/>
        </w:rPr>
        <w:t>Independent</w:t>
      </w:r>
      <w:r>
        <w:rPr>
          <w:lang w:val="en"/>
        </w:rPr>
        <w:t xml:space="preserve"> variables include the similarity between occupations, industries, two dummies that captures whether the worker was employed in a high paying industry before and after the transition, and two categorical variables that capture the employment relationship after and before the transition (independent worker, formal wage worker and informal wage worker) and time (year) dummies. * p value less than 10%.</w:t>
      </w:r>
    </w:p>
    <w:p w14:paraId="0F3F13EB" w14:textId="77777777" w:rsidR="00027292" w:rsidRPr="00DE1196" w:rsidRDefault="00027292" w:rsidP="00546537">
      <w:pPr>
        <w:pBdr>
          <w:top w:val="nil"/>
          <w:left w:val="nil"/>
          <w:bottom w:val="nil"/>
          <w:right w:val="nil"/>
          <w:between w:val="nil"/>
        </w:pBdr>
        <w:spacing w:line="360" w:lineRule="auto"/>
        <w:rPr>
          <w:lang w:val="en-US"/>
        </w:rPr>
      </w:pPr>
    </w:p>
    <w:p w14:paraId="42F7D1A4" w14:textId="2A1A95AB" w:rsidR="00565305" w:rsidRPr="00DE1196" w:rsidRDefault="00A76350" w:rsidP="00546537">
      <w:pPr>
        <w:pBdr>
          <w:top w:val="nil"/>
          <w:left w:val="nil"/>
          <w:bottom w:val="nil"/>
          <w:right w:val="nil"/>
          <w:between w:val="nil"/>
        </w:pBdr>
        <w:spacing w:line="360" w:lineRule="auto"/>
        <w:rPr>
          <w:lang w:val="en-US"/>
        </w:rPr>
      </w:pPr>
      <w:r>
        <w:rPr>
          <w:lang w:val="en-US"/>
        </w:rPr>
        <w:t xml:space="preserve">That the link between occupation similarity and wage change is </w:t>
      </w:r>
      <w:r w:rsidR="007F0866">
        <w:rPr>
          <w:lang w:val="en-US"/>
        </w:rPr>
        <w:t>neater</w:t>
      </w:r>
      <w:r>
        <w:rPr>
          <w:lang w:val="en-US"/>
        </w:rPr>
        <w:t xml:space="preserve"> when working with the sample of workers that did not go through employment might the sign </w:t>
      </w:r>
      <w:r w:rsidR="007F0866">
        <w:rPr>
          <w:lang w:val="en-US"/>
        </w:rPr>
        <w:t xml:space="preserve">that workers that transitioned through a stage of unemployment are prone to switch occupations without benefiting from the specificity of their human capital, but are instead trying to find any job that is offered to them and can be secured. In this sense, the subsample of job-to-job transitions that did not go through unemployment is more likely to capture the occupational specificity of human capital and </w:t>
      </w:r>
      <w:proofErr w:type="gramStart"/>
      <w:r w:rsidR="007F0866">
        <w:rPr>
          <w:lang w:val="en-US"/>
        </w:rPr>
        <w:t>it</w:t>
      </w:r>
      <w:proofErr w:type="gramEnd"/>
      <w:r w:rsidR="007F0866">
        <w:rPr>
          <w:lang w:val="en-US"/>
        </w:rPr>
        <w:t xml:space="preserve"> relationship with wage changes. </w:t>
      </w:r>
    </w:p>
    <w:p w14:paraId="38325D6A" w14:textId="08931A7E" w:rsidR="00565305" w:rsidRPr="00DE1196" w:rsidRDefault="00565305" w:rsidP="00546537">
      <w:pPr>
        <w:pBdr>
          <w:top w:val="nil"/>
          <w:left w:val="nil"/>
          <w:bottom w:val="nil"/>
          <w:right w:val="nil"/>
          <w:between w:val="nil"/>
        </w:pBdr>
        <w:spacing w:line="360" w:lineRule="auto"/>
        <w:rPr>
          <w:lang w:val="en-US"/>
        </w:rPr>
      </w:pPr>
      <w:r>
        <w:rPr>
          <w:lang w:val="en"/>
        </w:rPr>
        <w:t>However, the models seem to explain a very small part of the total variability of the data. For example, the value of R2 is always</w:t>
      </w:r>
      <w:r w:rsidR="00027292">
        <w:rPr>
          <w:lang w:val="en"/>
        </w:rPr>
        <w:t xml:space="preserve"> in the range of</w:t>
      </w:r>
      <w:r>
        <w:rPr>
          <w:lang w:val="en"/>
        </w:rPr>
        <w:t xml:space="preserve"> 1%</w:t>
      </w:r>
      <w:r w:rsidR="00027292">
        <w:rPr>
          <w:lang w:val="en"/>
        </w:rPr>
        <w:t xml:space="preserve"> and 3%</w:t>
      </w:r>
      <w:r>
        <w:rPr>
          <w:lang w:val="en"/>
        </w:rPr>
        <w:t>. It is difficult to understand whether this value is high or low because the literature</w:t>
      </w:r>
      <w:r w:rsidR="00D027E3">
        <w:rPr>
          <w:lang w:val="en"/>
        </w:rPr>
        <w:t xml:space="preserve"> </w:t>
      </w:r>
      <w:r>
        <w:rPr>
          <w:lang w:val="en"/>
        </w:rPr>
        <w:t>has not deeply researched short-term changes in work</w:t>
      </w:r>
      <w:r w:rsidR="00D027E3">
        <w:rPr>
          <w:lang w:val="en"/>
        </w:rPr>
        <w:t xml:space="preserve"> </w:t>
      </w:r>
      <w:r>
        <w:rPr>
          <w:lang w:val="en"/>
        </w:rPr>
        <w:t>transitions.</w:t>
      </w:r>
    </w:p>
    <w:p w14:paraId="11D01E6E" w14:textId="77777777" w:rsidR="000E3786" w:rsidRPr="00DE1196" w:rsidRDefault="000E3786" w:rsidP="00A54C8C">
      <w:pPr>
        <w:pStyle w:val="Heading2"/>
        <w:rPr>
          <w:lang w:val="en-US"/>
        </w:rPr>
      </w:pPr>
      <w:bookmarkStart w:id="17" w:name="_w55j7jj6e1it" w:colFirst="0" w:colLast="0"/>
      <w:bookmarkEnd w:id="17"/>
      <w:r>
        <w:rPr>
          <w:lang w:val="en"/>
        </w:rPr>
        <w:t>Conclusion</w:t>
      </w:r>
    </w:p>
    <w:p w14:paraId="782C2911" w14:textId="20B709D3" w:rsidR="000E3786" w:rsidRPr="00DE1196" w:rsidRDefault="00D850C6" w:rsidP="00A54C8C">
      <w:pPr>
        <w:pBdr>
          <w:top w:val="nil"/>
          <w:left w:val="nil"/>
          <w:bottom w:val="nil"/>
          <w:right w:val="nil"/>
          <w:between w:val="nil"/>
        </w:pBdr>
        <w:spacing w:line="360" w:lineRule="auto"/>
        <w:rPr>
          <w:lang w:val="en"/>
        </w:rPr>
      </w:pPr>
      <w:r>
        <w:rPr>
          <w:lang w:val="en"/>
        </w:rPr>
        <w:t xml:space="preserve">The ability of workers to reconvert their workforces at the lowest </w:t>
      </w:r>
      <w:r w:rsidR="00531701">
        <w:rPr>
          <w:lang w:val="en"/>
        </w:rPr>
        <w:t>possible</w:t>
      </w:r>
      <w:r>
        <w:rPr>
          <w:lang w:val="en"/>
        </w:rPr>
        <w:t xml:space="preserve"> cost </w:t>
      </w:r>
      <w:r w:rsidR="007024C6">
        <w:rPr>
          <w:lang w:val="en"/>
        </w:rPr>
        <w:t xml:space="preserve">has been forced </w:t>
      </w:r>
      <w:r w:rsidR="00531701">
        <w:rPr>
          <w:lang w:val="en"/>
        </w:rPr>
        <w:t>in</w:t>
      </w:r>
      <w:r w:rsidR="007024C6">
        <w:rPr>
          <w:lang w:val="en"/>
        </w:rPr>
        <w:t xml:space="preserve">to the heart of the </w:t>
      </w:r>
      <w:r w:rsidR="008D2C54">
        <w:rPr>
          <w:lang w:val="en"/>
        </w:rPr>
        <w:t xml:space="preserve">discussion </w:t>
      </w:r>
      <w:proofErr w:type="gramStart"/>
      <w:r w:rsidR="008D2C54">
        <w:rPr>
          <w:lang w:val="en"/>
        </w:rPr>
        <w:t>as a consequence of</w:t>
      </w:r>
      <w:proofErr w:type="gramEnd"/>
      <w:r w:rsidR="008D2C54">
        <w:rPr>
          <w:lang w:val="en"/>
        </w:rPr>
        <w:t xml:space="preserve"> technological change and trade openness.</w:t>
      </w:r>
      <w:r w:rsidR="00531701">
        <w:rPr>
          <w:lang w:val="en"/>
        </w:rPr>
        <w:t xml:space="preserve"> </w:t>
      </w:r>
      <w:r w:rsidR="000E3786">
        <w:rPr>
          <w:lang w:val="en"/>
        </w:rPr>
        <w:t>A key question to know the cost of conversion is how general or "portable" our human capital is.</w:t>
      </w:r>
    </w:p>
    <w:p w14:paraId="5130597A" w14:textId="31EE61AA" w:rsidR="000E3786" w:rsidRPr="00DE1196" w:rsidRDefault="000E3786" w:rsidP="00A54C8C">
      <w:pPr>
        <w:pBdr>
          <w:top w:val="nil"/>
          <w:left w:val="nil"/>
          <w:bottom w:val="nil"/>
          <w:right w:val="nil"/>
          <w:between w:val="nil"/>
        </w:pBdr>
        <w:spacing w:line="360" w:lineRule="auto"/>
        <w:rPr>
          <w:lang w:val="en-US"/>
        </w:rPr>
      </w:pPr>
      <w:r>
        <w:rPr>
          <w:lang w:val="en"/>
        </w:rPr>
        <w:t xml:space="preserve">Various research has pointed to this question, virtually exclusively in developing countries and using household survey data. Although there is no evidence in developing countries, </w:t>
      </w:r>
      <w:proofErr w:type="spellStart"/>
      <w:r>
        <w:rPr>
          <w:lang w:val="en"/>
        </w:rPr>
        <w:t>Montané</w:t>
      </w:r>
      <w:proofErr w:type="spellEnd"/>
      <w:r>
        <w:rPr>
          <w:lang w:val="en"/>
        </w:rPr>
        <w:t xml:space="preserve"> and Sartorio (2019) and De </w:t>
      </w:r>
      <w:proofErr w:type="spellStart"/>
      <w:r>
        <w:rPr>
          <w:lang w:val="en"/>
        </w:rPr>
        <w:t>Raco</w:t>
      </w:r>
      <w:proofErr w:type="spellEnd"/>
      <w:r>
        <w:rPr>
          <w:lang w:val="en"/>
        </w:rPr>
        <w:t xml:space="preserve"> and </w:t>
      </w:r>
      <w:proofErr w:type="spellStart"/>
      <w:r>
        <w:rPr>
          <w:lang w:val="en"/>
        </w:rPr>
        <w:t>Semeshenko</w:t>
      </w:r>
      <w:proofErr w:type="spellEnd"/>
      <w:r>
        <w:rPr>
          <w:lang w:val="en"/>
        </w:rPr>
        <w:t xml:space="preserve"> (2019) independently studied the similarity between sectors of activity and occupations, showing that there </w:t>
      </w:r>
      <w:r w:rsidR="009B504D">
        <w:rPr>
          <w:lang w:val="en"/>
        </w:rPr>
        <w:t>are</w:t>
      </w:r>
      <w:r w:rsidR="00E5214F">
        <w:rPr>
          <w:lang w:val="en"/>
        </w:rPr>
        <w:t xml:space="preserve"> certain</w:t>
      </w:r>
      <w:r>
        <w:rPr>
          <w:lang w:val="en"/>
        </w:rPr>
        <w:t xml:space="preserve"> changes between the sector of activity and occupation that are often more common than others, indicating a certain preference revealed by workers or geographical dependence on the labor market.</w:t>
      </w:r>
    </w:p>
    <w:p w14:paraId="46E5712A" w14:textId="0FF46068" w:rsidR="000E3786" w:rsidRPr="00DE1196" w:rsidRDefault="000E3786" w:rsidP="00A54C8C">
      <w:pPr>
        <w:pBdr>
          <w:top w:val="nil"/>
          <w:left w:val="nil"/>
          <w:bottom w:val="nil"/>
          <w:right w:val="nil"/>
          <w:between w:val="nil"/>
        </w:pBdr>
        <w:spacing w:line="360" w:lineRule="auto"/>
        <w:rPr>
          <w:lang w:val="en-US"/>
        </w:rPr>
      </w:pPr>
      <w:r>
        <w:rPr>
          <w:lang w:val="en"/>
        </w:rPr>
        <w:t>This work used public data prepared by the Institute of Statistics and Census of Argentina (INDEC)</w:t>
      </w:r>
      <w:r w:rsidR="00E7456D">
        <w:rPr>
          <w:lang w:val="en"/>
        </w:rPr>
        <w:t>. Th</w:t>
      </w:r>
      <w:r w:rsidR="003F7898">
        <w:rPr>
          <w:lang w:val="en"/>
        </w:rPr>
        <w:t>is</w:t>
      </w:r>
      <w:r w:rsidR="00E7456D">
        <w:rPr>
          <w:lang w:val="en"/>
        </w:rPr>
        <w:t xml:space="preserve"> </w:t>
      </w:r>
      <w:r w:rsidR="0019365C">
        <w:rPr>
          <w:lang w:val="en"/>
        </w:rPr>
        <w:t>data was used</w:t>
      </w:r>
      <w:r>
        <w:rPr>
          <w:lang w:val="en"/>
        </w:rPr>
        <w:t xml:space="preserve"> </w:t>
      </w:r>
      <w:commentRangeStart w:id="18"/>
      <w:r>
        <w:rPr>
          <w:lang w:val="en"/>
        </w:rPr>
        <w:t xml:space="preserve">to investigate the pattern of occupational movement of workers and link those changes with the </w:t>
      </w:r>
      <w:r w:rsidR="00836698">
        <w:rPr>
          <w:lang w:val="en"/>
        </w:rPr>
        <w:t>variations</w:t>
      </w:r>
      <w:r>
        <w:rPr>
          <w:lang w:val="en"/>
        </w:rPr>
        <w:t xml:space="preserve"> in time</w:t>
      </w:r>
      <w:r w:rsidR="00836698">
        <w:rPr>
          <w:lang w:val="en"/>
        </w:rPr>
        <w:t>-</w:t>
      </w:r>
      <w:r>
        <w:rPr>
          <w:lang w:val="en"/>
        </w:rPr>
        <w:t xml:space="preserve">wage when they change jobs. </w:t>
      </w:r>
      <w:commentRangeEnd w:id="18"/>
      <w:r w:rsidR="002C21BD">
        <w:rPr>
          <w:rStyle w:val="CommentReference"/>
        </w:rPr>
        <w:commentReference w:id="18"/>
      </w:r>
      <w:r>
        <w:rPr>
          <w:lang w:val="en"/>
        </w:rPr>
        <w:t xml:space="preserve">The data source was the Permanent </w:t>
      </w:r>
      <w:r>
        <w:rPr>
          <w:lang w:val="en"/>
        </w:rPr>
        <w:lastRenderedPageBreak/>
        <w:t xml:space="preserve">Household Survey (EPH), </w:t>
      </w:r>
      <w:r w:rsidR="00EF65E6">
        <w:rPr>
          <w:lang w:val="en"/>
        </w:rPr>
        <w:t>which counts with a</w:t>
      </w:r>
      <w:r>
        <w:rPr>
          <w:lang w:val="en"/>
        </w:rPr>
        <w:t xml:space="preserve"> rotati</w:t>
      </w:r>
      <w:r w:rsidR="00E97D19">
        <w:rPr>
          <w:lang w:val="en"/>
        </w:rPr>
        <w:t>ve</w:t>
      </w:r>
      <w:r>
        <w:rPr>
          <w:lang w:val="en"/>
        </w:rPr>
        <w:t xml:space="preserve"> panel </w:t>
      </w:r>
      <w:r w:rsidR="00EF65E6">
        <w:rPr>
          <w:lang w:val="en"/>
        </w:rPr>
        <w:t xml:space="preserve">that </w:t>
      </w:r>
      <w:r>
        <w:rPr>
          <w:lang w:val="en"/>
        </w:rPr>
        <w:t>allows to observe short-term trajectories in the urban population of Argentina, up to approximately 18 months.</w:t>
      </w:r>
    </w:p>
    <w:p w14:paraId="6B333BE9" w14:textId="5036FC22" w:rsidR="000E3786" w:rsidRPr="00DE1196" w:rsidRDefault="000E3786" w:rsidP="00A54C8C">
      <w:pPr>
        <w:pBdr>
          <w:top w:val="nil"/>
          <w:left w:val="nil"/>
          <w:bottom w:val="nil"/>
          <w:right w:val="nil"/>
          <w:between w:val="nil"/>
        </w:pBdr>
        <w:spacing w:line="360" w:lineRule="auto"/>
        <w:rPr>
          <w:lang w:val="en-US"/>
        </w:rPr>
      </w:pPr>
      <w:r>
        <w:rPr>
          <w:lang w:val="en"/>
        </w:rPr>
        <w:t xml:space="preserve">First, it was found that workers often switch between occupations that are mainly close in the National Catalogue of Occupations (CNO) listing, while no transitions are detected between many occupations. The resulting distance matrix is a sparse </w:t>
      </w:r>
      <w:r w:rsidR="00A76350">
        <w:rPr>
          <w:lang w:val="en"/>
        </w:rPr>
        <w:t>matrix</w:t>
      </w:r>
      <w:r>
        <w:rPr>
          <w:lang w:val="en"/>
        </w:rPr>
        <w:t xml:space="preserve">, with many values close to -1, the lower bound of the similarity measure, and a smaller number of </w:t>
      </w:r>
      <w:r w:rsidR="00A76350">
        <w:rPr>
          <w:lang w:val="en"/>
        </w:rPr>
        <w:t>occupation</w:t>
      </w:r>
      <w:r>
        <w:rPr>
          <w:lang w:val="en"/>
        </w:rPr>
        <w:t xml:space="preserve"> pairs </w:t>
      </w:r>
      <w:r w:rsidR="00A76350">
        <w:rPr>
          <w:lang w:val="en"/>
        </w:rPr>
        <w:t>showing an intense attraction</w:t>
      </w:r>
      <w:r>
        <w:rPr>
          <w:lang w:val="en"/>
        </w:rPr>
        <w:t>.</w:t>
      </w:r>
    </w:p>
    <w:p w14:paraId="278E49D0" w14:textId="22B0E3F8" w:rsidR="000E3786" w:rsidRPr="00DE1196" w:rsidRDefault="000E3786" w:rsidP="00A54C8C">
      <w:pPr>
        <w:pBdr>
          <w:top w:val="nil"/>
          <w:left w:val="nil"/>
          <w:bottom w:val="nil"/>
          <w:right w:val="nil"/>
          <w:between w:val="nil"/>
        </w:pBdr>
        <w:spacing w:line="360" w:lineRule="auto"/>
        <w:rPr>
          <w:lang w:val="en-US"/>
        </w:rPr>
      </w:pPr>
      <w:r>
        <w:rPr>
          <w:lang w:val="en"/>
        </w:rPr>
        <w:t xml:space="preserve">Second, several versions of a model that attempts to explain the variation in wages between previous and subsequent work were estimated. Several subsamples were </w:t>
      </w:r>
      <w:r w:rsidR="00205502">
        <w:rPr>
          <w:lang w:val="en"/>
        </w:rPr>
        <w:t>tested,</w:t>
      </w:r>
      <w:r>
        <w:rPr>
          <w:lang w:val="en"/>
        </w:rPr>
        <w:t xml:space="preserve"> </w:t>
      </w:r>
      <w:r w:rsidR="000945AC">
        <w:rPr>
          <w:lang w:val="en"/>
        </w:rPr>
        <w:t xml:space="preserve">and, in </w:t>
      </w:r>
      <w:r w:rsidR="007F0866">
        <w:rPr>
          <w:lang w:val="en"/>
        </w:rPr>
        <w:t>most</w:t>
      </w:r>
      <w:r w:rsidR="000945AC">
        <w:rPr>
          <w:lang w:val="en"/>
        </w:rPr>
        <w:t xml:space="preserve"> cases,</w:t>
      </w:r>
      <w:r w:rsidR="008A6B7B">
        <w:rPr>
          <w:lang w:val="en"/>
        </w:rPr>
        <w:t xml:space="preserve"> </w:t>
      </w:r>
      <w:r>
        <w:rPr>
          <w:lang w:val="en"/>
        </w:rPr>
        <w:t xml:space="preserve">a positive coefficient associated with distance measurement and hourly pay was obtained. In the preferred specification, where </w:t>
      </w:r>
      <w:r w:rsidR="007F0866">
        <w:rPr>
          <w:lang w:val="en"/>
        </w:rPr>
        <w:t>the distance is created based on workers that did not transitioned through employment</w:t>
      </w:r>
      <w:r>
        <w:rPr>
          <w:lang w:val="en"/>
        </w:rPr>
        <w:t xml:space="preserve">, the coefficient is even larger and </w:t>
      </w:r>
      <w:r w:rsidR="007F0866">
        <w:rPr>
          <w:lang w:val="en"/>
        </w:rPr>
        <w:t>statistically s</w:t>
      </w:r>
      <w:r>
        <w:rPr>
          <w:lang w:val="en"/>
        </w:rPr>
        <w:t>ignificant</w:t>
      </w:r>
      <w:r w:rsidR="007F0866">
        <w:rPr>
          <w:lang w:val="en"/>
        </w:rPr>
        <w:t>.</w:t>
      </w:r>
      <w:r>
        <w:rPr>
          <w:lang w:val="en"/>
        </w:rPr>
        <w:t xml:space="preserve"> </w:t>
      </w:r>
    </w:p>
    <w:p w14:paraId="18B28742" w14:textId="567A2F1A" w:rsidR="000E3786" w:rsidRPr="00DE1196" w:rsidRDefault="000E3786" w:rsidP="00A54C8C">
      <w:pPr>
        <w:pBdr>
          <w:top w:val="nil"/>
          <w:left w:val="nil"/>
          <w:bottom w:val="nil"/>
          <w:right w:val="nil"/>
          <w:between w:val="nil"/>
        </w:pBdr>
        <w:spacing w:line="360" w:lineRule="auto"/>
        <w:rPr>
          <w:lang w:val="en-US"/>
        </w:rPr>
      </w:pPr>
      <w:r>
        <w:rPr>
          <w:lang w:val="en"/>
        </w:rPr>
        <w:t xml:space="preserve">Finally, this study has obvious limitations that need to be </w:t>
      </w:r>
      <w:proofErr w:type="gramStart"/>
      <w:r>
        <w:rPr>
          <w:lang w:val="en"/>
        </w:rPr>
        <w:t>taken into account</w:t>
      </w:r>
      <w:proofErr w:type="gramEnd"/>
      <w:r>
        <w:rPr>
          <w:lang w:val="en"/>
        </w:rPr>
        <w:t>. First, these are short-term transitions. It would be very useful to have information in panel data with a long-term vision in order to allocate the experience in each of the occupations of each of the workers. Secon</w:t>
      </w:r>
      <w:r w:rsidR="00D45DB3">
        <w:rPr>
          <w:lang w:val="en"/>
        </w:rPr>
        <w:t>d</w:t>
      </w:r>
      <w:r>
        <w:rPr>
          <w:lang w:val="en"/>
        </w:rPr>
        <w:t xml:space="preserve">, this is observational evidence, so </w:t>
      </w:r>
      <w:r w:rsidR="00D45DB3">
        <w:rPr>
          <w:lang w:val="en"/>
        </w:rPr>
        <w:t>one must</w:t>
      </w:r>
      <w:r w:rsidR="002F240F">
        <w:rPr>
          <w:lang w:val="en"/>
        </w:rPr>
        <w:t xml:space="preserve"> be</w:t>
      </w:r>
      <w:r>
        <w:rPr>
          <w:lang w:val="en"/>
        </w:rPr>
        <w:t xml:space="preserve"> careful with its causal interpretation.</w:t>
      </w:r>
    </w:p>
    <w:p w14:paraId="09AE8ECE" w14:textId="77777777" w:rsidR="00AB4A98" w:rsidRPr="00DE1196" w:rsidRDefault="00131924">
      <w:pPr>
        <w:pBdr>
          <w:top w:val="nil"/>
          <w:left w:val="nil"/>
          <w:bottom w:val="nil"/>
          <w:right w:val="nil"/>
          <w:between w:val="nil"/>
        </w:pBdr>
        <w:spacing w:line="360" w:lineRule="auto"/>
        <w:rPr>
          <w:lang w:val="en-US"/>
        </w:rPr>
      </w:pPr>
      <w:r w:rsidRPr="00DE1196">
        <w:rPr>
          <w:lang w:val="en-US"/>
        </w:rPr>
        <w:br w:type="page"/>
      </w:r>
    </w:p>
    <w:p w14:paraId="08A91ECD" w14:textId="132FB33D" w:rsidR="00AB4A98" w:rsidRDefault="00131924" w:rsidP="008B5CA6">
      <w:pPr>
        <w:pStyle w:val="Heading2"/>
      </w:pPr>
      <w:bookmarkStart w:id="19" w:name="_y0f14h4iqkgr" w:colFirst="0" w:colLast="0"/>
      <w:bookmarkEnd w:id="19"/>
      <w:proofErr w:type="spellStart"/>
      <w:r>
        <w:lastRenderedPageBreak/>
        <w:t>An</w:t>
      </w:r>
      <w:r w:rsidR="00EB313B">
        <w:t>n</w:t>
      </w:r>
      <w:r>
        <w:t>ex</w:t>
      </w:r>
      <w:proofErr w:type="spellEnd"/>
      <w:r w:rsidR="00853BB7">
        <w:t xml:space="preserve"> </w:t>
      </w:r>
      <w:r w:rsidR="0048259C">
        <w:t>1</w:t>
      </w:r>
    </w:p>
    <w:p w14:paraId="5B0F4728" w14:textId="77777777" w:rsidR="00AB4A98" w:rsidRDefault="00AB4A98"/>
    <w:tbl>
      <w:tblPr>
        <w:tblStyle w:val="3"/>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7950"/>
      </w:tblGrid>
      <w:tr w:rsidR="00AB4A98" w14:paraId="29DB9039"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29BB92" w14:textId="27FBED06" w:rsidR="00AB4A98" w:rsidRDefault="00D45DB3">
            <w:pPr>
              <w:widowControl w:val="0"/>
              <w:pBdr>
                <w:top w:val="nil"/>
                <w:left w:val="nil"/>
                <w:bottom w:val="nil"/>
                <w:right w:val="nil"/>
                <w:between w:val="nil"/>
              </w:pBdr>
              <w:spacing w:after="0" w:line="276" w:lineRule="auto"/>
              <w:jc w:val="center"/>
              <w:rPr>
                <w:b/>
                <w:sz w:val="20"/>
                <w:szCs w:val="20"/>
              </w:rPr>
            </w:pPr>
            <w:proofErr w:type="spellStart"/>
            <w:r>
              <w:rPr>
                <w:b/>
                <w:sz w:val="20"/>
                <w:szCs w:val="20"/>
              </w:rPr>
              <w:t>Code</w:t>
            </w:r>
            <w:proofErr w:type="spellEnd"/>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DBB6A" w14:textId="06C0CC0F" w:rsidR="00AB4A98" w:rsidRDefault="00D45DB3">
            <w:pPr>
              <w:widowControl w:val="0"/>
              <w:pBdr>
                <w:top w:val="nil"/>
                <w:left w:val="nil"/>
                <w:bottom w:val="nil"/>
                <w:right w:val="nil"/>
                <w:between w:val="nil"/>
              </w:pBdr>
              <w:spacing w:after="0" w:line="276" w:lineRule="auto"/>
              <w:jc w:val="center"/>
              <w:rPr>
                <w:b/>
                <w:sz w:val="20"/>
                <w:szCs w:val="20"/>
              </w:rPr>
            </w:pPr>
            <w:proofErr w:type="spellStart"/>
            <w:r>
              <w:rPr>
                <w:b/>
                <w:sz w:val="20"/>
                <w:szCs w:val="20"/>
              </w:rPr>
              <w:t>Description</w:t>
            </w:r>
            <w:proofErr w:type="spellEnd"/>
          </w:p>
        </w:tc>
      </w:tr>
      <w:tr w:rsidR="00AB4A98" w14:paraId="03D1DB67"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38B5D2"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0</w:t>
            </w:r>
          </w:p>
        </w:tc>
        <w:tc>
          <w:tcPr>
            <w:tcW w:w="7950" w:type="dxa"/>
            <w:tcMar>
              <w:top w:w="100" w:type="dxa"/>
              <w:left w:w="100" w:type="dxa"/>
              <w:bottom w:w="100" w:type="dxa"/>
              <w:right w:w="100" w:type="dxa"/>
            </w:tcMar>
          </w:tcPr>
          <w:p w14:paraId="05A41BF9" w14:textId="2D611CDD" w:rsidR="00D45DB3" w:rsidRDefault="00957F4D">
            <w:pPr>
              <w:widowControl w:val="0"/>
              <w:pBdr>
                <w:top w:val="nil"/>
                <w:left w:val="nil"/>
                <w:bottom w:val="nil"/>
                <w:right w:val="nil"/>
                <w:between w:val="nil"/>
              </w:pBdr>
              <w:spacing w:after="0" w:line="276" w:lineRule="auto"/>
              <w:jc w:val="center"/>
              <w:rPr>
                <w:sz w:val="20"/>
                <w:szCs w:val="20"/>
              </w:rPr>
            </w:pPr>
            <w:proofErr w:type="spellStart"/>
            <w:r>
              <w:rPr>
                <w:sz w:val="20"/>
                <w:szCs w:val="20"/>
              </w:rPr>
              <w:t>Executive</w:t>
            </w:r>
            <w:proofErr w:type="spellEnd"/>
            <w:r>
              <w:rPr>
                <w:sz w:val="20"/>
                <w:szCs w:val="20"/>
              </w:rPr>
              <w:t xml:space="preserve"> </w:t>
            </w:r>
            <w:proofErr w:type="spellStart"/>
            <w:r>
              <w:rPr>
                <w:sz w:val="20"/>
                <w:szCs w:val="20"/>
              </w:rPr>
              <w:t>officials</w:t>
            </w:r>
            <w:proofErr w:type="spellEnd"/>
          </w:p>
        </w:tc>
      </w:tr>
      <w:tr w:rsidR="00AB4A98" w14:paraId="59BD792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DABDE2"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1</w:t>
            </w:r>
          </w:p>
        </w:tc>
        <w:tc>
          <w:tcPr>
            <w:tcW w:w="7950" w:type="dxa"/>
            <w:tcMar>
              <w:top w:w="100" w:type="dxa"/>
              <w:left w:w="100" w:type="dxa"/>
              <w:bottom w:w="100" w:type="dxa"/>
              <w:right w:w="100" w:type="dxa"/>
            </w:tcMar>
          </w:tcPr>
          <w:p w14:paraId="76B35B2B" w14:textId="019D13B8" w:rsidR="00663CDF" w:rsidRDefault="00663CDF">
            <w:pPr>
              <w:widowControl w:val="0"/>
              <w:pBdr>
                <w:top w:val="nil"/>
                <w:left w:val="nil"/>
                <w:bottom w:val="nil"/>
                <w:right w:val="nil"/>
                <w:between w:val="nil"/>
              </w:pBdr>
              <w:spacing w:after="0" w:line="276" w:lineRule="auto"/>
              <w:jc w:val="center"/>
              <w:rPr>
                <w:sz w:val="20"/>
                <w:szCs w:val="20"/>
              </w:rPr>
            </w:pPr>
            <w:proofErr w:type="spellStart"/>
            <w:r>
              <w:rPr>
                <w:sz w:val="20"/>
                <w:szCs w:val="20"/>
              </w:rPr>
              <w:t>Legislative</w:t>
            </w:r>
            <w:proofErr w:type="spellEnd"/>
            <w:r>
              <w:rPr>
                <w:sz w:val="20"/>
                <w:szCs w:val="20"/>
              </w:rPr>
              <w:t xml:space="preserve"> </w:t>
            </w:r>
            <w:proofErr w:type="spellStart"/>
            <w:r>
              <w:rPr>
                <w:sz w:val="20"/>
                <w:szCs w:val="20"/>
              </w:rPr>
              <w:t>officials</w:t>
            </w:r>
            <w:proofErr w:type="spellEnd"/>
          </w:p>
        </w:tc>
      </w:tr>
      <w:tr w:rsidR="00AB4A98" w14:paraId="534D0CE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DEBD9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2</w:t>
            </w:r>
          </w:p>
        </w:tc>
        <w:tc>
          <w:tcPr>
            <w:tcW w:w="7950" w:type="dxa"/>
            <w:tcMar>
              <w:top w:w="100" w:type="dxa"/>
              <w:left w:w="100" w:type="dxa"/>
              <w:bottom w:w="100" w:type="dxa"/>
              <w:right w:w="100" w:type="dxa"/>
            </w:tcMar>
          </w:tcPr>
          <w:p w14:paraId="001C2892" w14:textId="5B84F3F2" w:rsidR="00E7132A" w:rsidRDefault="001520CE">
            <w:pPr>
              <w:widowControl w:val="0"/>
              <w:pBdr>
                <w:top w:val="nil"/>
                <w:left w:val="nil"/>
                <w:bottom w:val="nil"/>
                <w:right w:val="nil"/>
                <w:between w:val="nil"/>
              </w:pBdr>
              <w:spacing w:after="0" w:line="276" w:lineRule="auto"/>
              <w:jc w:val="center"/>
              <w:rPr>
                <w:sz w:val="20"/>
                <w:szCs w:val="20"/>
              </w:rPr>
            </w:pPr>
            <w:proofErr w:type="spellStart"/>
            <w:r>
              <w:rPr>
                <w:sz w:val="20"/>
                <w:szCs w:val="20"/>
              </w:rPr>
              <w:t>Judici</w:t>
            </w:r>
            <w:r w:rsidR="00653EEF">
              <w:rPr>
                <w:sz w:val="20"/>
                <w:szCs w:val="20"/>
              </w:rPr>
              <w:t>ary</w:t>
            </w:r>
            <w:proofErr w:type="spellEnd"/>
            <w:r>
              <w:rPr>
                <w:sz w:val="20"/>
                <w:szCs w:val="20"/>
              </w:rPr>
              <w:t xml:space="preserve"> </w:t>
            </w:r>
            <w:proofErr w:type="spellStart"/>
            <w:r>
              <w:rPr>
                <w:sz w:val="20"/>
                <w:szCs w:val="20"/>
              </w:rPr>
              <w:t>officials</w:t>
            </w:r>
            <w:proofErr w:type="spellEnd"/>
          </w:p>
        </w:tc>
      </w:tr>
      <w:tr w:rsidR="00AB4A98" w:rsidRPr="00BF5447" w14:paraId="39E8A72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F5E08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w:t>
            </w:r>
          </w:p>
        </w:tc>
        <w:tc>
          <w:tcPr>
            <w:tcW w:w="7950" w:type="dxa"/>
            <w:tcMar>
              <w:top w:w="100" w:type="dxa"/>
              <w:left w:w="100" w:type="dxa"/>
              <w:bottom w:w="100" w:type="dxa"/>
              <w:right w:w="100" w:type="dxa"/>
            </w:tcMar>
          </w:tcPr>
          <w:p w14:paraId="6CB369A4" w14:textId="168F5F52" w:rsidR="001520CE" w:rsidRPr="00DE1196" w:rsidRDefault="008E7A96" w:rsidP="00DE1196">
            <w:pPr>
              <w:widowControl w:val="0"/>
              <w:pBdr>
                <w:top w:val="nil"/>
                <w:left w:val="nil"/>
                <w:bottom w:val="nil"/>
                <w:right w:val="nil"/>
                <w:between w:val="nil"/>
              </w:pBdr>
              <w:spacing w:after="0" w:line="276" w:lineRule="auto"/>
              <w:jc w:val="center"/>
              <w:rPr>
                <w:sz w:val="20"/>
                <w:szCs w:val="20"/>
                <w:lang w:val="en-US"/>
              </w:rPr>
            </w:pPr>
            <w:r>
              <w:rPr>
                <w:sz w:val="20"/>
                <w:szCs w:val="20"/>
                <w:lang w:val="en-US"/>
              </w:rPr>
              <w:t>Agencies</w:t>
            </w:r>
            <w:r w:rsidR="003257B8" w:rsidRPr="00DE1196">
              <w:rPr>
                <w:sz w:val="20"/>
                <w:szCs w:val="20"/>
                <w:lang w:val="en-US"/>
              </w:rPr>
              <w:t xml:space="preserve">, </w:t>
            </w:r>
            <w:r w:rsidR="00202EA2">
              <w:rPr>
                <w:sz w:val="20"/>
                <w:szCs w:val="20"/>
                <w:lang w:val="en-US"/>
              </w:rPr>
              <w:t>firms</w:t>
            </w:r>
            <w:r w:rsidR="003257B8" w:rsidRPr="00DE1196">
              <w:rPr>
                <w:sz w:val="20"/>
                <w:szCs w:val="20"/>
                <w:lang w:val="en-US"/>
              </w:rPr>
              <w:t xml:space="preserve"> and state</w:t>
            </w:r>
            <w:r>
              <w:rPr>
                <w:sz w:val="20"/>
                <w:szCs w:val="20"/>
                <w:lang w:val="en-US"/>
              </w:rPr>
              <w:t xml:space="preserve"> managers</w:t>
            </w:r>
          </w:p>
        </w:tc>
      </w:tr>
      <w:tr w:rsidR="00AB4A98" w14:paraId="6DDF77D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6220B9"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w:t>
            </w:r>
          </w:p>
        </w:tc>
        <w:tc>
          <w:tcPr>
            <w:tcW w:w="7950" w:type="dxa"/>
            <w:tcMar>
              <w:top w:w="100" w:type="dxa"/>
              <w:left w:w="100" w:type="dxa"/>
              <w:bottom w:w="100" w:type="dxa"/>
              <w:right w:w="100" w:type="dxa"/>
            </w:tcMar>
          </w:tcPr>
          <w:p w14:paraId="288E159A" w14:textId="15489433" w:rsidR="003257B8" w:rsidRDefault="0073165B">
            <w:pPr>
              <w:widowControl w:val="0"/>
              <w:pBdr>
                <w:top w:val="nil"/>
                <w:left w:val="nil"/>
                <w:bottom w:val="nil"/>
                <w:right w:val="nil"/>
                <w:between w:val="nil"/>
              </w:pBdr>
              <w:spacing w:after="0" w:line="276" w:lineRule="auto"/>
              <w:jc w:val="center"/>
              <w:rPr>
                <w:sz w:val="20"/>
                <w:szCs w:val="20"/>
              </w:rPr>
            </w:pPr>
            <w:r>
              <w:rPr>
                <w:sz w:val="20"/>
                <w:szCs w:val="20"/>
              </w:rPr>
              <w:t xml:space="preserve">Social </w:t>
            </w:r>
            <w:proofErr w:type="spellStart"/>
            <w:r w:rsidR="003257B8">
              <w:rPr>
                <w:sz w:val="20"/>
                <w:szCs w:val="20"/>
              </w:rPr>
              <w:t>institution</w:t>
            </w:r>
            <w:proofErr w:type="spellEnd"/>
            <w:r>
              <w:rPr>
                <w:sz w:val="20"/>
                <w:szCs w:val="20"/>
              </w:rPr>
              <w:t xml:space="preserve"> managers</w:t>
            </w:r>
          </w:p>
        </w:tc>
      </w:tr>
      <w:tr w:rsidR="00AB4A98" w14:paraId="4D8B2F7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05EE44"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w:t>
            </w:r>
          </w:p>
        </w:tc>
        <w:tc>
          <w:tcPr>
            <w:tcW w:w="7950" w:type="dxa"/>
            <w:tcMar>
              <w:top w:w="100" w:type="dxa"/>
              <w:left w:w="100" w:type="dxa"/>
              <w:bottom w:w="100" w:type="dxa"/>
              <w:right w:w="100" w:type="dxa"/>
            </w:tcMar>
          </w:tcPr>
          <w:p w14:paraId="4B927B26" w14:textId="1C6A1FFA" w:rsidR="003257B8" w:rsidRDefault="0073165B">
            <w:pPr>
              <w:widowControl w:val="0"/>
              <w:pBdr>
                <w:top w:val="nil"/>
                <w:left w:val="nil"/>
                <w:bottom w:val="nil"/>
                <w:right w:val="nil"/>
                <w:between w:val="nil"/>
              </w:pBdr>
              <w:spacing w:after="0" w:line="276" w:lineRule="auto"/>
              <w:jc w:val="center"/>
              <w:rPr>
                <w:sz w:val="20"/>
                <w:szCs w:val="20"/>
              </w:rPr>
            </w:pPr>
            <w:r>
              <w:rPr>
                <w:sz w:val="20"/>
                <w:szCs w:val="20"/>
              </w:rPr>
              <w:t xml:space="preserve">Small </w:t>
            </w:r>
            <w:proofErr w:type="spellStart"/>
            <w:r w:rsidR="00202EA2">
              <w:rPr>
                <w:sz w:val="20"/>
                <w:szCs w:val="20"/>
              </w:rPr>
              <w:t>firm</w:t>
            </w:r>
            <w:proofErr w:type="spellEnd"/>
            <w:r>
              <w:rPr>
                <w:sz w:val="20"/>
                <w:szCs w:val="20"/>
              </w:rPr>
              <w:t xml:space="preserve"> managers</w:t>
            </w:r>
          </w:p>
        </w:tc>
      </w:tr>
      <w:tr w:rsidR="00AB4A98" w14:paraId="464A9A9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A950E1"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w:t>
            </w:r>
          </w:p>
        </w:tc>
        <w:tc>
          <w:tcPr>
            <w:tcW w:w="7950" w:type="dxa"/>
            <w:tcMar>
              <w:top w:w="100" w:type="dxa"/>
              <w:left w:w="100" w:type="dxa"/>
              <w:bottom w:w="100" w:type="dxa"/>
              <w:right w:w="100" w:type="dxa"/>
            </w:tcMar>
          </w:tcPr>
          <w:p w14:paraId="4D90C7B7" w14:textId="2E597D2F" w:rsidR="0073165B" w:rsidRDefault="0073165B">
            <w:pPr>
              <w:widowControl w:val="0"/>
              <w:pBdr>
                <w:top w:val="nil"/>
                <w:left w:val="nil"/>
                <w:bottom w:val="nil"/>
                <w:right w:val="nil"/>
                <w:between w:val="nil"/>
              </w:pBdr>
              <w:spacing w:after="0" w:line="276" w:lineRule="auto"/>
              <w:jc w:val="center"/>
              <w:rPr>
                <w:sz w:val="20"/>
                <w:szCs w:val="20"/>
              </w:rPr>
            </w:pPr>
            <w:r>
              <w:rPr>
                <w:sz w:val="20"/>
                <w:szCs w:val="20"/>
              </w:rPr>
              <w:t xml:space="preserve">Medium </w:t>
            </w:r>
            <w:proofErr w:type="spellStart"/>
            <w:r w:rsidR="00202EA2">
              <w:rPr>
                <w:sz w:val="20"/>
                <w:szCs w:val="20"/>
              </w:rPr>
              <w:t>firm</w:t>
            </w:r>
            <w:proofErr w:type="spellEnd"/>
            <w:r>
              <w:rPr>
                <w:sz w:val="20"/>
                <w:szCs w:val="20"/>
              </w:rPr>
              <w:t xml:space="preserve"> managers</w:t>
            </w:r>
          </w:p>
        </w:tc>
      </w:tr>
      <w:tr w:rsidR="00AB4A98" w14:paraId="2EB6FB59"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1A386D"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7</w:t>
            </w:r>
          </w:p>
        </w:tc>
        <w:tc>
          <w:tcPr>
            <w:tcW w:w="7950" w:type="dxa"/>
            <w:tcMar>
              <w:top w:w="100" w:type="dxa"/>
              <w:left w:w="100" w:type="dxa"/>
              <w:bottom w:w="100" w:type="dxa"/>
              <w:right w:w="100" w:type="dxa"/>
            </w:tcMar>
          </w:tcPr>
          <w:p w14:paraId="03F37AB4" w14:textId="3A2432DD" w:rsidR="0073165B" w:rsidRDefault="0073165B">
            <w:pPr>
              <w:widowControl w:val="0"/>
              <w:pBdr>
                <w:top w:val="nil"/>
                <w:left w:val="nil"/>
                <w:bottom w:val="nil"/>
                <w:right w:val="nil"/>
                <w:between w:val="nil"/>
              </w:pBdr>
              <w:spacing w:after="0" w:line="276" w:lineRule="auto"/>
              <w:jc w:val="center"/>
              <w:rPr>
                <w:sz w:val="20"/>
                <w:szCs w:val="20"/>
              </w:rPr>
            </w:pPr>
            <w:r>
              <w:rPr>
                <w:sz w:val="20"/>
                <w:szCs w:val="20"/>
              </w:rPr>
              <w:t xml:space="preserve">Big </w:t>
            </w:r>
            <w:proofErr w:type="spellStart"/>
            <w:r w:rsidR="00202EA2">
              <w:rPr>
                <w:sz w:val="20"/>
                <w:szCs w:val="20"/>
              </w:rPr>
              <w:t>firm</w:t>
            </w:r>
            <w:proofErr w:type="spellEnd"/>
            <w:r>
              <w:rPr>
                <w:sz w:val="20"/>
                <w:szCs w:val="20"/>
              </w:rPr>
              <w:t xml:space="preserve"> managers</w:t>
            </w:r>
          </w:p>
        </w:tc>
      </w:tr>
      <w:tr w:rsidR="00AB4A98" w:rsidRPr="00BF5447" w14:paraId="14D4EC69"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D54266"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10</w:t>
            </w:r>
          </w:p>
        </w:tc>
        <w:tc>
          <w:tcPr>
            <w:tcW w:w="7950" w:type="dxa"/>
            <w:tcMar>
              <w:top w:w="100" w:type="dxa"/>
              <w:left w:w="100" w:type="dxa"/>
              <w:bottom w:w="100" w:type="dxa"/>
              <w:right w:w="100" w:type="dxa"/>
            </w:tcMar>
          </w:tcPr>
          <w:p w14:paraId="12DB05AD" w14:textId="7C262911" w:rsidR="00CB69AF" w:rsidRPr="00DE1196" w:rsidRDefault="00CB69AF">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Administrative </w:t>
            </w:r>
            <w:r w:rsidR="00F30903">
              <w:rPr>
                <w:sz w:val="20"/>
                <w:szCs w:val="20"/>
                <w:lang w:val="en-US"/>
              </w:rPr>
              <w:t>management</w:t>
            </w:r>
            <w:r w:rsidR="00F30903" w:rsidRPr="00DE1196">
              <w:rPr>
                <w:sz w:val="20"/>
                <w:szCs w:val="20"/>
                <w:lang w:val="en-US"/>
              </w:rPr>
              <w:t xml:space="preserve">, planification and </w:t>
            </w:r>
            <w:r w:rsidR="00F30903">
              <w:rPr>
                <w:sz w:val="20"/>
                <w:szCs w:val="20"/>
                <w:lang w:val="en-US"/>
              </w:rPr>
              <w:t>management control oc</w:t>
            </w:r>
            <w:r w:rsidR="007B0308">
              <w:rPr>
                <w:sz w:val="20"/>
                <w:szCs w:val="20"/>
                <w:lang w:val="en-US"/>
              </w:rPr>
              <w:t>c</w:t>
            </w:r>
            <w:r w:rsidR="00F30903">
              <w:rPr>
                <w:sz w:val="20"/>
                <w:szCs w:val="20"/>
                <w:lang w:val="en-US"/>
              </w:rPr>
              <w:t>upations</w:t>
            </w:r>
          </w:p>
          <w:p w14:paraId="5C611E51" w14:textId="065C82C1" w:rsidR="00783BB3" w:rsidRPr="00DE1196" w:rsidRDefault="00783BB3">
            <w:pPr>
              <w:widowControl w:val="0"/>
              <w:pBdr>
                <w:top w:val="nil"/>
                <w:left w:val="nil"/>
                <w:bottom w:val="nil"/>
                <w:right w:val="nil"/>
                <w:between w:val="nil"/>
              </w:pBdr>
              <w:spacing w:after="0" w:line="276" w:lineRule="auto"/>
              <w:jc w:val="center"/>
              <w:rPr>
                <w:sz w:val="20"/>
                <w:szCs w:val="20"/>
                <w:lang w:val="en-US"/>
              </w:rPr>
            </w:pPr>
          </w:p>
        </w:tc>
      </w:tr>
      <w:tr w:rsidR="00AB4A98" w14:paraId="234D04A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7E2999"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11</w:t>
            </w:r>
          </w:p>
        </w:tc>
        <w:tc>
          <w:tcPr>
            <w:tcW w:w="7950" w:type="dxa"/>
            <w:tcMar>
              <w:top w:w="100" w:type="dxa"/>
              <w:left w:w="100" w:type="dxa"/>
              <w:bottom w:w="100" w:type="dxa"/>
              <w:right w:w="100" w:type="dxa"/>
            </w:tcMar>
          </w:tcPr>
          <w:p w14:paraId="4E0EA7ED" w14:textId="5F0277F8" w:rsidR="00F30903" w:rsidRDefault="00F30903">
            <w:pPr>
              <w:widowControl w:val="0"/>
              <w:pBdr>
                <w:top w:val="nil"/>
                <w:left w:val="nil"/>
                <w:bottom w:val="nil"/>
                <w:right w:val="nil"/>
                <w:between w:val="nil"/>
              </w:pBdr>
              <w:spacing w:after="0" w:line="276" w:lineRule="auto"/>
              <w:jc w:val="center"/>
              <w:rPr>
                <w:sz w:val="20"/>
                <w:szCs w:val="20"/>
              </w:rPr>
            </w:pPr>
            <w:proofErr w:type="spellStart"/>
            <w:r>
              <w:rPr>
                <w:sz w:val="20"/>
                <w:szCs w:val="20"/>
              </w:rPr>
              <w:t>Judici</w:t>
            </w:r>
            <w:r w:rsidR="00BB745B">
              <w:rPr>
                <w:sz w:val="20"/>
                <w:szCs w:val="20"/>
              </w:rPr>
              <w:t>ary</w:t>
            </w:r>
            <w:proofErr w:type="spellEnd"/>
            <w:r>
              <w:rPr>
                <w:sz w:val="20"/>
                <w:szCs w:val="20"/>
              </w:rPr>
              <w:t xml:space="preserve">-legal </w:t>
            </w:r>
            <w:proofErr w:type="spellStart"/>
            <w:r>
              <w:rPr>
                <w:sz w:val="20"/>
                <w:szCs w:val="20"/>
              </w:rPr>
              <w:t>management</w:t>
            </w:r>
            <w:proofErr w:type="spellEnd"/>
            <w:r>
              <w:rPr>
                <w:sz w:val="20"/>
                <w:szCs w:val="20"/>
              </w:rPr>
              <w:t xml:space="preserve"> </w:t>
            </w:r>
            <w:proofErr w:type="spellStart"/>
            <w:r>
              <w:rPr>
                <w:sz w:val="20"/>
                <w:szCs w:val="20"/>
              </w:rPr>
              <w:t>oc</w:t>
            </w:r>
            <w:r w:rsidR="007B0308">
              <w:rPr>
                <w:sz w:val="20"/>
                <w:szCs w:val="20"/>
              </w:rPr>
              <w:t>c</w:t>
            </w:r>
            <w:r>
              <w:rPr>
                <w:sz w:val="20"/>
                <w:szCs w:val="20"/>
              </w:rPr>
              <w:t>upations</w:t>
            </w:r>
            <w:proofErr w:type="spellEnd"/>
          </w:p>
        </w:tc>
      </w:tr>
      <w:tr w:rsidR="00AB4A98" w:rsidRPr="00BF5447" w14:paraId="177C0CB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B8D83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20</w:t>
            </w:r>
          </w:p>
        </w:tc>
        <w:tc>
          <w:tcPr>
            <w:tcW w:w="7950" w:type="dxa"/>
            <w:tcMar>
              <w:top w:w="100" w:type="dxa"/>
              <w:left w:w="100" w:type="dxa"/>
              <w:bottom w:w="100" w:type="dxa"/>
              <w:right w:w="100" w:type="dxa"/>
            </w:tcMar>
          </w:tcPr>
          <w:p w14:paraId="3A4C2D8B" w14:textId="210A7549" w:rsidR="00F30903" w:rsidRPr="00DE1196" w:rsidRDefault="00A4355C" w:rsidP="00A4355C">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Budgetary, </w:t>
            </w:r>
            <w:r w:rsidR="009D31D2" w:rsidRPr="00DE1196">
              <w:rPr>
                <w:sz w:val="20"/>
                <w:szCs w:val="20"/>
                <w:lang w:val="en-US"/>
              </w:rPr>
              <w:t xml:space="preserve">accounting and finance management </w:t>
            </w:r>
            <w:r w:rsidR="009D31D2">
              <w:rPr>
                <w:sz w:val="20"/>
                <w:szCs w:val="20"/>
                <w:lang w:val="en-US"/>
              </w:rPr>
              <w:t>oc</w:t>
            </w:r>
            <w:r w:rsidR="007B0308">
              <w:rPr>
                <w:sz w:val="20"/>
                <w:szCs w:val="20"/>
                <w:lang w:val="en-US"/>
              </w:rPr>
              <w:t>c</w:t>
            </w:r>
            <w:r w:rsidR="009D31D2">
              <w:rPr>
                <w:sz w:val="20"/>
                <w:szCs w:val="20"/>
                <w:lang w:val="en-US"/>
              </w:rPr>
              <w:t>upations</w:t>
            </w:r>
          </w:p>
        </w:tc>
      </w:tr>
      <w:tr w:rsidR="00AB4A98" w14:paraId="32AD1EE1"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01369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30</w:t>
            </w:r>
          </w:p>
        </w:tc>
        <w:tc>
          <w:tcPr>
            <w:tcW w:w="7950" w:type="dxa"/>
            <w:tcMar>
              <w:top w:w="100" w:type="dxa"/>
              <w:left w:w="100" w:type="dxa"/>
              <w:bottom w:w="100" w:type="dxa"/>
              <w:right w:w="100" w:type="dxa"/>
            </w:tcMar>
          </w:tcPr>
          <w:p w14:paraId="02989587" w14:textId="29423661" w:rsidR="002F5E24" w:rsidRDefault="002F5E24">
            <w:pPr>
              <w:widowControl w:val="0"/>
              <w:pBdr>
                <w:top w:val="nil"/>
                <w:left w:val="nil"/>
                <w:bottom w:val="nil"/>
                <w:right w:val="nil"/>
                <w:between w:val="nil"/>
              </w:pBdr>
              <w:spacing w:after="0" w:line="276" w:lineRule="auto"/>
              <w:jc w:val="center"/>
              <w:rPr>
                <w:sz w:val="20"/>
                <w:szCs w:val="20"/>
              </w:rPr>
            </w:pPr>
            <w:r>
              <w:rPr>
                <w:sz w:val="20"/>
                <w:szCs w:val="20"/>
              </w:rPr>
              <w:t xml:space="preserve">Direct </w:t>
            </w:r>
            <w:proofErr w:type="spellStart"/>
            <w:r w:rsidR="0009734D">
              <w:rPr>
                <w:sz w:val="20"/>
                <w:szCs w:val="20"/>
              </w:rPr>
              <w:t>commercialization</w:t>
            </w:r>
            <w:proofErr w:type="spellEnd"/>
            <w:r w:rsidR="0009734D">
              <w:rPr>
                <w:sz w:val="20"/>
                <w:szCs w:val="20"/>
              </w:rPr>
              <w:t xml:space="preserve"> </w:t>
            </w:r>
            <w:proofErr w:type="spellStart"/>
            <w:r>
              <w:rPr>
                <w:sz w:val="20"/>
                <w:szCs w:val="20"/>
              </w:rPr>
              <w:t>oc</w:t>
            </w:r>
            <w:r w:rsidR="007B0308">
              <w:rPr>
                <w:sz w:val="20"/>
                <w:szCs w:val="20"/>
              </w:rPr>
              <w:t>c</w:t>
            </w:r>
            <w:r>
              <w:rPr>
                <w:sz w:val="20"/>
                <w:szCs w:val="20"/>
              </w:rPr>
              <w:t>upations</w:t>
            </w:r>
            <w:proofErr w:type="spellEnd"/>
          </w:p>
        </w:tc>
      </w:tr>
      <w:tr w:rsidR="00AB4A98" w:rsidRPr="00BF5447" w14:paraId="35DC2310"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86787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31</w:t>
            </w:r>
          </w:p>
        </w:tc>
        <w:tc>
          <w:tcPr>
            <w:tcW w:w="7950" w:type="dxa"/>
            <w:tcMar>
              <w:top w:w="100" w:type="dxa"/>
              <w:left w:w="100" w:type="dxa"/>
              <w:bottom w:w="100" w:type="dxa"/>
              <w:right w:w="100" w:type="dxa"/>
            </w:tcMar>
          </w:tcPr>
          <w:p w14:paraId="5FC8CFE3" w14:textId="6C2CFE4D" w:rsidR="007B0308" w:rsidRPr="00DE1196" w:rsidRDefault="00CD72B6">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Home sales, travelers and </w:t>
            </w:r>
            <w:proofErr w:type="gramStart"/>
            <w:r w:rsidRPr="00DE1196">
              <w:rPr>
                <w:sz w:val="20"/>
                <w:szCs w:val="20"/>
                <w:lang w:val="en-US"/>
              </w:rPr>
              <w:t>promoters</w:t>
            </w:r>
            <w:proofErr w:type="gramEnd"/>
            <w:r>
              <w:rPr>
                <w:sz w:val="20"/>
                <w:szCs w:val="20"/>
                <w:lang w:val="en-US"/>
              </w:rPr>
              <w:t xml:space="preserve"> occupations</w:t>
            </w:r>
          </w:p>
        </w:tc>
      </w:tr>
      <w:tr w:rsidR="00AB4A98" w14:paraId="49EEC22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39F05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32</w:t>
            </w:r>
          </w:p>
        </w:tc>
        <w:tc>
          <w:tcPr>
            <w:tcW w:w="7950" w:type="dxa"/>
            <w:tcMar>
              <w:top w:w="100" w:type="dxa"/>
              <w:left w:w="100" w:type="dxa"/>
              <w:bottom w:w="100" w:type="dxa"/>
              <w:right w:w="100" w:type="dxa"/>
            </w:tcMar>
          </w:tcPr>
          <w:p w14:paraId="1EC6C135" w14:textId="40B4DBB3" w:rsidR="00CD72B6" w:rsidRDefault="00CD72B6">
            <w:pPr>
              <w:widowControl w:val="0"/>
              <w:pBdr>
                <w:top w:val="nil"/>
                <w:left w:val="nil"/>
                <w:bottom w:val="nil"/>
                <w:right w:val="nil"/>
                <w:between w:val="nil"/>
              </w:pBdr>
              <w:spacing w:after="0" w:line="276" w:lineRule="auto"/>
              <w:jc w:val="center"/>
              <w:rPr>
                <w:sz w:val="20"/>
                <w:szCs w:val="20"/>
              </w:rPr>
            </w:pPr>
            <w:proofErr w:type="spellStart"/>
            <w:r>
              <w:rPr>
                <w:sz w:val="20"/>
                <w:szCs w:val="20"/>
              </w:rPr>
              <w:t>Indirect</w:t>
            </w:r>
            <w:proofErr w:type="spellEnd"/>
            <w:r>
              <w:rPr>
                <w:sz w:val="20"/>
                <w:szCs w:val="20"/>
              </w:rPr>
              <w:t xml:space="preserve"> </w:t>
            </w:r>
            <w:proofErr w:type="spellStart"/>
            <w:r w:rsidR="0009734D">
              <w:rPr>
                <w:sz w:val="20"/>
                <w:szCs w:val="20"/>
              </w:rPr>
              <w:t>commercialization</w:t>
            </w:r>
            <w:proofErr w:type="spellEnd"/>
            <w:r w:rsidR="0009734D">
              <w:rPr>
                <w:sz w:val="20"/>
                <w:szCs w:val="20"/>
              </w:rPr>
              <w:t xml:space="preserve"> </w:t>
            </w:r>
            <w:proofErr w:type="spellStart"/>
            <w:r w:rsidR="00716EAF">
              <w:rPr>
                <w:sz w:val="20"/>
                <w:szCs w:val="20"/>
              </w:rPr>
              <w:t>occupations</w:t>
            </w:r>
            <w:proofErr w:type="spellEnd"/>
          </w:p>
        </w:tc>
      </w:tr>
      <w:tr w:rsidR="00AB4A98" w14:paraId="541BFD78"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9C33D4"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33</w:t>
            </w:r>
          </w:p>
        </w:tc>
        <w:tc>
          <w:tcPr>
            <w:tcW w:w="7950" w:type="dxa"/>
            <w:tcMar>
              <w:top w:w="100" w:type="dxa"/>
              <w:left w:w="100" w:type="dxa"/>
              <w:bottom w:w="100" w:type="dxa"/>
              <w:right w:w="100" w:type="dxa"/>
            </w:tcMar>
          </w:tcPr>
          <w:p w14:paraId="6E7D330A" w14:textId="12088544" w:rsidR="00716EAF" w:rsidRDefault="00F00386" w:rsidP="00DE1196">
            <w:pPr>
              <w:widowControl w:val="0"/>
              <w:pBdr>
                <w:top w:val="nil"/>
                <w:left w:val="nil"/>
                <w:bottom w:val="nil"/>
                <w:right w:val="nil"/>
                <w:between w:val="nil"/>
              </w:pBdr>
              <w:spacing w:after="0" w:line="276" w:lineRule="auto"/>
              <w:jc w:val="center"/>
              <w:rPr>
                <w:sz w:val="20"/>
                <w:szCs w:val="20"/>
              </w:rPr>
            </w:pPr>
            <w:commentRangeStart w:id="20"/>
            <w:proofErr w:type="spellStart"/>
            <w:r>
              <w:rPr>
                <w:sz w:val="20"/>
                <w:szCs w:val="20"/>
              </w:rPr>
              <w:t>Walking</w:t>
            </w:r>
            <w:proofErr w:type="spellEnd"/>
            <w:r>
              <w:rPr>
                <w:sz w:val="20"/>
                <w:szCs w:val="20"/>
              </w:rPr>
              <w:t xml:space="preserve"> </w:t>
            </w:r>
            <w:proofErr w:type="spellStart"/>
            <w:r w:rsidR="0009734D">
              <w:rPr>
                <w:sz w:val="20"/>
                <w:szCs w:val="20"/>
              </w:rPr>
              <w:t>commercialization</w:t>
            </w:r>
            <w:proofErr w:type="spellEnd"/>
            <w:r>
              <w:rPr>
                <w:sz w:val="20"/>
                <w:szCs w:val="20"/>
              </w:rPr>
              <w:t xml:space="preserve"> </w:t>
            </w:r>
            <w:proofErr w:type="spellStart"/>
            <w:r>
              <w:rPr>
                <w:sz w:val="20"/>
                <w:szCs w:val="20"/>
              </w:rPr>
              <w:t>occupations</w:t>
            </w:r>
            <w:commentRangeEnd w:id="20"/>
            <w:proofErr w:type="spellEnd"/>
            <w:r w:rsidR="00407ACF">
              <w:rPr>
                <w:rStyle w:val="CommentReference"/>
              </w:rPr>
              <w:commentReference w:id="20"/>
            </w:r>
          </w:p>
        </w:tc>
      </w:tr>
      <w:tr w:rsidR="00AB4A98" w14:paraId="4ABC3837"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7C1B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34</w:t>
            </w:r>
          </w:p>
        </w:tc>
        <w:tc>
          <w:tcPr>
            <w:tcW w:w="7950" w:type="dxa"/>
            <w:tcMar>
              <w:top w:w="100" w:type="dxa"/>
              <w:left w:w="100" w:type="dxa"/>
              <w:bottom w:w="100" w:type="dxa"/>
              <w:right w:w="100" w:type="dxa"/>
            </w:tcMar>
          </w:tcPr>
          <w:p w14:paraId="002FF44F" w14:textId="6BED4942" w:rsidR="0009734D" w:rsidRDefault="0009734D">
            <w:pPr>
              <w:widowControl w:val="0"/>
              <w:pBdr>
                <w:top w:val="nil"/>
                <w:left w:val="nil"/>
                <w:bottom w:val="nil"/>
                <w:right w:val="nil"/>
                <w:between w:val="nil"/>
              </w:pBdr>
              <w:spacing w:after="0" w:line="276" w:lineRule="auto"/>
              <w:jc w:val="center"/>
              <w:rPr>
                <w:sz w:val="20"/>
                <w:szCs w:val="20"/>
              </w:rPr>
            </w:pPr>
            <w:proofErr w:type="spellStart"/>
            <w:r>
              <w:rPr>
                <w:sz w:val="20"/>
                <w:szCs w:val="20"/>
              </w:rPr>
              <w:t>Transport</w:t>
            </w:r>
            <w:proofErr w:type="spellEnd"/>
            <w:r>
              <w:rPr>
                <w:sz w:val="20"/>
                <w:szCs w:val="20"/>
              </w:rPr>
              <w:t xml:space="preserve"> </w:t>
            </w:r>
            <w:proofErr w:type="spellStart"/>
            <w:r>
              <w:rPr>
                <w:sz w:val="20"/>
                <w:szCs w:val="20"/>
              </w:rPr>
              <w:t>occupations</w:t>
            </w:r>
            <w:proofErr w:type="spellEnd"/>
          </w:p>
        </w:tc>
      </w:tr>
      <w:tr w:rsidR="00AB4A98" w14:paraId="371E2CD2"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574B1"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35</w:t>
            </w:r>
          </w:p>
        </w:tc>
        <w:tc>
          <w:tcPr>
            <w:tcW w:w="7950" w:type="dxa"/>
            <w:tcMar>
              <w:top w:w="100" w:type="dxa"/>
              <w:left w:w="100" w:type="dxa"/>
              <w:bottom w:w="100" w:type="dxa"/>
              <w:right w:w="100" w:type="dxa"/>
            </w:tcMar>
          </w:tcPr>
          <w:p w14:paraId="7F1A82F0" w14:textId="092054BA" w:rsidR="0009734D" w:rsidRDefault="009436A6">
            <w:pPr>
              <w:widowControl w:val="0"/>
              <w:pBdr>
                <w:top w:val="nil"/>
                <w:left w:val="nil"/>
                <w:bottom w:val="nil"/>
                <w:right w:val="nil"/>
                <w:between w:val="nil"/>
              </w:pBdr>
              <w:spacing w:after="0" w:line="276" w:lineRule="auto"/>
              <w:jc w:val="center"/>
              <w:rPr>
                <w:sz w:val="20"/>
                <w:szCs w:val="20"/>
              </w:rPr>
            </w:pPr>
            <w:proofErr w:type="spellStart"/>
            <w:r>
              <w:rPr>
                <w:sz w:val="20"/>
                <w:szCs w:val="20"/>
              </w:rPr>
              <w:t>T</w:t>
            </w:r>
            <w:r w:rsidR="0009734D">
              <w:rPr>
                <w:sz w:val="20"/>
                <w:szCs w:val="20"/>
              </w:rPr>
              <w:t>elecommunication</w:t>
            </w:r>
            <w:proofErr w:type="spellEnd"/>
            <w:r>
              <w:rPr>
                <w:sz w:val="20"/>
                <w:szCs w:val="20"/>
              </w:rPr>
              <w:t xml:space="preserve"> </w:t>
            </w:r>
            <w:proofErr w:type="spellStart"/>
            <w:r>
              <w:rPr>
                <w:sz w:val="20"/>
                <w:szCs w:val="20"/>
              </w:rPr>
              <w:t>occupations</w:t>
            </w:r>
            <w:proofErr w:type="spellEnd"/>
          </w:p>
        </w:tc>
      </w:tr>
      <w:tr w:rsidR="00AB4A98" w14:paraId="792409F6"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AA430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lastRenderedPageBreak/>
              <w:t>36</w:t>
            </w:r>
          </w:p>
        </w:tc>
        <w:tc>
          <w:tcPr>
            <w:tcW w:w="7950" w:type="dxa"/>
            <w:tcMar>
              <w:top w:w="100" w:type="dxa"/>
              <w:left w:w="100" w:type="dxa"/>
              <w:bottom w:w="100" w:type="dxa"/>
              <w:right w:w="100" w:type="dxa"/>
            </w:tcMar>
          </w:tcPr>
          <w:p w14:paraId="6DDAACCC" w14:textId="385F1ED7" w:rsidR="009436A6" w:rsidRDefault="009436A6">
            <w:pPr>
              <w:widowControl w:val="0"/>
              <w:pBdr>
                <w:top w:val="nil"/>
                <w:left w:val="nil"/>
                <w:bottom w:val="nil"/>
                <w:right w:val="nil"/>
                <w:between w:val="nil"/>
              </w:pBdr>
              <w:spacing w:after="0" w:line="276" w:lineRule="auto"/>
              <w:jc w:val="center"/>
              <w:rPr>
                <w:sz w:val="20"/>
                <w:szCs w:val="20"/>
              </w:rPr>
            </w:pPr>
            <w:r>
              <w:rPr>
                <w:sz w:val="20"/>
                <w:szCs w:val="20"/>
              </w:rPr>
              <w:t xml:space="preserve">Storage </w:t>
            </w:r>
            <w:proofErr w:type="spellStart"/>
            <w:r>
              <w:rPr>
                <w:sz w:val="20"/>
                <w:szCs w:val="20"/>
              </w:rPr>
              <w:t>of</w:t>
            </w:r>
            <w:proofErr w:type="spellEnd"/>
            <w:r>
              <w:rPr>
                <w:sz w:val="20"/>
                <w:szCs w:val="20"/>
              </w:rPr>
              <w:t xml:space="preserve"> </w:t>
            </w:r>
            <w:proofErr w:type="spellStart"/>
            <w:r>
              <w:rPr>
                <w:sz w:val="20"/>
                <w:szCs w:val="20"/>
              </w:rPr>
              <w:t>supplies</w:t>
            </w:r>
            <w:proofErr w:type="spellEnd"/>
            <w:r>
              <w:rPr>
                <w:sz w:val="20"/>
                <w:szCs w:val="20"/>
              </w:rPr>
              <w:t xml:space="preserve"> </w:t>
            </w:r>
            <w:proofErr w:type="spellStart"/>
            <w:r>
              <w:rPr>
                <w:sz w:val="20"/>
                <w:szCs w:val="20"/>
              </w:rPr>
              <w:t>occupations</w:t>
            </w:r>
            <w:proofErr w:type="spellEnd"/>
          </w:p>
        </w:tc>
      </w:tr>
      <w:tr w:rsidR="00AB4A98" w14:paraId="19FF213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9F2C4F"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40</w:t>
            </w:r>
          </w:p>
        </w:tc>
        <w:tc>
          <w:tcPr>
            <w:tcW w:w="7950" w:type="dxa"/>
            <w:tcMar>
              <w:top w:w="100" w:type="dxa"/>
              <w:left w:w="100" w:type="dxa"/>
              <w:bottom w:w="100" w:type="dxa"/>
              <w:right w:w="100" w:type="dxa"/>
            </w:tcMar>
          </w:tcPr>
          <w:p w14:paraId="5373BBF9" w14:textId="342EEB95" w:rsidR="009436A6" w:rsidRDefault="00C86A15">
            <w:pPr>
              <w:widowControl w:val="0"/>
              <w:pBdr>
                <w:top w:val="nil"/>
                <w:left w:val="nil"/>
                <w:bottom w:val="nil"/>
                <w:right w:val="nil"/>
                <w:between w:val="nil"/>
              </w:pBdr>
              <w:spacing w:after="0" w:line="276" w:lineRule="auto"/>
              <w:jc w:val="center"/>
              <w:rPr>
                <w:sz w:val="20"/>
                <w:szCs w:val="20"/>
              </w:rPr>
            </w:pPr>
            <w:proofErr w:type="spellStart"/>
            <w:r>
              <w:rPr>
                <w:sz w:val="20"/>
                <w:szCs w:val="20"/>
              </w:rPr>
              <w:t>Health</w:t>
            </w:r>
            <w:proofErr w:type="spellEnd"/>
            <w:r>
              <w:rPr>
                <w:sz w:val="20"/>
                <w:szCs w:val="20"/>
              </w:rPr>
              <w:t xml:space="preserve"> and </w:t>
            </w:r>
            <w:proofErr w:type="spellStart"/>
            <w:r>
              <w:rPr>
                <w:sz w:val="20"/>
                <w:szCs w:val="20"/>
              </w:rPr>
              <w:t>sanity</w:t>
            </w:r>
            <w:proofErr w:type="spellEnd"/>
            <w:r>
              <w:rPr>
                <w:sz w:val="20"/>
                <w:szCs w:val="20"/>
              </w:rPr>
              <w:t xml:space="preserve"> </w:t>
            </w:r>
            <w:proofErr w:type="spellStart"/>
            <w:r>
              <w:rPr>
                <w:sz w:val="20"/>
                <w:szCs w:val="20"/>
              </w:rPr>
              <w:t>occupations</w:t>
            </w:r>
            <w:proofErr w:type="spellEnd"/>
          </w:p>
        </w:tc>
      </w:tr>
      <w:tr w:rsidR="00AB4A98" w14:paraId="6B294FA6"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AAFC92"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41</w:t>
            </w:r>
          </w:p>
        </w:tc>
        <w:tc>
          <w:tcPr>
            <w:tcW w:w="7950" w:type="dxa"/>
            <w:tcMar>
              <w:top w:w="100" w:type="dxa"/>
              <w:left w:w="100" w:type="dxa"/>
              <w:bottom w:w="100" w:type="dxa"/>
              <w:right w:w="100" w:type="dxa"/>
            </w:tcMar>
          </w:tcPr>
          <w:p w14:paraId="19A85DF5" w14:textId="1FEEA3ED" w:rsidR="00C86A15" w:rsidRDefault="00C86A15">
            <w:pPr>
              <w:widowControl w:val="0"/>
              <w:pBdr>
                <w:top w:val="nil"/>
                <w:left w:val="nil"/>
                <w:bottom w:val="nil"/>
                <w:right w:val="nil"/>
                <w:between w:val="nil"/>
              </w:pBdr>
              <w:spacing w:after="0" w:line="276" w:lineRule="auto"/>
              <w:jc w:val="center"/>
              <w:rPr>
                <w:sz w:val="20"/>
                <w:szCs w:val="20"/>
              </w:rPr>
            </w:pPr>
            <w:proofErr w:type="spellStart"/>
            <w:r>
              <w:rPr>
                <w:sz w:val="20"/>
                <w:szCs w:val="20"/>
              </w:rPr>
              <w:t>Education</w:t>
            </w:r>
            <w:proofErr w:type="spellEnd"/>
            <w:r>
              <w:rPr>
                <w:sz w:val="20"/>
                <w:szCs w:val="20"/>
              </w:rPr>
              <w:t xml:space="preserve"> </w:t>
            </w:r>
            <w:proofErr w:type="spellStart"/>
            <w:r>
              <w:rPr>
                <w:sz w:val="20"/>
                <w:szCs w:val="20"/>
              </w:rPr>
              <w:t>occupations</w:t>
            </w:r>
            <w:proofErr w:type="spellEnd"/>
          </w:p>
        </w:tc>
      </w:tr>
      <w:tr w:rsidR="00AB4A98" w14:paraId="28AFE0F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E196B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42</w:t>
            </w:r>
          </w:p>
        </w:tc>
        <w:tc>
          <w:tcPr>
            <w:tcW w:w="7950" w:type="dxa"/>
            <w:tcMar>
              <w:top w:w="100" w:type="dxa"/>
              <w:left w:w="100" w:type="dxa"/>
              <w:bottom w:w="100" w:type="dxa"/>
              <w:right w:w="100" w:type="dxa"/>
            </w:tcMar>
          </w:tcPr>
          <w:p w14:paraId="2B604E7D" w14:textId="211371DF" w:rsidR="00C86A15" w:rsidRDefault="00C86A15">
            <w:pPr>
              <w:widowControl w:val="0"/>
              <w:pBdr>
                <w:top w:val="nil"/>
                <w:left w:val="nil"/>
                <w:bottom w:val="nil"/>
                <w:right w:val="nil"/>
                <w:between w:val="nil"/>
              </w:pBdr>
              <w:spacing w:after="0" w:line="276" w:lineRule="auto"/>
              <w:jc w:val="center"/>
              <w:rPr>
                <w:sz w:val="20"/>
                <w:szCs w:val="20"/>
              </w:rPr>
            </w:pPr>
            <w:proofErr w:type="spellStart"/>
            <w:r>
              <w:rPr>
                <w:sz w:val="20"/>
                <w:szCs w:val="20"/>
              </w:rPr>
              <w:t>Investigation</w:t>
            </w:r>
            <w:proofErr w:type="spellEnd"/>
            <w:r>
              <w:rPr>
                <w:sz w:val="20"/>
                <w:szCs w:val="20"/>
              </w:rPr>
              <w:t xml:space="preserve"> </w:t>
            </w:r>
            <w:proofErr w:type="spellStart"/>
            <w:r>
              <w:rPr>
                <w:sz w:val="20"/>
                <w:szCs w:val="20"/>
              </w:rPr>
              <w:t>occupations</w:t>
            </w:r>
            <w:proofErr w:type="spellEnd"/>
          </w:p>
        </w:tc>
      </w:tr>
      <w:tr w:rsidR="00AB4A98" w14:paraId="334FE812"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56F9A3"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43</w:t>
            </w:r>
          </w:p>
        </w:tc>
        <w:tc>
          <w:tcPr>
            <w:tcW w:w="7950" w:type="dxa"/>
            <w:tcMar>
              <w:top w:w="100" w:type="dxa"/>
              <w:left w:w="100" w:type="dxa"/>
              <w:bottom w:w="100" w:type="dxa"/>
              <w:right w:w="100" w:type="dxa"/>
            </w:tcMar>
          </w:tcPr>
          <w:p w14:paraId="69B3D71A" w14:textId="7980187A" w:rsidR="00C86A15" w:rsidRDefault="00957024">
            <w:pPr>
              <w:widowControl w:val="0"/>
              <w:pBdr>
                <w:top w:val="nil"/>
                <w:left w:val="nil"/>
                <w:bottom w:val="nil"/>
                <w:right w:val="nil"/>
                <w:between w:val="nil"/>
              </w:pBdr>
              <w:spacing w:after="0" w:line="276" w:lineRule="auto"/>
              <w:jc w:val="center"/>
              <w:rPr>
                <w:sz w:val="20"/>
                <w:szCs w:val="20"/>
              </w:rPr>
            </w:pPr>
            <w:proofErr w:type="spellStart"/>
            <w:r>
              <w:rPr>
                <w:sz w:val="20"/>
                <w:szCs w:val="20"/>
              </w:rPr>
              <w:t>Consulting</w:t>
            </w:r>
            <w:proofErr w:type="spellEnd"/>
            <w:r>
              <w:rPr>
                <w:sz w:val="20"/>
                <w:szCs w:val="20"/>
              </w:rPr>
              <w:t xml:space="preserve"> </w:t>
            </w:r>
            <w:proofErr w:type="spellStart"/>
            <w:r>
              <w:rPr>
                <w:sz w:val="20"/>
                <w:szCs w:val="20"/>
              </w:rPr>
              <w:t>occupations</w:t>
            </w:r>
            <w:proofErr w:type="spellEnd"/>
          </w:p>
        </w:tc>
      </w:tr>
      <w:tr w:rsidR="00AB4A98" w14:paraId="6E4A2C55"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86DC66"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44</w:t>
            </w:r>
          </w:p>
        </w:tc>
        <w:tc>
          <w:tcPr>
            <w:tcW w:w="7950" w:type="dxa"/>
            <w:tcMar>
              <w:top w:w="100" w:type="dxa"/>
              <w:left w:w="100" w:type="dxa"/>
              <w:bottom w:w="100" w:type="dxa"/>
              <w:right w:w="100" w:type="dxa"/>
            </w:tcMar>
          </w:tcPr>
          <w:p w14:paraId="1FC1F113" w14:textId="42380565" w:rsidR="00957024" w:rsidRDefault="00957024">
            <w:pPr>
              <w:widowControl w:val="0"/>
              <w:pBdr>
                <w:top w:val="nil"/>
                <w:left w:val="nil"/>
                <w:bottom w:val="nil"/>
                <w:right w:val="nil"/>
                <w:between w:val="nil"/>
              </w:pBdr>
              <w:spacing w:after="0" w:line="276" w:lineRule="auto"/>
              <w:jc w:val="center"/>
              <w:rPr>
                <w:sz w:val="20"/>
                <w:szCs w:val="20"/>
              </w:rPr>
            </w:pPr>
            <w:proofErr w:type="spellStart"/>
            <w:r>
              <w:rPr>
                <w:sz w:val="20"/>
                <w:szCs w:val="20"/>
              </w:rPr>
              <w:t>Claims</w:t>
            </w:r>
            <w:proofErr w:type="spellEnd"/>
            <w:r>
              <w:rPr>
                <w:sz w:val="20"/>
                <w:szCs w:val="20"/>
              </w:rPr>
              <w:t xml:space="preserve"> </w:t>
            </w:r>
            <w:proofErr w:type="spellStart"/>
            <w:r>
              <w:rPr>
                <w:sz w:val="20"/>
                <w:szCs w:val="20"/>
              </w:rPr>
              <w:t>prevention</w:t>
            </w:r>
            <w:proofErr w:type="spellEnd"/>
            <w:r>
              <w:rPr>
                <w:sz w:val="20"/>
                <w:szCs w:val="20"/>
              </w:rPr>
              <w:t xml:space="preserve"> </w:t>
            </w:r>
            <w:proofErr w:type="spellStart"/>
            <w:r>
              <w:rPr>
                <w:sz w:val="20"/>
                <w:szCs w:val="20"/>
              </w:rPr>
              <w:t>occupations</w:t>
            </w:r>
            <w:proofErr w:type="spellEnd"/>
          </w:p>
        </w:tc>
      </w:tr>
      <w:tr w:rsidR="00AB4A98" w14:paraId="1AD4A5A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93AF31"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45</w:t>
            </w:r>
          </w:p>
        </w:tc>
        <w:tc>
          <w:tcPr>
            <w:tcW w:w="7950" w:type="dxa"/>
            <w:tcMar>
              <w:top w:w="100" w:type="dxa"/>
              <w:left w:w="100" w:type="dxa"/>
              <w:bottom w:w="100" w:type="dxa"/>
              <w:right w:w="100" w:type="dxa"/>
            </w:tcMar>
          </w:tcPr>
          <w:p w14:paraId="72B4BD72" w14:textId="7A33D505" w:rsidR="00957024" w:rsidRDefault="00957024">
            <w:pPr>
              <w:widowControl w:val="0"/>
              <w:pBdr>
                <w:top w:val="nil"/>
                <w:left w:val="nil"/>
                <w:bottom w:val="nil"/>
                <w:right w:val="nil"/>
                <w:between w:val="nil"/>
              </w:pBdr>
              <w:spacing w:after="0" w:line="276" w:lineRule="auto"/>
              <w:jc w:val="center"/>
              <w:rPr>
                <w:sz w:val="20"/>
                <w:szCs w:val="20"/>
              </w:rPr>
            </w:pPr>
            <w:proofErr w:type="spellStart"/>
            <w:r>
              <w:rPr>
                <w:sz w:val="20"/>
                <w:szCs w:val="20"/>
              </w:rPr>
              <w:t>Mass</w:t>
            </w:r>
            <w:proofErr w:type="spellEnd"/>
            <w:r>
              <w:rPr>
                <w:sz w:val="20"/>
                <w:szCs w:val="20"/>
              </w:rPr>
              <w:t xml:space="preserve"> </w:t>
            </w:r>
            <w:proofErr w:type="spellStart"/>
            <w:r>
              <w:rPr>
                <w:sz w:val="20"/>
                <w:szCs w:val="20"/>
              </w:rPr>
              <w:t>com</w:t>
            </w:r>
            <w:r w:rsidR="0050115C">
              <w:rPr>
                <w:sz w:val="20"/>
                <w:szCs w:val="20"/>
              </w:rPr>
              <w:t>m</w:t>
            </w:r>
            <w:r>
              <w:rPr>
                <w:sz w:val="20"/>
                <w:szCs w:val="20"/>
              </w:rPr>
              <w:t>unication</w:t>
            </w:r>
            <w:proofErr w:type="spellEnd"/>
            <w:r>
              <w:rPr>
                <w:sz w:val="20"/>
                <w:szCs w:val="20"/>
              </w:rPr>
              <w:t xml:space="preserve"> </w:t>
            </w:r>
            <w:proofErr w:type="spellStart"/>
            <w:r w:rsidR="0050115C">
              <w:rPr>
                <w:sz w:val="20"/>
                <w:szCs w:val="20"/>
              </w:rPr>
              <w:t>occupations</w:t>
            </w:r>
            <w:proofErr w:type="spellEnd"/>
          </w:p>
        </w:tc>
      </w:tr>
      <w:tr w:rsidR="00AB4A98" w14:paraId="27C2E519"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E45049"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46</w:t>
            </w:r>
          </w:p>
        </w:tc>
        <w:tc>
          <w:tcPr>
            <w:tcW w:w="7950" w:type="dxa"/>
            <w:tcMar>
              <w:top w:w="100" w:type="dxa"/>
              <w:left w:w="100" w:type="dxa"/>
              <w:bottom w:w="100" w:type="dxa"/>
              <w:right w:w="100" w:type="dxa"/>
            </w:tcMar>
          </w:tcPr>
          <w:p w14:paraId="53E8DF14" w14:textId="31801F26" w:rsidR="0050115C" w:rsidRDefault="0050115C">
            <w:pPr>
              <w:widowControl w:val="0"/>
              <w:pBdr>
                <w:top w:val="nil"/>
                <w:left w:val="nil"/>
                <w:bottom w:val="nil"/>
                <w:right w:val="nil"/>
                <w:between w:val="nil"/>
              </w:pBdr>
              <w:spacing w:after="0" w:line="276" w:lineRule="auto"/>
              <w:jc w:val="center"/>
              <w:rPr>
                <w:sz w:val="20"/>
                <w:szCs w:val="20"/>
              </w:rPr>
            </w:pPr>
            <w:r>
              <w:rPr>
                <w:sz w:val="20"/>
                <w:szCs w:val="20"/>
              </w:rPr>
              <w:t xml:space="preserve">Social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14:paraId="12F7388A"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DBB9F5"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47</w:t>
            </w:r>
          </w:p>
        </w:tc>
        <w:tc>
          <w:tcPr>
            <w:tcW w:w="7950" w:type="dxa"/>
            <w:tcMar>
              <w:top w:w="100" w:type="dxa"/>
              <w:left w:w="100" w:type="dxa"/>
              <w:bottom w:w="100" w:type="dxa"/>
              <w:right w:w="100" w:type="dxa"/>
            </w:tcMar>
          </w:tcPr>
          <w:p w14:paraId="5A79EFF4" w14:textId="42AF9346" w:rsidR="0050115C" w:rsidRDefault="0050115C">
            <w:pPr>
              <w:widowControl w:val="0"/>
              <w:pBdr>
                <w:top w:val="nil"/>
                <w:left w:val="nil"/>
                <w:bottom w:val="nil"/>
                <w:right w:val="nil"/>
                <w:between w:val="nil"/>
              </w:pBdr>
              <w:spacing w:after="0" w:line="276" w:lineRule="auto"/>
              <w:jc w:val="center"/>
              <w:rPr>
                <w:sz w:val="20"/>
                <w:szCs w:val="20"/>
              </w:rPr>
            </w:pPr>
            <w:proofErr w:type="spellStart"/>
            <w:r>
              <w:rPr>
                <w:sz w:val="20"/>
                <w:szCs w:val="20"/>
              </w:rPr>
              <w:t>Surveillance</w:t>
            </w:r>
            <w:proofErr w:type="spellEnd"/>
            <w:r>
              <w:rPr>
                <w:sz w:val="20"/>
                <w:szCs w:val="20"/>
              </w:rPr>
              <w:t xml:space="preserve">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14:paraId="73BDD99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40B1E4"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48</w:t>
            </w:r>
          </w:p>
        </w:tc>
        <w:tc>
          <w:tcPr>
            <w:tcW w:w="7950" w:type="dxa"/>
            <w:tcMar>
              <w:top w:w="100" w:type="dxa"/>
              <w:left w:w="100" w:type="dxa"/>
              <w:bottom w:w="100" w:type="dxa"/>
              <w:right w:w="100" w:type="dxa"/>
            </w:tcMar>
          </w:tcPr>
          <w:p w14:paraId="19F554AB" w14:textId="64B1C768" w:rsidR="0050115C" w:rsidRDefault="0050115C">
            <w:pPr>
              <w:widowControl w:val="0"/>
              <w:pBdr>
                <w:top w:val="nil"/>
                <w:left w:val="nil"/>
                <w:bottom w:val="nil"/>
                <w:right w:val="nil"/>
                <w:between w:val="nil"/>
              </w:pBdr>
              <w:spacing w:after="0" w:line="276" w:lineRule="auto"/>
              <w:jc w:val="center"/>
              <w:rPr>
                <w:sz w:val="20"/>
                <w:szCs w:val="20"/>
              </w:rPr>
            </w:pPr>
            <w:r>
              <w:rPr>
                <w:sz w:val="20"/>
                <w:szCs w:val="20"/>
              </w:rPr>
              <w:t xml:space="preserve">Police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14:paraId="217C4EF0"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276C3"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49</w:t>
            </w:r>
          </w:p>
        </w:tc>
        <w:tc>
          <w:tcPr>
            <w:tcW w:w="7950" w:type="dxa"/>
            <w:tcMar>
              <w:top w:w="100" w:type="dxa"/>
              <w:left w:w="100" w:type="dxa"/>
              <w:bottom w:w="100" w:type="dxa"/>
              <w:right w:w="100" w:type="dxa"/>
            </w:tcMar>
          </w:tcPr>
          <w:p w14:paraId="57A2F420" w14:textId="133BDEF7" w:rsidR="0050115C" w:rsidRDefault="00754D97">
            <w:pPr>
              <w:widowControl w:val="0"/>
              <w:pBdr>
                <w:top w:val="nil"/>
                <w:left w:val="nil"/>
                <w:bottom w:val="nil"/>
                <w:right w:val="nil"/>
                <w:between w:val="nil"/>
              </w:pBdr>
              <w:spacing w:after="0" w:line="276" w:lineRule="auto"/>
              <w:jc w:val="center"/>
              <w:rPr>
                <w:sz w:val="20"/>
                <w:szCs w:val="20"/>
              </w:rPr>
            </w:pPr>
            <w:proofErr w:type="spellStart"/>
            <w:r>
              <w:rPr>
                <w:sz w:val="20"/>
                <w:szCs w:val="20"/>
              </w:rPr>
              <w:t>Armed</w:t>
            </w:r>
            <w:proofErr w:type="spellEnd"/>
            <w:r>
              <w:rPr>
                <w:sz w:val="20"/>
                <w:szCs w:val="20"/>
              </w:rPr>
              <w:t xml:space="preserve"> </w:t>
            </w:r>
            <w:proofErr w:type="spellStart"/>
            <w:r>
              <w:rPr>
                <w:sz w:val="20"/>
                <w:szCs w:val="20"/>
              </w:rPr>
              <w:t>forces</w:t>
            </w:r>
            <w:proofErr w:type="spellEnd"/>
            <w:r>
              <w:rPr>
                <w:sz w:val="20"/>
                <w:szCs w:val="20"/>
              </w:rPr>
              <w:t xml:space="preserve"> </w:t>
            </w:r>
            <w:proofErr w:type="spellStart"/>
            <w:r>
              <w:rPr>
                <w:sz w:val="20"/>
                <w:szCs w:val="20"/>
              </w:rPr>
              <w:t>o</w:t>
            </w:r>
            <w:r w:rsidR="002D7397">
              <w:rPr>
                <w:sz w:val="20"/>
                <w:szCs w:val="20"/>
              </w:rPr>
              <w:t>c</w:t>
            </w:r>
            <w:r>
              <w:rPr>
                <w:sz w:val="20"/>
                <w:szCs w:val="20"/>
              </w:rPr>
              <w:t>cupations</w:t>
            </w:r>
            <w:proofErr w:type="spellEnd"/>
          </w:p>
        </w:tc>
      </w:tr>
      <w:tr w:rsidR="00AB4A98" w14:paraId="28D781BA"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D0276"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50</w:t>
            </w:r>
          </w:p>
        </w:tc>
        <w:tc>
          <w:tcPr>
            <w:tcW w:w="7950" w:type="dxa"/>
            <w:tcMar>
              <w:top w:w="100" w:type="dxa"/>
              <w:left w:w="100" w:type="dxa"/>
              <w:bottom w:w="100" w:type="dxa"/>
              <w:right w:w="100" w:type="dxa"/>
            </w:tcMar>
          </w:tcPr>
          <w:p w14:paraId="77844853" w14:textId="7AE558B5" w:rsidR="00A260A3" w:rsidRDefault="00A260A3">
            <w:pPr>
              <w:widowControl w:val="0"/>
              <w:pBdr>
                <w:top w:val="nil"/>
                <w:left w:val="nil"/>
                <w:bottom w:val="nil"/>
                <w:right w:val="nil"/>
                <w:between w:val="nil"/>
              </w:pBdr>
              <w:spacing w:after="0" w:line="276" w:lineRule="auto"/>
              <w:jc w:val="center"/>
              <w:rPr>
                <w:sz w:val="20"/>
                <w:szCs w:val="20"/>
              </w:rPr>
            </w:pPr>
            <w:r>
              <w:rPr>
                <w:sz w:val="20"/>
                <w:szCs w:val="20"/>
              </w:rPr>
              <w:t xml:space="preserve">Art </w:t>
            </w:r>
            <w:proofErr w:type="spellStart"/>
            <w:r>
              <w:rPr>
                <w:sz w:val="20"/>
                <w:szCs w:val="20"/>
              </w:rPr>
              <w:t>occupations</w:t>
            </w:r>
            <w:proofErr w:type="spellEnd"/>
          </w:p>
        </w:tc>
      </w:tr>
      <w:tr w:rsidR="00AB4A98" w14:paraId="72AB1A08"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9893DC"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51</w:t>
            </w:r>
          </w:p>
        </w:tc>
        <w:tc>
          <w:tcPr>
            <w:tcW w:w="7950" w:type="dxa"/>
            <w:tcMar>
              <w:top w:w="100" w:type="dxa"/>
              <w:left w:w="100" w:type="dxa"/>
              <w:bottom w:w="100" w:type="dxa"/>
              <w:right w:w="100" w:type="dxa"/>
            </w:tcMar>
          </w:tcPr>
          <w:p w14:paraId="6E6D5036" w14:textId="4B8913AF" w:rsidR="00A260A3" w:rsidRDefault="00A260A3">
            <w:pPr>
              <w:widowControl w:val="0"/>
              <w:pBdr>
                <w:top w:val="nil"/>
                <w:left w:val="nil"/>
                <w:bottom w:val="nil"/>
                <w:right w:val="nil"/>
                <w:between w:val="nil"/>
              </w:pBdr>
              <w:spacing w:after="0" w:line="276" w:lineRule="auto"/>
              <w:jc w:val="center"/>
              <w:rPr>
                <w:sz w:val="20"/>
                <w:szCs w:val="20"/>
              </w:rPr>
            </w:pPr>
            <w:r>
              <w:rPr>
                <w:sz w:val="20"/>
                <w:szCs w:val="20"/>
              </w:rPr>
              <w:t xml:space="preserve">Sport </w:t>
            </w:r>
            <w:proofErr w:type="spellStart"/>
            <w:r>
              <w:rPr>
                <w:sz w:val="20"/>
                <w:szCs w:val="20"/>
              </w:rPr>
              <w:t>occupations</w:t>
            </w:r>
            <w:proofErr w:type="spellEnd"/>
          </w:p>
        </w:tc>
      </w:tr>
      <w:tr w:rsidR="00AB4A98" w14:paraId="0426B728"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128CD5"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52</w:t>
            </w:r>
          </w:p>
        </w:tc>
        <w:tc>
          <w:tcPr>
            <w:tcW w:w="7950" w:type="dxa"/>
            <w:tcMar>
              <w:top w:w="100" w:type="dxa"/>
              <w:left w:w="100" w:type="dxa"/>
              <w:bottom w:w="100" w:type="dxa"/>
              <w:right w:w="100" w:type="dxa"/>
            </w:tcMar>
          </w:tcPr>
          <w:p w14:paraId="47B19ED2" w14:textId="64C50B32" w:rsidR="00A260A3" w:rsidRDefault="00A260A3">
            <w:pPr>
              <w:widowControl w:val="0"/>
              <w:pBdr>
                <w:top w:val="nil"/>
                <w:left w:val="nil"/>
                <w:bottom w:val="nil"/>
                <w:right w:val="nil"/>
                <w:between w:val="nil"/>
              </w:pBdr>
              <w:spacing w:after="0" w:line="276" w:lineRule="auto"/>
              <w:jc w:val="center"/>
              <w:rPr>
                <w:sz w:val="20"/>
                <w:szCs w:val="20"/>
              </w:rPr>
            </w:pPr>
            <w:proofErr w:type="spellStart"/>
            <w:r>
              <w:rPr>
                <w:sz w:val="20"/>
                <w:szCs w:val="20"/>
              </w:rPr>
              <w:t>Recreative</w:t>
            </w:r>
            <w:proofErr w:type="spellEnd"/>
            <w:r>
              <w:rPr>
                <w:sz w:val="20"/>
                <w:szCs w:val="20"/>
              </w:rPr>
              <w:t xml:space="preserve">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14:paraId="4F1B899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4D3D5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53</w:t>
            </w:r>
          </w:p>
        </w:tc>
        <w:tc>
          <w:tcPr>
            <w:tcW w:w="7950" w:type="dxa"/>
            <w:tcMar>
              <w:top w:w="100" w:type="dxa"/>
              <w:left w:w="100" w:type="dxa"/>
              <w:bottom w:w="100" w:type="dxa"/>
              <w:right w:w="100" w:type="dxa"/>
            </w:tcMar>
          </w:tcPr>
          <w:p w14:paraId="1A371B35" w14:textId="764B6935" w:rsidR="00A260A3" w:rsidRDefault="00A260A3">
            <w:pPr>
              <w:widowControl w:val="0"/>
              <w:pBdr>
                <w:top w:val="nil"/>
                <w:left w:val="nil"/>
                <w:bottom w:val="nil"/>
                <w:right w:val="nil"/>
                <w:between w:val="nil"/>
              </w:pBdr>
              <w:spacing w:after="0" w:line="276" w:lineRule="auto"/>
              <w:jc w:val="center"/>
              <w:rPr>
                <w:sz w:val="20"/>
                <w:szCs w:val="20"/>
              </w:rPr>
            </w:pPr>
            <w:proofErr w:type="spellStart"/>
            <w:r>
              <w:rPr>
                <w:sz w:val="20"/>
                <w:szCs w:val="20"/>
              </w:rPr>
              <w:t>Gastronomic</w:t>
            </w:r>
            <w:proofErr w:type="spellEnd"/>
            <w:r>
              <w:rPr>
                <w:sz w:val="20"/>
                <w:szCs w:val="20"/>
              </w:rPr>
              <w:t xml:space="preserve">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rsidRPr="00BF5447" w14:paraId="3E4D1189"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7AF8D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54</w:t>
            </w:r>
          </w:p>
        </w:tc>
        <w:tc>
          <w:tcPr>
            <w:tcW w:w="7950" w:type="dxa"/>
            <w:tcMar>
              <w:top w:w="100" w:type="dxa"/>
              <w:left w:w="100" w:type="dxa"/>
              <w:bottom w:w="100" w:type="dxa"/>
              <w:right w:w="100" w:type="dxa"/>
            </w:tcMar>
          </w:tcPr>
          <w:p w14:paraId="7EA941C5" w14:textId="71CD1D2A" w:rsidR="00A260A3" w:rsidRPr="00DE1196" w:rsidRDefault="00E344DD" w:rsidP="00E344DD">
            <w:pPr>
              <w:widowControl w:val="0"/>
              <w:pBdr>
                <w:top w:val="nil"/>
                <w:left w:val="nil"/>
                <w:bottom w:val="nil"/>
                <w:right w:val="nil"/>
                <w:between w:val="nil"/>
              </w:pBdr>
              <w:spacing w:after="0" w:line="276" w:lineRule="auto"/>
              <w:jc w:val="center"/>
              <w:rPr>
                <w:sz w:val="20"/>
                <w:szCs w:val="20"/>
                <w:lang w:val="en-US"/>
              </w:rPr>
            </w:pPr>
            <w:proofErr w:type="spellStart"/>
            <w:r w:rsidRPr="00DE1196">
              <w:rPr>
                <w:sz w:val="20"/>
                <w:szCs w:val="20"/>
                <w:lang w:val="en-US"/>
              </w:rPr>
              <w:t>Accomodation</w:t>
            </w:r>
            <w:proofErr w:type="spellEnd"/>
            <w:r w:rsidRPr="00DE1196">
              <w:rPr>
                <w:sz w:val="20"/>
                <w:szCs w:val="20"/>
                <w:lang w:val="en-US"/>
              </w:rPr>
              <w:t xml:space="preserve"> and tourism services occupations</w:t>
            </w:r>
          </w:p>
        </w:tc>
      </w:tr>
      <w:tr w:rsidR="00AB4A98" w14:paraId="2CEE2CB4"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A68F0F"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55</w:t>
            </w:r>
          </w:p>
        </w:tc>
        <w:tc>
          <w:tcPr>
            <w:tcW w:w="7950" w:type="dxa"/>
            <w:tcMar>
              <w:top w:w="100" w:type="dxa"/>
              <w:left w:w="100" w:type="dxa"/>
              <w:bottom w:w="100" w:type="dxa"/>
              <w:right w:w="100" w:type="dxa"/>
            </w:tcMar>
          </w:tcPr>
          <w:p w14:paraId="69CB0791" w14:textId="356A9612" w:rsidR="00E344DD" w:rsidRDefault="00E344DD">
            <w:pPr>
              <w:widowControl w:val="0"/>
              <w:pBdr>
                <w:top w:val="nil"/>
                <w:left w:val="nil"/>
                <w:bottom w:val="nil"/>
                <w:right w:val="nil"/>
                <w:between w:val="nil"/>
              </w:pBdr>
              <w:spacing w:after="0" w:line="276" w:lineRule="auto"/>
              <w:jc w:val="center"/>
              <w:rPr>
                <w:sz w:val="20"/>
                <w:szCs w:val="20"/>
              </w:rPr>
            </w:pPr>
            <w:proofErr w:type="spellStart"/>
            <w:r>
              <w:rPr>
                <w:sz w:val="20"/>
                <w:szCs w:val="20"/>
              </w:rPr>
              <w:t>Domestic</w:t>
            </w:r>
            <w:proofErr w:type="spellEnd"/>
            <w:r>
              <w:rPr>
                <w:sz w:val="20"/>
                <w:szCs w:val="20"/>
              </w:rPr>
              <w:t xml:space="preserve">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rsidRPr="00BF5447" w14:paraId="2DB61CD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35C5DD"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56</w:t>
            </w:r>
          </w:p>
        </w:tc>
        <w:tc>
          <w:tcPr>
            <w:tcW w:w="7950" w:type="dxa"/>
            <w:tcMar>
              <w:top w:w="100" w:type="dxa"/>
              <w:left w:w="100" w:type="dxa"/>
              <w:bottom w:w="100" w:type="dxa"/>
              <w:right w:w="100" w:type="dxa"/>
            </w:tcMar>
          </w:tcPr>
          <w:p w14:paraId="51F48C45" w14:textId="550C0F66" w:rsidR="00E344DD" w:rsidRPr="00DE1196" w:rsidRDefault="00E344DD">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Non</w:t>
            </w:r>
            <w:r w:rsidR="00AA1FA2">
              <w:rPr>
                <w:sz w:val="20"/>
                <w:szCs w:val="20"/>
                <w:lang w:val="en-US"/>
              </w:rPr>
              <w:t>-</w:t>
            </w:r>
            <w:r w:rsidRPr="00DE1196">
              <w:rPr>
                <w:sz w:val="20"/>
                <w:szCs w:val="20"/>
                <w:lang w:val="en-US"/>
              </w:rPr>
              <w:t>domestic cleaning services occupations</w:t>
            </w:r>
          </w:p>
        </w:tc>
      </w:tr>
      <w:tr w:rsidR="00AB4A98" w:rsidRPr="00BF5447" w14:paraId="36877752"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7E3668"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57</w:t>
            </w:r>
          </w:p>
        </w:tc>
        <w:tc>
          <w:tcPr>
            <w:tcW w:w="7950" w:type="dxa"/>
            <w:tcMar>
              <w:top w:w="100" w:type="dxa"/>
              <w:left w:w="100" w:type="dxa"/>
              <w:bottom w:w="100" w:type="dxa"/>
              <w:right w:w="100" w:type="dxa"/>
            </w:tcMar>
          </w:tcPr>
          <w:p w14:paraId="0AFA11BF" w14:textId="4AB7943F" w:rsidR="00AA1FA2" w:rsidRPr="00DE1196" w:rsidRDefault="00610823">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Human c</w:t>
            </w:r>
            <w:r w:rsidR="00AA1FA2" w:rsidRPr="00DE1196">
              <w:rPr>
                <w:sz w:val="20"/>
                <w:szCs w:val="20"/>
                <w:lang w:val="en-US"/>
              </w:rPr>
              <w:t xml:space="preserve">are and </w:t>
            </w:r>
            <w:r w:rsidR="00D97080" w:rsidRPr="00DE1196">
              <w:rPr>
                <w:sz w:val="20"/>
                <w:szCs w:val="20"/>
                <w:lang w:val="en-US"/>
              </w:rPr>
              <w:t xml:space="preserve">assistance </w:t>
            </w:r>
            <w:r w:rsidRPr="00DE1196">
              <w:rPr>
                <w:sz w:val="20"/>
                <w:szCs w:val="20"/>
                <w:lang w:val="en-US"/>
              </w:rPr>
              <w:t>occupations</w:t>
            </w:r>
          </w:p>
        </w:tc>
      </w:tr>
      <w:tr w:rsidR="00AB4A98" w14:paraId="09E2ABC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F961B4"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58</w:t>
            </w:r>
          </w:p>
        </w:tc>
        <w:tc>
          <w:tcPr>
            <w:tcW w:w="7950" w:type="dxa"/>
            <w:tcMar>
              <w:top w:w="100" w:type="dxa"/>
              <w:left w:w="100" w:type="dxa"/>
              <w:bottom w:w="100" w:type="dxa"/>
              <w:right w:w="100" w:type="dxa"/>
            </w:tcMar>
          </w:tcPr>
          <w:p w14:paraId="4B25F2DB" w14:textId="7FBF06B4" w:rsidR="00610823" w:rsidRDefault="00610823">
            <w:pPr>
              <w:widowControl w:val="0"/>
              <w:pBdr>
                <w:top w:val="nil"/>
                <w:left w:val="nil"/>
                <w:bottom w:val="nil"/>
                <w:right w:val="nil"/>
                <w:between w:val="nil"/>
              </w:pBdr>
              <w:spacing w:after="0" w:line="276" w:lineRule="auto"/>
              <w:jc w:val="center"/>
              <w:rPr>
                <w:sz w:val="20"/>
                <w:szCs w:val="20"/>
              </w:rPr>
            </w:pPr>
            <w:proofErr w:type="spellStart"/>
            <w:r>
              <w:rPr>
                <w:sz w:val="20"/>
                <w:szCs w:val="20"/>
              </w:rPr>
              <w:t>Various</w:t>
            </w:r>
            <w:proofErr w:type="spellEnd"/>
            <w:r>
              <w:rPr>
                <w:sz w:val="20"/>
                <w:szCs w:val="20"/>
              </w:rPr>
              <w:t xml:space="preserve"> social </w:t>
            </w:r>
            <w:proofErr w:type="spellStart"/>
            <w:r>
              <w:rPr>
                <w:sz w:val="20"/>
                <w:szCs w:val="20"/>
              </w:rPr>
              <w:t>services</w:t>
            </w:r>
            <w:proofErr w:type="spellEnd"/>
            <w:r>
              <w:rPr>
                <w:sz w:val="20"/>
                <w:szCs w:val="20"/>
              </w:rPr>
              <w:t xml:space="preserve"> </w:t>
            </w:r>
            <w:proofErr w:type="spellStart"/>
            <w:r>
              <w:rPr>
                <w:sz w:val="20"/>
                <w:szCs w:val="20"/>
              </w:rPr>
              <w:t>occupations</w:t>
            </w:r>
            <w:proofErr w:type="spellEnd"/>
          </w:p>
        </w:tc>
      </w:tr>
      <w:tr w:rsidR="00AB4A98" w14:paraId="51858338"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E5B50F"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lastRenderedPageBreak/>
              <w:t>60</w:t>
            </w:r>
          </w:p>
        </w:tc>
        <w:tc>
          <w:tcPr>
            <w:tcW w:w="7950" w:type="dxa"/>
            <w:tcMar>
              <w:top w:w="100" w:type="dxa"/>
              <w:left w:w="100" w:type="dxa"/>
              <w:bottom w:w="100" w:type="dxa"/>
              <w:right w:w="100" w:type="dxa"/>
            </w:tcMar>
          </w:tcPr>
          <w:p w14:paraId="225FD545" w14:textId="380E2CB0" w:rsidR="00610823" w:rsidRDefault="00610823">
            <w:pPr>
              <w:widowControl w:val="0"/>
              <w:pBdr>
                <w:top w:val="nil"/>
                <w:left w:val="nil"/>
                <w:bottom w:val="nil"/>
                <w:right w:val="nil"/>
                <w:between w:val="nil"/>
              </w:pBdr>
              <w:spacing w:after="0" w:line="276" w:lineRule="auto"/>
              <w:jc w:val="center"/>
              <w:rPr>
                <w:sz w:val="20"/>
                <w:szCs w:val="20"/>
              </w:rPr>
            </w:pPr>
            <w:proofErr w:type="spellStart"/>
            <w:r>
              <w:rPr>
                <w:sz w:val="20"/>
                <w:szCs w:val="20"/>
              </w:rPr>
              <w:t>Agricultural</w:t>
            </w:r>
            <w:proofErr w:type="spellEnd"/>
            <w:r>
              <w:rPr>
                <w:sz w:val="20"/>
                <w:szCs w:val="20"/>
              </w:rPr>
              <w:t xml:space="preserve">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14:paraId="6390ED63"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07DC4E"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61</w:t>
            </w:r>
          </w:p>
        </w:tc>
        <w:tc>
          <w:tcPr>
            <w:tcW w:w="7950" w:type="dxa"/>
            <w:tcMar>
              <w:top w:w="100" w:type="dxa"/>
              <w:left w:w="100" w:type="dxa"/>
              <w:bottom w:w="100" w:type="dxa"/>
              <w:right w:w="100" w:type="dxa"/>
            </w:tcMar>
          </w:tcPr>
          <w:p w14:paraId="6A9B5175" w14:textId="17888FF6" w:rsidR="0022029D" w:rsidRDefault="0022029D">
            <w:pPr>
              <w:widowControl w:val="0"/>
              <w:pBdr>
                <w:top w:val="nil"/>
                <w:left w:val="nil"/>
                <w:bottom w:val="nil"/>
                <w:right w:val="nil"/>
                <w:between w:val="nil"/>
              </w:pBdr>
              <w:spacing w:after="0" w:line="276" w:lineRule="auto"/>
              <w:jc w:val="center"/>
              <w:rPr>
                <w:sz w:val="20"/>
                <w:szCs w:val="20"/>
              </w:rPr>
            </w:pPr>
            <w:proofErr w:type="spellStart"/>
            <w:r>
              <w:rPr>
                <w:sz w:val="20"/>
                <w:szCs w:val="20"/>
              </w:rPr>
              <w:t>Livestock</w:t>
            </w:r>
            <w:proofErr w:type="spellEnd"/>
            <w:r>
              <w:rPr>
                <w:sz w:val="20"/>
                <w:szCs w:val="20"/>
              </w:rPr>
              <w:t xml:space="preserve">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14:paraId="1A0FA9A2"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EFE0C8"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62</w:t>
            </w:r>
          </w:p>
        </w:tc>
        <w:tc>
          <w:tcPr>
            <w:tcW w:w="7950" w:type="dxa"/>
            <w:tcMar>
              <w:top w:w="100" w:type="dxa"/>
              <w:left w:w="100" w:type="dxa"/>
              <w:bottom w:w="100" w:type="dxa"/>
              <w:right w:w="100" w:type="dxa"/>
            </w:tcMar>
          </w:tcPr>
          <w:p w14:paraId="128F2F20" w14:textId="6D078869" w:rsidR="0022029D" w:rsidRDefault="0022029D">
            <w:pPr>
              <w:widowControl w:val="0"/>
              <w:pBdr>
                <w:top w:val="nil"/>
                <w:left w:val="nil"/>
                <w:bottom w:val="nil"/>
                <w:right w:val="nil"/>
                <w:between w:val="nil"/>
              </w:pBdr>
              <w:spacing w:after="0" w:line="276" w:lineRule="auto"/>
              <w:jc w:val="center"/>
              <w:rPr>
                <w:sz w:val="20"/>
                <w:szCs w:val="20"/>
              </w:rPr>
            </w:pPr>
            <w:r>
              <w:rPr>
                <w:sz w:val="20"/>
                <w:szCs w:val="20"/>
              </w:rPr>
              <w:t xml:space="preserve">Forestal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rsidRPr="00BF5447" w14:paraId="31A7C5C7"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EB5882"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63</w:t>
            </w:r>
          </w:p>
        </w:tc>
        <w:tc>
          <w:tcPr>
            <w:tcW w:w="7950" w:type="dxa"/>
            <w:tcMar>
              <w:top w:w="100" w:type="dxa"/>
              <w:left w:w="100" w:type="dxa"/>
              <w:bottom w:w="100" w:type="dxa"/>
              <w:right w:w="100" w:type="dxa"/>
            </w:tcMar>
          </w:tcPr>
          <w:p w14:paraId="10AF56F6" w14:textId="55091F40" w:rsidR="0022029D" w:rsidRPr="00DE1196" w:rsidRDefault="00F5358C">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Bee and poultry production occupations</w:t>
            </w:r>
          </w:p>
        </w:tc>
      </w:tr>
      <w:tr w:rsidR="00AB4A98" w14:paraId="75031D48"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5B35C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64</w:t>
            </w:r>
          </w:p>
        </w:tc>
        <w:tc>
          <w:tcPr>
            <w:tcW w:w="7950" w:type="dxa"/>
            <w:tcMar>
              <w:top w:w="100" w:type="dxa"/>
              <w:left w:w="100" w:type="dxa"/>
              <w:bottom w:w="100" w:type="dxa"/>
              <w:right w:w="100" w:type="dxa"/>
            </w:tcMar>
          </w:tcPr>
          <w:p w14:paraId="222B5FB3" w14:textId="5A00C4DF" w:rsidR="002D7397" w:rsidRDefault="002D7397">
            <w:pPr>
              <w:widowControl w:val="0"/>
              <w:pBdr>
                <w:top w:val="nil"/>
                <w:left w:val="nil"/>
                <w:bottom w:val="nil"/>
                <w:right w:val="nil"/>
                <w:between w:val="nil"/>
              </w:pBdr>
              <w:spacing w:after="0" w:line="276" w:lineRule="auto"/>
              <w:jc w:val="center"/>
              <w:rPr>
                <w:sz w:val="20"/>
                <w:szCs w:val="20"/>
              </w:rPr>
            </w:pPr>
            <w:proofErr w:type="spellStart"/>
            <w:r>
              <w:rPr>
                <w:sz w:val="20"/>
                <w:szCs w:val="20"/>
              </w:rPr>
              <w:t>Fishing</w:t>
            </w:r>
            <w:proofErr w:type="spellEnd"/>
            <w:r>
              <w:rPr>
                <w:sz w:val="20"/>
                <w:szCs w:val="20"/>
              </w:rPr>
              <w:t xml:space="preserve">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14:paraId="46B4A864"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874965"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65</w:t>
            </w:r>
          </w:p>
        </w:tc>
        <w:tc>
          <w:tcPr>
            <w:tcW w:w="7950" w:type="dxa"/>
            <w:tcMar>
              <w:top w:w="100" w:type="dxa"/>
              <w:left w:w="100" w:type="dxa"/>
              <w:bottom w:w="100" w:type="dxa"/>
              <w:right w:w="100" w:type="dxa"/>
            </w:tcMar>
          </w:tcPr>
          <w:p w14:paraId="48177372" w14:textId="6A8D8B0E" w:rsidR="002D7397" w:rsidRDefault="002D7397">
            <w:pPr>
              <w:widowControl w:val="0"/>
              <w:pBdr>
                <w:top w:val="nil"/>
                <w:left w:val="nil"/>
                <w:bottom w:val="nil"/>
                <w:right w:val="nil"/>
                <w:between w:val="nil"/>
              </w:pBdr>
              <w:spacing w:after="0" w:line="276" w:lineRule="auto"/>
              <w:jc w:val="center"/>
              <w:rPr>
                <w:sz w:val="20"/>
                <w:szCs w:val="20"/>
              </w:rPr>
            </w:pPr>
            <w:proofErr w:type="spellStart"/>
            <w:r>
              <w:rPr>
                <w:sz w:val="20"/>
                <w:szCs w:val="20"/>
              </w:rPr>
              <w:t>Hunting</w:t>
            </w:r>
            <w:proofErr w:type="spellEnd"/>
            <w:r>
              <w:rPr>
                <w:sz w:val="20"/>
                <w:szCs w:val="20"/>
              </w:rPr>
              <w:t xml:space="preserve"> </w:t>
            </w:r>
            <w:proofErr w:type="spellStart"/>
            <w:r>
              <w:rPr>
                <w:sz w:val="20"/>
                <w:szCs w:val="20"/>
              </w:rPr>
              <w:t>occupations</w:t>
            </w:r>
            <w:proofErr w:type="spellEnd"/>
          </w:p>
        </w:tc>
      </w:tr>
      <w:tr w:rsidR="00AB4A98" w14:paraId="47849D5C"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ACE53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70</w:t>
            </w:r>
          </w:p>
        </w:tc>
        <w:tc>
          <w:tcPr>
            <w:tcW w:w="7950" w:type="dxa"/>
            <w:tcMar>
              <w:top w:w="100" w:type="dxa"/>
              <w:left w:w="100" w:type="dxa"/>
              <w:bottom w:w="100" w:type="dxa"/>
              <w:right w:w="100" w:type="dxa"/>
            </w:tcMar>
          </w:tcPr>
          <w:p w14:paraId="52E21D23" w14:textId="0A9DE579" w:rsidR="002D7397" w:rsidRDefault="002D7397">
            <w:pPr>
              <w:widowControl w:val="0"/>
              <w:pBdr>
                <w:top w:val="nil"/>
                <w:left w:val="nil"/>
                <w:bottom w:val="nil"/>
                <w:right w:val="nil"/>
                <w:between w:val="nil"/>
              </w:pBdr>
              <w:spacing w:after="0" w:line="276" w:lineRule="auto"/>
              <w:jc w:val="center"/>
              <w:rPr>
                <w:sz w:val="20"/>
                <w:szCs w:val="20"/>
              </w:rPr>
            </w:pPr>
            <w:proofErr w:type="spellStart"/>
            <w:r>
              <w:rPr>
                <w:sz w:val="20"/>
                <w:szCs w:val="20"/>
              </w:rPr>
              <w:t>Extractive</w:t>
            </w:r>
            <w:proofErr w:type="spellEnd"/>
            <w:r>
              <w:rPr>
                <w:sz w:val="20"/>
                <w:szCs w:val="20"/>
              </w:rPr>
              <w:t xml:space="preserve">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rsidRPr="00BF5447" w14:paraId="7153C804"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959D80"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71</w:t>
            </w:r>
          </w:p>
        </w:tc>
        <w:tc>
          <w:tcPr>
            <w:tcW w:w="7950" w:type="dxa"/>
            <w:tcMar>
              <w:top w:w="100" w:type="dxa"/>
              <w:left w:w="100" w:type="dxa"/>
              <w:bottom w:w="100" w:type="dxa"/>
              <w:right w:w="100" w:type="dxa"/>
            </w:tcMar>
          </w:tcPr>
          <w:p w14:paraId="17C8117E" w14:textId="4C601D57" w:rsidR="002D7397" w:rsidRPr="00DE1196" w:rsidRDefault="002D7397">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Energy, gas and water production occupations</w:t>
            </w:r>
          </w:p>
        </w:tc>
      </w:tr>
      <w:tr w:rsidR="00AB4A98" w14:paraId="15490656"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2D38F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72</w:t>
            </w:r>
          </w:p>
        </w:tc>
        <w:tc>
          <w:tcPr>
            <w:tcW w:w="7950" w:type="dxa"/>
            <w:tcMar>
              <w:top w:w="100" w:type="dxa"/>
              <w:left w:w="100" w:type="dxa"/>
              <w:bottom w:w="100" w:type="dxa"/>
              <w:right w:w="100" w:type="dxa"/>
            </w:tcMar>
          </w:tcPr>
          <w:p w14:paraId="7FEF2AC7" w14:textId="1E527118" w:rsidR="002D7397" w:rsidRDefault="002D7397">
            <w:pPr>
              <w:widowControl w:val="0"/>
              <w:pBdr>
                <w:top w:val="nil"/>
                <w:left w:val="nil"/>
                <w:bottom w:val="nil"/>
                <w:right w:val="nil"/>
                <w:between w:val="nil"/>
              </w:pBdr>
              <w:spacing w:after="0" w:line="276" w:lineRule="auto"/>
              <w:jc w:val="center"/>
              <w:rPr>
                <w:sz w:val="20"/>
                <w:szCs w:val="20"/>
              </w:rPr>
            </w:pPr>
            <w:proofErr w:type="spellStart"/>
            <w:r>
              <w:rPr>
                <w:sz w:val="20"/>
                <w:szCs w:val="20"/>
              </w:rPr>
              <w:t>Construction</w:t>
            </w:r>
            <w:proofErr w:type="spellEnd"/>
            <w:r>
              <w:rPr>
                <w:sz w:val="20"/>
                <w:szCs w:val="20"/>
              </w:rPr>
              <w:t xml:space="preserve"> </w:t>
            </w:r>
            <w:proofErr w:type="spellStart"/>
            <w:r>
              <w:rPr>
                <w:sz w:val="20"/>
                <w:szCs w:val="20"/>
              </w:rPr>
              <w:t>occupations</w:t>
            </w:r>
            <w:proofErr w:type="spellEnd"/>
          </w:p>
        </w:tc>
      </w:tr>
      <w:tr w:rsidR="00AB4A98" w:rsidRPr="00BF5447" w14:paraId="1E80778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84D66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80</w:t>
            </w:r>
          </w:p>
        </w:tc>
        <w:tc>
          <w:tcPr>
            <w:tcW w:w="7950" w:type="dxa"/>
            <w:tcMar>
              <w:top w:w="100" w:type="dxa"/>
              <w:left w:w="100" w:type="dxa"/>
              <w:bottom w:w="100" w:type="dxa"/>
              <w:right w:w="100" w:type="dxa"/>
            </w:tcMar>
          </w:tcPr>
          <w:p w14:paraId="5C21F9FE" w14:textId="5BC95B11" w:rsidR="002D7397" w:rsidRPr="00DE1196" w:rsidRDefault="002D7397">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Industrial and </w:t>
            </w:r>
            <w:r w:rsidR="00D83010" w:rsidRPr="00DE1196">
              <w:rPr>
                <w:sz w:val="20"/>
                <w:szCs w:val="20"/>
                <w:lang w:val="en-US"/>
              </w:rPr>
              <w:t>craft</w:t>
            </w:r>
            <w:r w:rsidRPr="00DE1196">
              <w:rPr>
                <w:sz w:val="20"/>
                <w:szCs w:val="20"/>
                <w:lang w:val="en-US"/>
              </w:rPr>
              <w:t xml:space="preserve"> production occupations</w:t>
            </w:r>
          </w:p>
        </w:tc>
      </w:tr>
      <w:tr w:rsidR="00AB4A98" w14:paraId="2D12E145"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76C30C"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81</w:t>
            </w:r>
          </w:p>
        </w:tc>
        <w:tc>
          <w:tcPr>
            <w:tcW w:w="7950" w:type="dxa"/>
            <w:tcMar>
              <w:top w:w="100" w:type="dxa"/>
              <w:left w:w="100" w:type="dxa"/>
              <w:bottom w:w="100" w:type="dxa"/>
              <w:right w:w="100" w:type="dxa"/>
            </w:tcMar>
          </w:tcPr>
          <w:p w14:paraId="04257C01" w14:textId="56B7819A" w:rsidR="002D7397" w:rsidRDefault="002D7397">
            <w:pPr>
              <w:widowControl w:val="0"/>
              <w:pBdr>
                <w:top w:val="nil"/>
                <w:left w:val="nil"/>
                <w:bottom w:val="nil"/>
                <w:right w:val="nil"/>
                <w:between w:val="nil"/>
              </w:pBdr>
              <w:spacing w:after="0" w:line="276" w:lineRule="auto"/>
              <w:jc w:val="center"/>
              <w:rPr>
                <w:sz w:val="20"/>
                <w:szCs w:val="20"/>
              </w:rPr>
            </w:pPr>
            <w:r>
              <w:rPr>
                <w:sz w:val="20"/>
                <w:szCs w:val="20"/>
              </w:rPr>
              <w:t xml:space="preserve">Software </w:t>
            </w:r>
            <w:proofErr w:type="spellStart"/>
            <w:r>
              <w:rPr>
                <w:sz w:val="20"/>
                <w:szCs w:val="20"/>
              </w:rPr>
              <w:t>production</w:t>
            </w:r>
            <w:proofErr w:type="spellEnd"/>
            <w:r>
              <w:rPr>
                <w:sz w:val="20"/>
                <w:szCs w:val="20"/>
              </w:rPr>
              <w:t xml:space="preserve"> </w:t>
            </w:r>
            <w:proofErr w:type="spellStart"/>
            <w:r>
              <w:rPr>
                <w:sz w:val="20"/>
                <w:szCs w:val="20"/>
              </w:rPr>
              <w:t>occupations</w:t>
            </w:r>
            <w:proofErr w:type="spellEnd"/>
          </w:p>
        </w:tc>
      </w:tr>
      <w:tr w:rsidR="00AB4A98" w14:paraId="3621946E"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58E2AA"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82</w:t>
            </w:r>
          </w:p>
        </w:tc>
        <w:tc>
          <w:tcPr>
            <w:tcW w:w="7950" w:type="dxa"/>
            <w:tcMar>
              <w:top w:w="100" w:type="dxa"/>
              <w:left w:w="100" w:type="dxa"/>
              <w:bottom w:w="100" w:type="dxa"/>
              <w:right w:w="100" w:type="dxa"/>
            </w:tcMar>
          </w:tcPr>
          <w:p w14:paraId="14FC825B" w14:textId="58F3D666" w:rsidR="002D7397" w:rsidRDefault="00653EC1">
            <w:pPr>
              <w:widowControl w:val="0"/>
              <w:pBdr>
                <w:top w:val="nil"/>
                <w:left w:val="nil"/>
                <w:bottom w:val="nil"/>
                <w:right w:val="nil"/>
                <w:between w:val="nil"/>
              </w:pBdr>
              <w:spacing w:after="0" w:line="276" w:lineRule="auto"/>
              <w:jc w:val="center"/>
              <w:rPr>
                <w:sz w:val="20"/>
                <w:szCs w:val="20"/>
              </w:rPr>
            </w:pPr>
            <w:proofErr w:type="spellStart"/>
            <w:r>
              <w:rPr>
                <w:sz w:val="20"/>
                <w:szCs w:val="20"/>
              </w:rPr>
              <w:t>Consumption</w:t>
            </w:r>
            <w:proofErr w:type="spellEnd"/>
            <w:r>
              <w:rPr>
                <w:sz w:val="20"/>
                <w:szCs w:val="20"/>
              </w:rPr>
              <w:t xml:space="preserve"> </w:t>
            </w:r>
            <w:proofErr w:type="spellStart"/>
            <w:r>
              <w:rPr>
                <w:sz w:val="20"/>
                <w:szCs w:val="20"/>
              </w:rPr>
              <w:t>goods</w:t>
            </w:r>
            <w:proofErr w:type="spellEnd"/>
            <w:r>
              <w:rPr>
                <w:sz w:val="20"/>
                <w:szCs w:val="20"/>
              </w:rPr>
              <w:t xml:space="preserve"> </w:t>
            </w:r>
            <w:proofErr w:type="spellStart"/>
            <w:r w:rsidR="001F4AB0">
              <w:rPr>
                <w:sz w:val="20"/>
                <w:szCs w:val="20"/>
              </w:rPr>
              <w:t>rapair</w:t>
            </w:r>
            <w:proofErr w:type="spellEnd"/>
            <w:r w:rsidR="001F4AB0">
              <w:rPr>
                <w:sz w:val="20"/>
                <w:szCs w:val="20"/>
              </w:rPr>
              <w:t xml:space="preserve"> </w:t>
            </w:r>
            <w:proofErr w:type="spellStart"/>
            <w:r w:rsidR="001F4AB0">
              <w:rPr>
                <w:sz w:val="20"/>
                <w:szCs w:val="20"/>
              </w:rPr>
              <w:t>occupations</w:t>
            </w:r>
            <w:proofErr w:type="spellEnd"/>
          </w:p>
        </w:tc>
      </w:tr>
      <w:tr w:rsidR="00AB4A98" w:rsidRPr="00BF5447" w14:paraId="562B60D2" w14:textId="77777777">
        <w:trPr>
          <w:trHeight w:val="74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4822B7"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90</w:t>
            </w:r>
          </w:p>
        </w:tc>
        <w:tc>
          <w:tcPr>
            <w:tcW w:w="7950" w:type="dxa"/>
            <w:tcMar>
              <w:top w:w="100" w:type="dxa"/>
              <w:left w:w="100" w:type="dxa"/>
              <w:bottom w:w="100" w:type="dxa"/>
              <w:right w:w="100" w:type="dxa"/>
            </w:tcMar>
          </w:tcPr>
          <w:p w14:paraId="0768AFC2" w14:textId="278E46BF" w:rsidR="001F4AB0" w:rsidRPr="00DE1196" w:rsidRDefault="001F4AB0">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Machinery </w:t>
            </w:r>
            <w:proofErr w:type="spellStart"/>
            <w:r w:rsidRPr="00DE1196">
              <w:rPr>
                <w:sz w:val="20"/>
                <w:szCs w:val="20"/>
                <w:lang w:val="en-US"/>
              </w:rPr>
              <w:t>instalation</w:t>
            </w:r>
            <w:proofErr w:type="spellEnd"/>
            <w:r w:rsidRPr="00DE1196">
              <w:rPr>
                <w:sz w:val="20"/>
                <w:szCs w:val="20"/>
                <w:lang w:val="en-US"/>
              </w:rPr>
              <w:t xml:space="preserve"> and maintenance occupations</w:t>
            </w:r>
          </w:p>
        </w:tc>
      </w:tr>
      <w:tr w:rsidR="00AB4A98" w14:paraId="7DED7DA7"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2E2CBB"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91</w:t>
            </w:r>
          </w:p>
        </w:tc>
        <w:tc>
          <w:tcPr>
            <w:tcW w:w="7950" w:type="dxa"/>
            <w:tcMar>
              <w:top w:w="100" w:type="dxa"/>
              <w:left w:w="100" w:type="dxa"/>
              <w:bottom w:w="100" w:type="dxa"/>
              <w:right w:w="100" w:type="dxa"/>
            </w:tcMar>
          </w:tcPr>
          <w:p w14:paraId="5B76F6F8" w14:textId="183CC8F5" w:rsidR="004A7D9A" w:rsidRDefault="008923CE">
            <w:pPr>
              <w:widowControl w:val="0"/>
              <w:pBdr>
                <w:top w:val="nil"/>
                <w:left w:val="nil"/>
                <w:bottom w:val="nil"/>
                <w:right w:val="nil"/>
                <w:between w:val="nil"/>
              </w:pBdr>
              <w:spacing w:after="0" w:line="276" w:lineRule="auto"/>
              <w:jc w:val="center"/>
              <w:rPr>
                <w:sz w:val="20"/>
                <w:szCs w:val="20"/>
              </w:rPr>
            </w:pPr>
            <w:proofErr w:type="spellStart"/>
            <w:r>
              <w:rPr>
                <w:sz w:val="20"/>
                <w:szCs w:val="20"/>
              </w:rPr>
              <w:t>Productive</w:t>
            </w:r>
            <w:proofErr w:type="spellEnd"/>
            <w:r>
              <w:rPr>
                <w:sz w:val="20"/>
                <w:szCs w:val="20"/>
              </w:rPr>
              <w:t xml:space="preserve"> </w:t>
            </w:r>
            <w:proofErr w:type="spellStart"/>
            <w:r>
              <w:rPr>
                <w:sz w:val="20"/>
                <w:szCs w:val="20"/>
              </w:rPr>
              <w:t>technological</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occupations</w:t>
            </w:r>
            <w:proofErr w:type="spellEnd"/>
            <w:r w:rsidR="004A7D9A">
              <w:rPr>
                <w:sz w:val="20"/>
                <w:szCs w:val="20"/>
              </w:rPr>
              <w:t xml:space="preserve">  </w:t>
            </w:r>
          </w:p>
        </w:tc>
      </w:tr>
      <w:tr w:rsidR="00AB4A98" w:rsidRPr="00BF5447" w14:paraId="709BC84A" w14:textId="77777777">
        <w:trPr>
          <w:trHeight w:val="74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FA6FA6" w14:textId="77777777" w:rsidR="00AB4A98" w:rsidRDefault="00131924">
            <w:pPr>
              <w:widowControl w:val="0"/>
              <w:pBdr>
                <w:top w:val="nil"/>
                <w:left w:val="nil"/>
                <w:bottom w:val="nil"/>
                <w:right w:val="nil"/>
                <w:between w:val="nil"/>
              </w:pBdr>
              <w:spacing w:after="0" w:line="276" w:lineRule="auto"/>
              <w:jc w:val="center"/>
              <w:rPr>
                <w:sz w:val="20"/>
                <w:szCs w:val="20"/>
              </w:rPr>
            </w:pPr>
            <w:r>
              <w:rPr>
                <w:sz w:val="20"/>
                <w:szCs w:val="20"/>
              </w:rPr>
              <w:t>92</w:t>
            </w:r>
          </w:p>
        </w:tc>
        <w:tc>
          <w:tcPr>
            <w:tcW w:w="7950" w:type="dxa"/>
            <w:tcMar>
              <w:top w:w="100" w:type="dxa"/>
              <w:left w:w="100" w:type="dxa"/>
              <w:bottom w:w="100" w:type="dxa"/>
              <w:right w:w="100" w:type="dxa"/>
            </w:tcMar>
          </w:tcPr>
          <w:p w14:paraId="1499F013" w14:textId="6EF621FD" w:rsidR="008923CE" w:rsidRPr="00DE1196" w:rsidRDefault="008923CE">
            <w:pPr>
              <w:widowControl w:val="0"/>
              <w:pBdr>
                <w:top w:val="nil"/>
                <w:left w:val="nil"/>
                <w:bottom w:val="nil"/>
                <w:right w:val="nil"/>
                <w:between w:val="nil"/>
              </w:pBdr>
              <w:spacing w:after="0" w:line="276" w:lineRule="auto"/>
              <w:jc w:val="center"/>
              <w:rPr>
                <w:sz w:val="20"/>
                <w:szCs w:val="20"/>
                <w:lang w:val="en-US"/>
              </w:rPr>
            </w:pPr>
            <w:r w:rsidRPr="00DE1196">
              <w:rPr>
                <w:sz w:val="20"/>
                <w:szCs w:val="20"/>
                <w:lang w:val="en-US"/>
              </w:rPr>
              <w:t xml:space="preserve">Installation and maintenance of service machinery </w:t>
            </w:r>
            <w:r>
              <w:rPr>
                <w:sz w:val="20"/>
                <w:szCs w:val="20"/>
                <w:lang w:val="en-US"/>
              </w:rPr>
              <w:t>occupations</w:t>
            </w:r>
          </w:p>
        </w:tc>
      </w:tr>
    </w:tbl>
    <w:p w14:paraId="235FB259" w14:textId="77777777" w:rsidR="00AB4A98" w:rsidRPr="00DE1196" w:rsidRDefault="00AB4A98">
      <w:pPr>
        <w:rPr>
          <w:sz w:val="20"/>
          <w:szCs w:val="20"/>
          <w:lang w:val="en-US"/>
        </w:rPr>
      </w:pPr>
    </w:p>
    <w:p w14:paraId="7BE830C3" w14:textId="77777777" w:rsidR="006A7589" w:rsidRPr="00DE1196" w:rsidRDefault="006A7589" w:rsidP="00A54C8C">
      <w:pPr>
        <w:jc w:val="center"/>
        <w:rPr>
          <w:sz w:val="20"/>
          <w:szCs w:val="20"/>
          <w:lang w:val="en-US"/>
        </w:rPr>
      </w:pPr>
      <w:r>
        <w:rPr>
          <w:sz w:val="20"/>
          <w:szCs w:val="20"/>
          <w:lang w:val="en"/>
        </w:rPr>
        <w:t>Table A1. Occupations of the National Occupational Code (CNO) 2001.</w:t>
      </w:r>
    </w:p>
    <w:p w14:paraId="63A756E9" w14:textId="77777777" w:rsidR="00853BB7" w:rsidRPr="00DE1196" w:rsidRDefault="00853BB7">
      <w:pPr>
        <w:rPr>
          <w:sz w:val="20"/>
          <w:szCs w:val="20"/>
          <w:lang w:val="en-US"/>
        </w:rPr>
      </w:pPr>
      <w:r w:rsidRPr="00DE1196">
        <w:rPr>
          <w:sz w:val="20"/>
          <w:szCs w:val="20"/>
          <w:lang w:val="en-US"/>
        </w:rPr>
        <w:br w:type="page"/>
      </w:r>
    </w:p>
    <w:p w14:paraId="6F4D59C5" w14:textId="5D6D6715" w:rsidR="00E51F44" w:rsidRDefault="00E51F44" w:rsidP="00A54C8C">
      <w:pPr>
        <w:pStyle w:val="Heading2"/>
        <w:rPr>
          <w:lang w:val="en"/>
        </w:rPr>
      </w:pPr>
      <w:r>
        <w:rPr>
          <w:lang w:val="en"/>
        </w:rPr>
        <w:lastRenderedPageBreak/>
        <w:t>Annex 2</w:t>
      </w:r>
    </w:p>
    <w:tbl>
      <w:tblPr>
        <w:tblW w:w="8972" w:type="dxa"/>
        <w:tblCellMar>
          <w:left w:w="70" w:type="dxa"/>
          <w:right w:w="70" w:type="dxa"/>
        </w:tblCellMar>
        <w:tblLook w:val="04A0" w:firstRow="1" w:lastRow="0" w:firstColumn="1" w:lastColumn="0" w:noHBand="0" w:noVBand="1"/>
      </w:tblPr>
      <w:tblGrid>
        <w:gridCol w:w="3936"/>
        <w:gridCol w:w="965"/>
        <w:gridCol w:w="865"/>
        <w:gridCol w:w="841"/>
        <w:gridCol w:w="660"/>
        <w:gridCol w:w="660"/>
        <w:gridCol w:w="1045"/>
      </w:tblGrid>
      <w:tr w:rsidR="00652FE7" w:rsidRPr="00124C67" w14:paraId="443FA6D8" w14:textId="77777777" w:rsidTr="002F0A15">
        <w:trPr>
          <w:trHeight w:val="279"/>
        </w:trPr>
        <w:tc>
          <w:tcPr>
            <w:tcW w:w="3936" w:type="dxa"/>
            <w:tcBorders>
              <w:top w:val="single" w:sz="4" w:space="0" w:color="auto"/>
              <w:left w:val="nil"/>
              <w:bottom w:val="single" w:sz="4" w:space="0" w:color="auto"/>
              <w:right w:val="nil"/>
            </w:tcBorders>
            <w:shd w:val="clear" w:color="auto" w:fill="auto"/>
            <w:noWrap/>
            <w:vAlign w:val="center"/>
            <w:hideMark/>
          </w:tcPr>
          <w:p w14:paraId="465D01E4" w14:textId="77777777" w:rsidR="002F0A15" w:rsidRPr="002F0A15" w:rsidRDefault="00477E94" w:rsidP="00546537">
            <w:pPr>
              <w:spacing w:after="0"/>
              <w:rPr>
                <w:rFonts w:eastAsia="Times New Roman"/>
                <w:color w:val="000000"/>
                <w:sz w:val="20"/>
                <w:szCs w:val="20"/>
                <w:lang w:val="es-AR"/>
              </w:rPr>
            </w:pPr>
            <w:proofErr w:type="spellStart"/>
            <w:r w:rsidRPr="002F0A15">
              <w:rPr>
                <w:rFonts w:eastAsia="Times New Roman"/>
                <w:color w:val="000000"/>
                <w:sz w:val="20"/>
                <w:szCs w:val="20"/>
                <w:lang w:val="es-AR"/>
              </w:rPr>
              <w:t>Dep</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var</w:t>
            </w:r>
            <w:proofErr w:type="spellEnd"/>
          </w:p>
          <w:p w14:paraId="7E401404" w14:textId="7E455F11" w:rsidR="00652FE7" w:rsidRPr="002F0A15" w:rsidRDefault="00477E94" w:rsidP="00546537">
            <w:pPr>
              <w:spacing w:after="0"/>
              <w:rPr>
                <w:rFonts w:eastAsia="Times New Roman"/>
                <w:color w:val="000000"/>
                <w:sz w:val="20"/>
                <w:szCs w:val="20"/>
                <w:lang w:val="es-AR"/>
              </w:rPr>
            </w:pPr>
            <w:proofErr w:type="spellStart"/>
            <w:r w:rsidRPr="002F0A15">
              <w:rPr>
                <w:rFonts w:eastAsia="Times New Roman"/>
                <w:color w:val="000000"/>
                <w:sz w:val="20"/>
                <w:szCs w:val="20"/>
                <w:lang w:val="es-AR"/>
              </w:rPr>
              <w:t>QuarterlyChangeRealHourlyWage</w:t>
            </w:r>
            <w:proofErr w:type="spellEnd"/>
          </w:p>
        </w:tc>
        <w:tc>
          <w:tcPr>
            <w:tcW w:w="965" w:type="dxa"/>
            <w:tcBorders>
              <w:top w:val="single" w:sz="4" w:space="0" w:color="auto"/>
              <w:left w:val="nil"/>
              <w:bottom w:val="single" w:sz="4" w:space="0" w:color="auto"/>
              <w:right w:val="nil"/>
            </w:tcBorders>
            <w:shd w:val="clear" w:color="auto" w:fill="auto"/>
            <w:noWrap/>
            <w:vAlign w:val="center"/>
            <w:hideMark/>
          </w:tcPr>
          <w:p w14:paraId="7B4CCC32" w14:textId="77777777" w:rsidR="00652FE7" w:rsidRPr="002F0A15" w:rsidRDefault="00652FE7" w:rsidP="00546537">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estimate</w:t>
            </w:r>
            <w:proofErr w:type="spellEnd"/>
          </w:p>
        </w:tc>
        <w:tc>
          <w:tcPr>
            <w:tcW w:w="865" w:type="dxa"/>
            <w:tcBorders>
              <w:top w:val="single" w:sz="4" w:space="0" w:color="auto"/>
              <w:left w:val="nil"/>
              <w:bottom w:val="single" w:sz="4" w:space="0" w:color="auto"/>
              <w:right w:val="nil"/>
            </w:tcBorders>
            <w:shd w:val="clear" w:color="auto" w:fill="auto"/>
            <w:noWrap/>
            <w:vAlign w:val="center"/>
            <w:hideMark/>
          </w:tcPr>
          <w:p w14:paraId="4C4285FC" w14:textId="77777777" w:rsidR="00652FE7" w:rsidRPr="002F0A15" w:rsidRDefault="00652FE7" w:rsidP="00546537">
            <w:pPr>
              <w:spacing w:after="0"/>
              <w:jc w:val="center"/>
              <w:rPr>
                <w:rFonts w:eastAsia="Times New Roman"/>
                <w:color w:val="000000"/>
                <w:sz w:val="20"/>
                <w:szCs w:val="20"/>
                <w:lang w:val="es-AR"/>
              </w:rPr>
            </w:pPr>
            <w:proofErr w:type="spellStart"/>
            <w:proofErr w:type="gramStart"/>
            <w:r w:rsidRPr="002F0A15">
              <w:rPr>
                <w:rFonts w:eastAsia="Times New Roman"/>
                <w:color w:val="000000"/>
                <w:sz w:val="20"/>
                <w:szCs w:val="20"/>
                <w:lang w:val="es-AR"/>
              </w:rPr>
              <w:t>std.error</w:t>
            </w:r>
            <w:proofErr w:type="spellEnd"/>
            <w:proofErr w:type="gramEnd"/>
          </w:p>
        </w:tc>
        <w:tc>
          <w:tcPr>
            <w:tcW w:w="841" w:type="dxa"/>
            <w:tcBorders>
              <w:top w:val="single" w:sz="4" w:space="0" w:color="auto"/>
              <w:left w:val="nil"/>
              <w:bottom w:val="single" w:sz="4" w:space="0" w:color="auto"/>
              <w:right w:val="nil"/>
            </w:tcBorders>
            <w:shd w:val="clear" w:color="auto" w:fill="auto"/>
            <w:noWrap/>
            <w:vAlign w:val="center"/>
            <w:hideMark/>
          </w:tcPr>
          <w:p w14:paraId="2F1AFD13" w14:textId="77777777" w:rsidR="00652FE7" w:rsidRPr="002F0A15" w:rsidRDefault="00652FE7" w:rsidP="00546537">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p.value</w:t>
            </w:r>
            <w:proofErr w:type="spellEnd"/>
          </w:p>
        </w:tc>
        <w:tc>
          <w:tcPr>
            <w:tcW w:w="660" w:type="dxa"/>
            <w:tcBorders>
              <w:top w:val="single" w:sz="4" w:space="0" w:color="auto"/>
              <w:left w:val="nil"/>
              <w:bottom w:val="single" w:sz="4" w:space="0" w:color="auto"/>
              <w:right w:val="nil"/>
            </w:tcBorders>
            <w:shd w:val="clear" w:color="auto" w:fill="auto"/>
            <w:noWrap/>
            <w:vAlign w:val="center"/>
            <w:hideMark/>
          </w:tcPr>
          <w:p w14:paraId="396B844A" w14:textId="5DA86C74" w:rsidR="00652FE7" w:rsidRPr="002F0A15" w:rsidRDefault="00027292"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L</w:t>
            </w:r>
            <w:r w:rsidR="00652FE7" w:rsidRPr="002F0A15">
              <w:rPr>
                <w:rFonts w:eastAsia="Times New Roman"/>
                <w:color w:val="000000"/>
                <w:sz w:val="20"/>
                <w:szCs w:val="20"/>
                <w:lang w:val="es-AR"/>
              </w:rPr>
              <w:t>b</w:t>
            </w:r>
            <w:r w:rsidRPr="002F0A15">
              <w:rPr>
                <w:rFonts w:eastAsia="Times New Roman"/>
                <w:color w:val="000000"/>
                <w:sz w:val="20"/>
                <w:szCs w:val="20"/>
                <w:lang w:val="es-AR"/>
              </w:rPr>
              <w:t xml:space="preserve"> (CI 90%)</w:t>
            </w:r>
          </w:p>
        </w:tc>
        <w:tc>
          <w:tcPr>
            <w:tcW w:w="660" w:type="dxa"/>
            <w:tcBorders>
              <w:top w:val="single" w:sz="4" w:space="0" w:color="auto"/>
              <w:left w:val="nil"/>
              <w:bottom w:val="single" w:sz="4" w:space="0" w:color="auto"/>
              <w:right w:val="nil"/>
            </w:tcBorders>
            <w:shd w:val="clear" w:color="auto" w:fill="auto"/>
            <w:noWrap/>
            <w:vAlign w:val="center"/>
            <w:hideMark/>
          </w:tcPr>
          <w:p w14:paraId="6CBEE22C" w14:textId="3C7399D8" w:rsidR="00652FE7" w:rsidRPr="002F0A15" w:rsidRDefault="00027292" w:rsidP="00546537">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U</w:t>
            </w:r>
            <w:r w:rsidR="00652FE7" w:rsidRPr="002F0A15">
              <w:rPr>
                <w:rFonts w:eastAsia="Times New Roman"/>
                <w:color w:val="000000"/>
                <w:sz w:val="20"/>
                <w:szCs w:val="20"/>
                <w:lang w:val="es-AR"/>
              </w:rPr>
              <w:t>b</w:t>
            </w:r>
            <w:proofErr w:type="spellEnd"/>
            <w:r w:rsidRPr="002F0A15">
              <w:rPr>
                <w:rFonts w:eastAsia="Times New Roman"/>
                <w:color w:val="000000"/>
                <w:sz w:val="20"/>
                <w:szCs w:val="20"/>
                <w:lang w:val="es-AR"/>
              </w:rPr>
              <w:t xml:space="preserve"> (CI 90%)</w:t>
            </w:r>
          </w:p>
        </w:tc>
        <w:tc>
          <w:tcPr>
            <w:tcW w:w="1045" w:type="dxa"/>
            <w:tcBorders>
              <w:top w:val="single" w:sz="4" w:space="0" w:color="auto"/>
              <w:left w:val="nil"/>
              <w:bottom w:val="single" w:sz="4" w:space="0" w:color="auto"/>
              <w:right w:val="nil"/>
            </w:tcBorders>
            <w:shd w:val="clear" w:color="auto" w:fill="auto"/>
            <w:noWrap/>
            <w:vAlign w:val="center"/>
            <w:hideMark/>
          </w:tcPr>
          <w:p w14:paraId="71F7A346" w14:textId="77777777" w:rsidR="00652FE7" w:rsidRPr="002F0A15" w:rsidRDefault="00652FE7" w:rsidP="00546537">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coefPvalue</w:t>
            </w:r>
            <w:proofErr w:type="spellEnd"/>
          </w:p>
        </w:tc>
      </w:tr>
      <w:tr w:rsidR="00652FE7" w:rsidRPr="00124C67" w14:paraId="4D20906E" w14:textId="77777777" w:rsidTr="002F0A15">
        <w:trPr>
          <w:trHeight w:val="279"/>
        </w:trPr>
        <w:tc>
          <w:tcPr>
            <w:tcW w:w="3936" w:type="dxa"/>
            <w:tcBorders>
              <w:top w:val="nil"/>
              <w:left w:val="nil"/>
              <w:bottom w:val="nil"/>
              <w:right w:val="nil"/>
            </w:tcBorders>
            <w:shd w:val="clear" w:color="auto" w:fill="auto"/>
            <w:noWrap/>
            <w:vAlign w:val="center"/>
            <w:hideMark/>
          </w:tcPr>
          <w:p w14:paraId="58F09465" w14:textId="77777777" w:rsidR="00652FE7" w:rsidRPr="002F0A15" w:rsidRDefault="00652FE7" w:rsidP="00546537">
            <w:pPr>
              <w:spacing w:after="0"/>
              <w:jc w:val="left"/>
              <w:rPr>
                <w:rFonts w:eastAsia="Times New Roman"/>
                <w:color w:val="000000"/>
                <w:sz w:val="20"/>
                <w:szCs w:val="20"/>
                <w:lang w:val="es-AR"/>
              </w:rPr>
            </w:pPr>
            <w:r w:rsidRPr="002F0A15">
              <w:rPr>
                <w:rFonts w:eastAsia="Times New Roman"/>
                <w:color w:val="000000"/>
                <w:sz w:val="20"/>
                <w:szCs w:val="20"/>
                <w:lang w:val="es-AR"/>
              </w:rPr>
              <w:t>(</w:t>
            </w:r>
            <w:proofErr w:type="spellStart"/>
            <w:r w:rsidRPr="002F0A15">
              <w:rPr>
                <w:rFonts w:eastAsia="Times New Roman"/>
                <w:color w:val="000000"/>
                <w:sz w:val="20"/>
                <w:szCs w:val="20"/>
                <w:lang w:val="es-AR"/>
              </w:rPr>
              <w:t>Intercept</w:t>
            </w:r>
            <w:proofErr w:type="spellEnd"/>
            <w:r w:rsidRPr="002F0A15">
              <w:rPr>
                <w:rFonts w:eastAsia="Times New Roman"/>
                <w:color w:val="000000"/>
                <w:sz w:val="20"/>
                <w:szCs w:val="20"/>
                <w:lang w:val="es-AR"/>
              </w:rPr>
              <w:t>)</w:t>
            </w:r>
          </w:p>
        </w:tc>
        <w:tc>
          <w:tcPr>
            <w:tcW w:w="965" w:type="dxa"/>
            <w:tcBorders>
              <w:top w:val="nil"/>
              <w:left w:val="nil"/>
              <w:bottom w:val="nil"/>
              <w:right w:val="nil"/>
            </w:tcBorders>
            <w:shd w:val="clear" w:color="auto" w:fill="auto"/>
            <w:noWrap/>
            <w:vAlign w:val="center"/>
            <w:hideMark/>
          </w:tcPr>
          <w:p w14:paraId="2079BE0F"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0.48</w:t>
            </w:r>
          </w:p>
        </w:tc>
        <w:tc>
          <w:tcPr>
            <w:tcW w:w="865" w:type="dxa"/>
            <w:tcBorders>
              <w:top w:val="nil"/>
              <w:left w:val="nil"/>
              <w:bottom w:val="nil"/>
              <w:right w:val="nil"/>
            </w:tcBorders>
            <w:shd w:val="clear" w:color="auto" w:fill="auto"/>
            <w:noWrap/>
            <w:vAlign w:val="center"/>
            <w:hideMark/>
          </w:tcPr>
          <w:p w14:paraId="797D1758"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0.14</w:t>
            </w:r>
          </w:p>
        </w:tc>
        <w:tc>
          <w:tcPr>
            <w:tcW w:w="841" w:type="dxa"/>
            <w:tcBorders>
              <w:top w:val="nil"/>
              <w:left w:val="nil"/>
              <w:bottom w:val="nil"/>
              <w:right w:val="nil"/>
            </w:tcBorders>
            <w:shd w:val="clear" w:color="auto" w:fill="auto"/>
            <w:noWrap/>
            <w:vAlign w:val="center"/>
            <w:hideMark/>
          </w:tcPr>
          <w:p w14:paraId="4EF57943"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0.00</w:t>
            </w:r>
          </w:p>
        </w:tc>
        <w:tc>
          <w:tcPr>
            <w:tcW w:w="660" w:type="dxa"/>
            <w:tcBorders>
              <w:top w:val="nil"/>
              <w:left w:val="nil"/>
              <w:bottom w:val="nil"/>
              <w:right w:val="nil"/>
            </w:tcBorders>
            <w:shd w:val="clear" w:color="auto" w:fill="auto"/>
            <w:noWrap/>
            <w:vAlign w:val="center"/>
            <w:hideMark/>
          </w:tcPr>
          <w:p w14:paraId="3A39E791"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0.26</w:t>
            </w:r>
          </w:p>
        </w:tc>
        <w:tc>
          <w:tcPr>
            <w:tcW w:w="660" w:type="dxa"/>
            <w:tcBorders>
              <w:top w:val="nil"/>
              <w:left w:val="nil"/>
              <w:bottom w:val="nil"/>
              <w:right w:val="nil"/>
            </w:tcBorders>
            <w:shd w:val="clear" w:color="auto" w:fill="auto"/>
            <w:noWrap/>
            <w:vAlign w:val="center"/>
            <w:hideMark/>
          </w:tcPr>
          <w:p w14:paraId="5A75728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0.70</w:t>
            </w:r>
          </w:p>
        </w:tc>
        <w:tc>
          <w:tcPr>
            <w:tcW w:w="1045" w:type="dxa"/>
            <w:tcBorders>
              <w:top w:val="nil"/>
              <w:left w:val="nil"/>
              <w:bottom w:val="nil"/>
              <w:right w:val="nil"/>
            </w:tcBorders>
            <w:shd w:val="clear" w:color="auto" w:fill="auto"/>
            <w:noWrap/>
            <w:vAlign w:val="center"/>
            <w:hideMark/>
          </w:tcPr>
          <w:p w14:paraId="66B872FF"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0.48***</w:t>
            </w:r>
          </w:p>
        </w:tc>
      </w:tr>
      <w:tr w:rsidR="00652FE7" w:rsidRPr="00124C67" w14:paraId="245843BB" w14:textId="77777777" w:rsidTr="002F0A15">
        <w:trPr>
          <w:trHeight w:val="279"/>
        </w:trPr>
        <w:tc>
          <w:tcPr>
            <w:tcW w:w="3936" w:type="dxa"/>
            <w:tcBorders>
              <w:top w:val="nil"/>
              <w:left w:val="nil"/>
              <w:bottom w:val="nil"/>
              <w:right w:val="nil"/>
            </w:tcBorders>
            <w:shd w:val="clear" w:color="auto" w:fill="auto"/>
            <w:noWrap/>
            <w:vAlign w:val="center"/>
            <w:hideMark/>
          </w:tcPr>
          <w:p w14:paraId="7551A619"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RijOccupation</w:t>
            </w:r>
            <w:proofErr w:type="spellEnd"/>
          </w:p>
        </w:tc>
        <w:tc>
          <w:tcPr>
            <w:tcW w:w="965" w:type="dxa"/>
            <w:tcBorders>
              <w:top w:val="nil"/>
              <w:left w:val="nil"/>
              <w:bottom w:val="nil"/>
              <w:right w:val="nil"/>
            </w:tcBorders>
            <w:shd w:val="clear" w:color="auto" w:fill="auto"/>
            <w:noWrap/>
            <w:vAlign w:val="center"/>
            <w:hideMark/>
          </w:tcPr>
          <w:p w14:paraId="585DFAA0"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0.02</w:t>
            </w:r>
          </w:p>
        </w:tc>
        <w:tc>
          <w:tcPr>
            <w:tcW w:w="865" w:type="dxa"/>
            <w:tcBorders>
              <w:top w:val="nil"/>
              <w:left w:val="nil"/>
              <w:bottom w:val="nil"/>
              <w:right w:val="nil"/>
            </w:tcBorders>
            <w:shd w:val="clear" w:color="auto" w:fill="auto"/>
            <w:noWrap/>
            <w:vAlign w:val="center"/>
            <w:hideMark/>
          </w:tcPr>
          <w:p w14:paraId="2864BB8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3B7BA128"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0.50</w:t>
            </w:r>
          </w:p>
        </w:tc>
        <w:tc>
          <w:tcPr>
            <w:tcW w:w="660" w:type="dxa"/>
            <w:tcBorders>
              <w:top w:val="nil"/>
              <w:left w:val="nil"/>
              <w:bottom w:val="nil"/>
              <w:right w:val="nil"/>
            </w:tcBorders>
            <w:shd w:val="clear" w:color="auto" w:fill="auto"/>
            <w:noWrap/>
            <w:vAlign w:val="center"/>
            <w:hideMark/>
          </w:tcPr>
          <w:p w14:paraId="10E25752"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660" w:type="dxa"/>
            <w:tcBorders>
              <w:top w:val="nil"/>
              <w:left w:val="nil"/>
              <w:bottom w:val="nil"/>
              <w:right w:val="nil"/>
            </w:tcBorders>
            <w:shd w:val="clear" w:color="auto" w:fill="auto"/>
            <w:noWrap/>
            <w:vAlign w:val="center"/>
            <w:hideMark/>
          </w:tcPr>
          <w:p w14:paraId="563CABD2"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0.08</w:t>
            </w:r>
          </w:p>
        </w:tc>
        <w:tc>
          <w:tcPr>
            <w:tcW w:w="1045" w:type="dxa"/>
            <w:tcBorders>
              <w:top w:val="nil"/>
              <w:left w:val="nil"/>
              <w:bottom w:val="nil"/>
              <w:right w:val="nil"/>
            </w:tcBorders>
            <w:shd w:val="clear" w:color="auto" w:fill="auto"/>
            <w:noWrap/>
            <w:vAlign w:val="center"/>
            <w:hideMark/>
          </w:tcPr>
          <w:p w14:paraId="7098789E"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0.02</w:t>
            </w:r>
          </w:p>
        </w:tc>
      </w:tr>
      <w:tr w:rsidR="00652FE7" w:rsidRPr="00124C67" w14:paraId="51DF632D" w14:textId="77777777" w:rsidTr="002F0A15">
        <w:trPr>
          <w:trHeight w:val="279"/>
        </w:trPr>
        <w:tc>
          <w:tcPr>
            <w:tcW w:w="3936" w:type="dxa"/>
            <w:tcBorders>
              <w:top w:val="nil"/>
              <w:left w:val="nil"/>
              <w:bottom w:val="nil"/>
              <w:right w:val="nil"/>
            </w:tcBorders>
            <w:shd w:val="clear" w:color="auto" w:fill="auto"/>
            <w:noWrap/>
            <w:vAlign w:val="center"/>
            <w:hideMark/>
          </w:tcPr>
          <w:p w14:paraId="692B19FF"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RijIndustry</w:t>
            </w:r>
            <w:proofErr w:type="spellEnd"/>
          </w:p>
        </w:tc>
        <w:tc>
          <w:tcPr>
            <w:tcW w:w="965" w:type="dxa"/>
            <w:tcBorders>
              <w:top w:val="nil"/>
              <w:left w:val="nil"/>
              <w:bottom w:val="nil"/>
              <w:right w:val="nil"/>
            </w:tcBorders>
            <w:shd w:val="clear" w:color="auto" w:fill="auto"/>
            <w:noWrap/>
            <w:vAlign w:val="center"/>
            <w:hideMark/>
          </w:tcPr>
          <w:p w14:paraId="35914D43"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65" w:type="dxa"/>
            <w:tcBorders>
              <w:top w:val="nil"/>
              <w:left w:val="nil"/>
              <w:bottom w:val="nil"/>
              <w:right w:val="nil"/>
            </w:tcBorders>
            <w:shd w:val="clear" w:color="auto" w:fill="auto"/>
            <w:noWrap/>
            <w:vAlign w:val="center"/>
            <w:hideMark/>
          </w:tcPr>
          <w:p w14:paraId="224DE652"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2189AF9B"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0.31</w:t>
            </w:r>
          </w:p>
        </w:tc>
        <w:tc>
          <w:tcPr>
            <w:tcW w:w="660" w:type="dxa"/>
            <w:tcBorders>
              <w:top w:val="nil"/>
              <w:left w:val="nil"/>
              <w:bottom w:val="nil"/>
              <w:right w:val="nil"/>
            </w:tcBorders>
            <w:shd w:val="clear" w:color="auto" w:fill="auto"/>
            <w:noWrap/>
            <w:vAlign w:val="center"/>
            <w:hideMark/>
          </w:tcPr>
          <w:p w14:paraId="3A22A2A7"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-0.08</w:t>
            </w:r>
          </w:p>
        </w:tc>
        <w:tc>
          <w:tcPr>
            <w:tcW w:w="660" w:type="dxa"/>
            <w:tcBorders>
              <w:top w:val="nil"/>
              <w:left w:val="nil"/>
              <w:bottom w:val="nil"/>
              <w:right w:val="nil"/>
            </w:tcBorders>
            <w:shd w:val="clear" w:color="auto" w:fill="auto"/>
            <w:noWrap/>
            <w:vAlign w:val="center"/>
            <w:hideMark/>
          </w:tcPr>
          <w:p w14:paraId="5DC6B63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0.02</w:t>
            </w:r>
          </w:p>
        </w:tc>
        <w:tc>
          <w:tcPr>
            <w:tcW w:w="1045" w:type="dxa"/>
            <w:tcBorders>
              <w:top w:val="nil"/>
              <w:left w:val="nil"/>
              <w:bottom w:val="nil"/>
              <w:right w:val="nil"/>
            </w:tcBorders>
            <w:shd w:val="clear" w:color="auto" w:fill="auto"/>
            <w:noWrap/>
            <w:vAlign w:val="center"/>
            <w:hideMark/>
          </w:tcPr>
          <w:p w14:paraId="2B4A064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r>
      <w:tr w:rsidR="00652FE7" w:rsidRPr="00124C67" w14:paraId="59D2A516" w14:textId="77777777" w:rsidTr="002F0A15">
        <w:trPr>
          <w:trHeight w:val="279"/>
        </w:trPr>
        <w:tc>
          <w:tcPr>
            <w:tcW w:w="3936" w:type="dxa"/>
            <w:tcBorders>
              <w:top w:val="nil"/>
              <w:left w:val="nil"/>
              <w:bottom w:val="nil"/>
              <w:right w:val="nil"/>
            </w:tcBorders>
            <w:shd w:val="clear" w:color="auto" w:fill="auto"/>
            <w:noWrap/>
            <w:vAlign w:val="center"/>
            <w:hideMark/>
          </w:tcPr>
          <w:p w14:paraId="01EC9496"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IndustryAboveAvg_Lagged</w:t>
            </w:r>
            <w:proofErr w:type="spellEnd"/>
          </w:p>
        </w:tc>
        <w:tc>
          <w:tcPr>
            <w:tcW w:w="965" w:type="dxa"/>
            <w:tcBorders>
              <w:top w:val="nil"/>
              <w:left w:val="nil"/>
              <w:bottom w:val="nil"/>
              <w:right w:val="nil"/>
            </w:tcBorders>
            <w:shd w:val="clear" w:color="auto" w:fill="auto"/>
            <w:noWrap/>
            <w:vAlign w:val="center"/>
            <w:hideMark/>
          </w:tcPr>
          <w:p w14:paraId="6C0CECC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-0.06</w:t>
            </w:r>
          </w:p>
        </w:tc>
        <w:tc>
          <w:tcPr>
            <w:tcW w:w="865" w:type="dxa"/>
            <w:tcBorders>
              <w:top w:val="nil"/>
              <w:left w:val="nil"/>
              <w:bottom w:val="nil"/>
              <w:right w:val="nil"/>
            </w:tcBorders>
            <w:shd w:val="clear" w:color="auto" w:fill="auto"/>
            <w:noWrap/>
            <w:vAlign w:val="center"/>
            <w:hideMark/>
          </w:tcPr>
          <w:p w14:paraId="46E531B1"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61B02D23"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0.05</w:t>
            </w:r>
          </w:p>
        </w:tc>
        <w:tc>
          <w:tcPr>
            <w:tcW w:w="660" w:type="dxa"/>
            <w:tcBorders>
              <w:top w:val="nil"/>
              <w:left w:val="nil"/>
              <w:bottom w:val="nil"/>
              <w:right w:val="nil"/>
            </w:tcBorders>
            <w:shd w:val="clear" w:color="auto" w:fill="auto"/>
            <w:noWrap/>
            <w:vAlign w:val="center"/>
            <w:hideMark/>
          </w:tcPr>
          <w:p w14:paraId="3EC08FC0"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-0.11</w:t>
            </w:r>
          </w:p>
        </w:tc>
        <w:tc>
          <w:tcPr>
            <w:tcW w:w="660" w:type="dxa"/>
            <w:tcBorders>
              <w:top w:val="nil"/>
              <w:left w:val="nil"/>
              <w:bottom w:val="nil"/>
              <w:right w:val="nil"/>
            </w:tcBorders>
            <w:shd w:val="clear" w:color="auto" w:fill="auto"/>
            <w:noWrap/>
            <w:vAlign w:val="center"/>
            <w:hideMark/>
          </w:tcPr>
          <w:p w14:paraId="7C579223"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-0.01</w:t>
            </w:r>
          </w:p>
        </w:tc>
        <w:tc>
          <w:tcPr>
            <w:tcW w:w="1045" w:type="dxa"/>
            <w:tcBorders>
              <w:top w:val="nil"/>
              <w:left w:val="nil"/>
              <w:bottom w:val="nil"/>
              <w:right w:val="nil"/>
            </w:tcBorders>
            <w:shd w:val="clear" w:color="auto" w:fill="auto"/>
            <w:noWrap/>
            <w:vAlign w:val="center"/>
            <w:hideMark/>
          </w:tcPr>
          <w:p w14:paraId="468E3D4E"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-0.06**</w:t>
            </w:r>
          </w:p>
        </w:tc>
      </w:tr>
      <w:tr w:rsidR="00652FE7" w:rsidRPr="00124C67" w14:paraId="08E93890" w14:textId="77777777" w:rsidTr="002F0A15">
        <w:trPr>
          <w:trHeight w:val="279"/>
        </w:trPr>
        <w:tc>
          <w:tcPr>
            <w:tcW w:w="3936" w:type="dxa"/>
            <w:tcBorders>
              <w:top w:val="nil"/>
              <w:left w:val="nil"/>
              <w:bottom w:val="nil"/>
              <w:right w:val="nil"/>
            </w:tcBorders>
            <w:shd w:val="clear" w:color="auto" w:fill="auto"/>
            <w:noWrap/>
            <w:vAlign w:val="center"/>
            <w:hideMark/>
          </w:tcPr>
          <w:p w14:paraId="01142F56"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w:t>
            </w:r>
            <w:proofErr w:type="spellEnd"/>
          </w:p>
        </w:tc>
        <w:tc>
          <w:tcPr>
            <w:tcW w:w="965" w:type="dxa"/>
            <w:tcBorders>
              <w:top w:val="nil"/>
              <w:left w:val="nil"/>
              <w:bottom w:val="nil"/>
              <w:right w:val="nil"/>
            </w:tcBorders>
            <w:shd w:val="clear" w:color="auto" w:fill="auto"/>
            <w:noWrap/>
            <w:vAlign w:val="center"/>
            <w:hideMark/>
          </w:tcPr>
          <w:p w14:paraId="7E68B0C2"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0.04</w:t>
            </w:r>
          </w:p>
        </w:tc>
        <w:tc>
          <w:tcPr>
            <w:tcW w:w="865" w:type="dxa"/>
            <w:tcBorders>
              <w:top w:val="nil"/>
              <w:left w:val="nil"/>
              <w:bottom w:val="nil"/>
              <w:right w:val="nil"/>
            </w:tcBorders>
            <w:shd w:val="clear" w:color="auto" w:fill="auto"/>
            <w:noWrap/>
            <w:vAlign w:val="center"/>
            <w:hideMark/>
          </w:tcPr>
          <w:p w14:paraId="1151FD5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1171939B"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0.18</w:t>
            </w:r>
          </w:p>
        </w:tc>
        <w:tc>
          <w:tcPr>
            <w:tcW w:w="660" w:type="dxa"/>
            <w:tcBorders>
              <w:top w:val="nil"/>
              <w:left w:val="nil"/>
              <w:bottom w:val="nil"/>
              <w:right w:val="nil"/>
            </w:tcBorders>
            <w:shd w:val="clear" w:color="auto" w:fill="auto"/>
            <w:noWrap/>
            <w:vAlign w:val="center"/>
            <w:hideMark/>
          </w:tcPr>
          <w:p w14:paraId="4D386B5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-0.01</w:t>
            </w:r>
          </w:p>
        </w:tc>
        <w:tc>
          <w:tcPr>
            <w:tcW w:w="660" w:type="dxa"/>
            <w:tcBorders>
              <w:top w:val="nil"/>
              <w:left w:val="nil"/>
              <w:bottom w:val="nil"/>
              <w:right w:val="nil"/>
            </w:tcBorders>
            <w:shd w:val="clear" w:color="auto" w:fill="auto"/>
            <w:noWrap/>
            <w:vAlign w:val="center"/>
            <w:hideMark/>
          </w:tcPr>
          <w:p w14:paraId="087AADC5"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0.09</w:t>
            </w:r>
          </w:p>
        </w:tc>
        <w:tc>
          <w:tcPr>
            <w:tcW w:w="1045" w:type="dxa"/>
            <w:tcBorders>
              <w:top w:val="nil"/>
              <w:left w:val="nil"/>
              <w:bottom w:val="nil"/>
              <w:right w:val="nil"/>
            </w:tcBorders>
            <w:shd w:val="clear" w:color="auto" w:fill="auto"/>
            <w:noWrap/>
            <w:vAlign w:val="center"/>
            <w:hideMark/>
          </w:tcPr>
          <w:p w14:paraId="656904C7"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0.04</w:t>
            </w:r>
          </w:p>
        </w:tc>
      </w:tr>
      <w:tr w:rsidR="00652FE7" w:rsidRPr="00BF5447" w14:paraId="4C1A0D42" w14:textId="77777777" w:rsidTr="002F0A15">
        <w:trPr>
          <w:trHeight w:val="558"/>
        </w:trPr>
        <w:tc>
          <w:tcPr>
            <w:tcW w:w="3936" w:type="dxa"/>
            <w:tcBorders>
              <w:top w:val="nil"/>
              <w:left w:val="nil"/>
              <w:bottom w:val="nil"/>
              <w:right w:val="nil"/>
            </w:tcBorders>
            <w:shd w:val="clear" w:color="auto" w:fill="auto"/>
            <w:vAlign w:val="center"/>
            <w:hideMark/>
          </w:tcPr>
          <w:p w14:paraId="762B9FDC" w14:textId="4B2BCA38" w:rsidR="00652FE7" w:rsidRPr="002F0A15" w:rsidRDefault="00652FE7" w:rsidP="00546537">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LaborContractLagged</w:t>
            </w:r>
            <w:proofErr w:type="spellEnd"/>
            <w:r w:rsidRPr="002F0A15">
              <w:rPr>
                <w:rFonts w:eastAsia="Times New Roman"/>
                <w:b/>
                <w:bCs/>
                <w:color w:val="000000"/>
                <w:sz w:val="20"/>
                <w:szCs w:val="20"/>
                <w:lang w:val="en-US"/>
              </w:rPr>
              <w:t xml:space="preserve"> (base case: </w:t>
            </w:r>
            <w:r w:rsidR="00027292" w:rsidRPr="002F0A15">
              <w:rPr>
                <w:rFonts w:eastAsia="Times New Roman"/>
                <w:b/>
                <w:bCs/>
                <w:color w:val="000000"/>
                <w:sz w:val="20"/>
                <w:szCs w:val="20"/>
                <w:lang w:val="en-US"/>
              </w:rPr>
              <w:t>informal</w:t>
            </w:r>
            <w:r w:rsidRPr="002F0A15">
              <w:rPr>
                <w:rFonts w:eastAsia="Times New Roman"/>
                <w:b/>
                <w:bCs/>
                <w:color w:val="000000"/>
                <w:sz w:val="20"/>
                <w:szCs w:val="20"/>
                <w:lang w:val="en-US"/>
              </w:rPr>
              <w:t xml:space="preserve"> wage worker</w:t>
            </w:r>
            <w:r w:rsidR="00027292" w:rsidRPr="002F0A15">
              <w:rPr>
                <w:rFonts w:eastAsia="Times New Roman"/>
                <w:b/>
                <w:bCs/>
                <w:color w:val="000000"/>
                <w:sz w:val="20"/>
                <w:szCs w:val="20"/>
                <w:lang w:val="en-US"/>
              </w:rPr>
              <w:t>)</w:t>
            </w:r>
          </w:p>
        </w:tc>
        <w:tc>
          <w:tcPr>
            <w:tcW w:w="965" w:type="dxa"/>
            <w:tcBorders>
              <w:top w:val="nil"/>
              <w:left w:val="nil"/>
              <w:bottom w:val="nil"/>
              <w:right w:val="nil"/>
            </w:tcBorders>
            <w:shd w:val="clear" w:color="auto" w:fill="auto"/>
            <w:noWrap/>
            <w:vAlign w:val="center"/>
            <w:hideMark/>
          </w:tcPr>
          <w:p w14:paraId="02A0B9EE" w14:textId="77777777" w:rsidR="00652FE7" w:rsidRPr="002F0A15" w:rsidRDefault="00652FE7" w:rsidP="00546537">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vAlign w:val="center"/>
            <w:hideMark/>
          </w:tcPr>
          <w:p w14:paraId="6B098E70"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vAlign w:val="center"/>
            <w:hideMark/>
          </w:tcPr>
          <w:p w14:paraId="68AA5A9E"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vAlign w:val="center"/>
            <w:hideMark/>
          </w:tcPr>
          <w:p w14:paraId="6A6360F2"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vAlign w:val="center"/>
            <w:hideMark/>
          </w:tcPr>
          <w:p w14:paraId="018B264B"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vAlign w:val="center"/>
            <w:hideMark/>
          </w:tcPr>
          <w:p w14:paraId="5248C0D2"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r>
      <w:tr w:rsidR="00652FE7" w:rsidRPr="00124C67" w14:paraId="25C79BB2" w14:textId="77777777" w:rsidTr="002F0A15">
        <w:trPr>
          <w:trHeight w:val="279"/>
        </w:trPr>
        <w:tc>
          <w:tcPr>
            <w:tcW w:w="3936" w:type="dxa"/>
            <w:tcBorders>
              <w:top w:val="nil"/>
              <w:left w:val="nil"/>
              <w:bottom w:val="nil"/>
              <w:right w:val="nil"/>
            </w:tcBorders>
            <w:shd w:val="clear" w:color="auto" w:fill="auto"/>
            <w:noWrap/>
            <w:vAlign w:val="center"/>
            <w:hideMark/>
          </w:tcPr>
          <w:p w14:paraId="1E7B8188" w14:textId="06BD85AF" w:rsidR="00652FE7" w:rsidRPr="002F0A15" w:rsidRDefault="00027292" w:rsidP="00546537">
            <w:pPr>
              <w:spacing w:after="0"/>
              <w:jc w:val="left"/>
              <w:rPr>
                <w:rFonts w:eastAsia="Times New Roman"/>
                <w:color w:val="000000"/>
                <w:sz w:val="20"/>
                <w:szCs w:val="20"/>
                <w:lang w:val="es-AR"/>
              </w:rPr>
            </w:pPr>
            <w:r w:rsidRPr="002F0A15">
              <w:rPr>
                <w:rFonts w:eastAsia="Times New Roman"/>
                <w:color w:val="000000"/>
                <w:sz w:val="20"/>
                <w:szCs w:val="20"/>
                <w:lang w:val="es-AR"/>
              </w:rPr>
              <w:t>Formal</w:t>
            </w:r>
            <w:r w:rsidR="00652FE7" w:rsidRPr="002F0A15">
              <w:rPr>
                <w:rFonts w:eastAsia="Times New Roman"/>
                <w:color w:val="000000"/>
                <w:sz w:val="20"/>
                <w:szCs w:val="20"/>
                <w:lang w:val="es-AR"/>
              </w:rPr>
              <w:t xml:space="preserve"> </w:t>
            </w:r>
            <w:proofErr w:type="spellStart"/>
            <w:r w:rsidR="00652FE7" w:rsidRPr="002F0A15">
              <w:rPr>
                <w:rFonts w:eastAsia="Times New Roman"/>
                <w:color w:val="000000"/>
                <w:sz w:val="20"/>
                <w:szCs w:val="20"/>
                <w:lang w:val="es-AR"/>
              </w:rPr>
              <w:t>wage</w:t>
            </w:r>
            <w:proofErr w:type="spellEnd"/>
            <w:r w:rsidR="00652FE7" w:rsidRPr="002F0A15">
              <w:rPr>
                <w:rFonts w:eastAsia="Times New Roman"/>
                <w:color w:val="000000"/>
                <w:sz w:val="20"/>
                <w:szCs w:val="20"/>
                <w:lang w:val="es-AR"/>
              </w:rPr>
              <w:t xml:space="preserve"> </w:t>
            </w:r>
            <w:proofErr w:type="spellStart"/>
            <w:r w:rsidR="00652FE7"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vAlign w:val="center"/>
            <w:hideMark/>
          </w:tcPr>
          <w:p w14:paraId="03250F1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-0.10</w:t>
            </w:r>
          </w:p>
        </w:tc>
        <w:tc>
          <w:tcPr>
            <w:tcW w:w="865" w:type="dxa"/>
            <w:tcBorders>
              <w:top w:val="nil"/>
              <w:left w:val="nil"/>
              <w:bottom w:val="nil"/>
              <w:right w:val="nil"/>
            </w:tcBorders>
            <w:shd w:val="clear" w:color="auto" w:fill="auto"/>
            <w:noWrap/>
            <w:vAlign w:val="center"/>
            <w:hideMark/>
          </w:tcPr>
          <w:p w14:paraId="3FC14A5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754DA2A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0.00</w:t>
            </w:r>
          </w:p>
        </w:tc>
        <w:tc>
          <w:tcPr>
            <w:tcW w:w="660" w:type="dxa"/>
            <w:tcBorders>
              <w:top w:val="nil"/>
              <w:left w:val="nil"/>
              <w:bottom w:val="nil"/>
              <w:right w:val="nil"/>
            </w:tcBorders>
            <w:shd w:val="clear" w:color="auto" w:fill="auto"/>
            <w:noWrap/>
            <w:vAlign w:val="center"/>
            <w:hideMark/>
          </w:tcPr>
          <w:p w14:paraId="3E66CB19"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-0.15</w:t>
            </w:r>
          </w:p>
        </w:tc>
        <w:tc>
          <w:tcPr>
            <w:tcW w:w="660" w:type="dxa"/>
            <w:tcBorders>
              <w:top w:val="nil"/>
              <w:left w:val="nil"/>
              <w:bottom w:val="nil"/>
              <w:right w:val="nil"/>
            </w:tcBorders>
            <w:shd w:val="clear" w:color="auto" w:fill="auto"/>
            <w:noWrap/>
            <w:vAlign w:val="center"/>
            <w:hideMark/>
          </w:tcPr>
          <w:p w14:paraId="088A487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-0.05</w:t>
            </w:r>
          </w:p>
        </w:tc>
        <w:tc>
          <w:tcPr>
            <w:tcW w:w="1045" w:type="dxa"/>
            <w:tcBorders>
              <w:top w:val="nil"/>
              <w:left w:val="nil"/>
              <w:bottom w:val="nil"/>
              <w:right w:val="nil"/>
            </w:tcBorders>
            <w:shd w:val="clear" w:color="auto" w:fill="auto"/>
            <w:noWrap/>
            <w:vAlign w:val="center"/>
            <w:hideMark/>
          </w:tcPr>
          <w:p w14:paraId="3C0BA50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w:t>
            </w:r>
          </w:p>
        </w:tc>
      </w:tr>
      <w:tr w:rsidR="00652FE7" w:rsidRPr="00124C67" w14:paraId="4CA6F14C" w14:textId="77777777" w:rsidTr="002F0A15">
        <w:trPr>
          <w:trHeight w:val="279"/>
        </w:trPr>
        <w:tc>
          <w:tcPr>
            <w:tcW w:w="3936" w:type="dxa"/>
            <w:tcBorders>
              <w:top w:val="nil"/>
              <w:left w:val="nil"/>
              <w:bottom w:val="nil"/>
              <w:right w:val="nil"/>
            </w:tcBorders>
            <w:shd w:val="clear" w:color="auto" w:fill="auto"/>
            <w:noWrap/>
            <w:vAlign w:val="center"/>
            <w:hideMark/>
          </w:tcPr>
          <w:p w14:paraId="75ACC970"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vAlign w:val="center"/>
            <w:hideMark/>
          </w:tcPr>
          <w:p w14:paraId="00B8BC5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0.07</w:t>
            </w:r>
          </w:p>
        </w:tc>
        <w:tc>
          <w:tcPr>
            <w:tcW w:w="865" w:type="dxa"/>
            <w:tcBorders>
              <w:top w:val="nil"/>
              <w:left w:val="nil"/>
              <w:bottom w:val="nil"/>
              <w:right w:val="nil"/>
            </w:tcBorders>
            <w:shd w:val="clear" w:color="auto" w:fill="auto"/>
            <w:noWrap/>
            <w:vAlign w:val="center"/>
            <w:hideMark/>
          </w:tcPr>
          <w:p w14:paraId="4A1ED3D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1BB19E59"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660" w:type="dxa"/>
            <w:tcBorders>
              <w:top w:val="nil"/>
              <w:left w:val="nil"/>
              <w:bottom w:val="nil"/>
              <w:right w:val="nil"/>
            </w:tcBorders>
            <w:shd w:val="clear" w:color="auto" w:fill="auto"/>
            <w:noWrap/>
            <w:vAlign w:val="center"/>
            <w:hideMark/>
          </w:tcPr>
          <w:p w14:paraId="081486F7"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0.02</w:t>
            </w:r>
          </w:p>
        </w:tc>
        <w:tc>
          <w:tcPr>
            <w:tcW w:w="660" w:type="dxa"/>
            <w:tcBorders>
              <w:top w:val="nil"/>
              <w:left w:val="nil"/>
              <w:bottom w:val="nil"/>
              <w:right w:val="nil"/>
            </w:tcBorders>
            <w:shd w:val="clear" w:color="auto" w:fill="auto"/>
            <w:noWrap/>
            <w:vAlign w:val="center"/>
            <w:hideMark/>
          </w:tcPr>
          <w:p w14:paraId="168A61EA"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0.12</w:t>
            </w:r>
          </w:p>
        </w:tc>
        <w:tc>
          <w:tcPr>
            <w:tcW w:w="1045" w:type="dxa"/>
            <w:tcBorders>
              <w:top w:val="nil"/>
              <w:left w:val="nil"/>
              <w:bottom w:val="nil"/>
              <w:right w:val="nil"/>
            </w:tcBorders>
            <w:shd w:val="clear" w:color="auto" w:fill="auto"/>
            <w:noWrap/>
            <w:vAlign w:val="center"/>
            <w:hideMark/>
          </w:tcPr>
          <w:p w14:paraId="55DAF99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0.07**</w:t>
            </w:r>
          </w:p>
        </w:tc>
      </w:tr>
      <w:tr w:rsidR="00652FE7" w:rsidRPr="00BF5447" w14:paraId="371CD04E" w14:textId="77777777" w:rsidTr="002F0A15">
        <w:trPr>
          <w:trHeight w:val="558"/>
        </w:trPr>
        <w:tc>
          <w:tcPr>
            <w:tcW w:w="3936" w:type="dxa"/>
            <w:tcBorders>
              <w:top w:val="nil"/>
              <w:left w:val="nil"/>
              <w:bottom w:val="nil"/>
              <w:right w:val="nil"/>
            </w:tcBorders>
            <w:shd w:val="clear" w:color="auto" w:fill="auto"/>
            <w:vAlign w:val="center"/>
            <w:hideMark/>
          </w:tcPr>
          <w:p w14:paraId="3B83D4B7" w14:textId="6D837199" w:rsidR="00652FE7" w:rsidRPr="002F0A15" w:rsidRDefault="00652FE7" w:rsidP="00546537">
            <w:pPr>
              <w:spacing w:after="0"/>
              <w:jc w:val="left"/>
              <w:rPr>
                <w:rFonts w:eastAsia="Times New Roman"/>
                <w:b/>
                <w:bCs/>
                <w:color w:val="000000"/>
                <w:sz w:val="20"/>
                <w:szCs w:val="20"/>
                <w:lang w:val="en-US"/>
              </w:rPr>
            </w:pPr>
            <w:bookmarkStart w:id="21" w:name="_Hlk36066604"/>
            <w:proofErr w:type="spellStart"/>
            <w:r w:rsidRPr="002F0A15">
              <w:rPr>
                <w:rFonts w:eastAsia="Times New Roman"/>
                <w:b/>
                <w:bCs/>
                <w:color w:val="000000"/>
                <w:sz w:val="20"/>
                <w:szCs w:val="20"/>
                <w:lang w:val="en-US"/>
              </w:rPr>
              <w:t>LaborContract</w:t>
            </w:r>
            <w:proofErr w:type="spellEnd"/>
            <w:r w:rsidRPr="002F0A15">
              <w:rPr>
                <w:rFonts w:eastAsia="Times New Roman"/>
                <w:b/>
                <w:bCs/>
                <w:color w:val="000000"/>
                <w:sz w:val="20"/>
                <w:szCs w:val="20"/>
                <w:lang w:val="en-US"/>
              </w:rPr>
              <w:t xml:space="preserve"> </w:t>
            </w:r>
            <w:bookmarkEnd w:id="21"/>
            <w:r w:rsidRPr="002F0A15">
              <w:rPr>
                <w:rFonts w:eastAsia="Times New Roman"/>
                <w:b/>
                <w:bCs/>
                <w:color w:val="000000"/>
                <w:sz w:val="20"/>
                <w:szCs w:val="20"/>
                <w:lang w:val="en-US"/>
              </w:rPr>
              <w:t xml:space="preserve">(base case: </w:t>
            </w:r>
            <w:r w:rsidR="00027292" w:rsidRPr="002F0A15">
              <w:rPr>
                <w:rFonts w:eastAsia="Times New Roman"/>
                <w:b/>
                <w:bCs/>
                <w:color w:val="000000"/>
                <w:sz w:val="20"/>
                <w:szCs w:val="20"/>
                <w:lang w:val="en-US"/>
              </w:rPr>
              <w:t>informal</w:t>
            </w:r>
            <w:r w:rsidRPr="002F0A15">
              <w:rPr>
                <w:rFonts w:eastAsia="Times New Roman"/>
                <w:b/>
                <w:bCs/>
                <w:color w:val="000000"/>
                <w:sz w:val="20"/>
                <w:szCs w:val="20"/>
                <w:lang w:val="en-US"/>
              </w:rPr>
              <w:t xml:space="preserve"> wage worker</w:t>
            </w:r>
            <w:r w:rsidR="00027292" w:rsidRPr="002F0A15">
              <w:rPr>
                <w:rFonts w:eastAsia="Times New Roman"/>
                <w:b/>
                <w:bCs/>
                <w:color w:val="000000"/>
                <w:sz w:val="20"/>
                <w:szCs w:val="20"/>
                <w:lang w:val="en-US"/>
              </w:rPr>
              <w:t>)</w:t>
            </w:r>
          </w:p>
        </w:tc>
        <w:tc>
          <w:tcPr>
            <w:tcW w:w="965" w:type="dxa"/>
            <w:tcBorders>
              <w:top w:val="nil"/>
              <w:left w:val="nil"/>
              <w:bottom w:val="nil"/>
              <w:right w:val="nil"/>
            </w:tcBorders>
            <w:shd w:val="clear" w:color="auto" w:fill="auto"/>
            <w:noWrap/>
            <w:vAlign w:val="center"/>
            <w:hideMark/>
          </w:tcPr>
          <w:p w14:paraId="4B843DBB" w14:textId="77777777" w:rsidR="00652FE7" w:rsidRPr="002F0A15" w:rsidRDefault="00652FE7" w:rsidP="00546537">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vAlign w:val="center"/>
            <w:hideMark/>
          </w:tcPr>
          <w:p w14:paraId="2B411330"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vAlign w:val="center"/>
            <w:hideMark/>
          </w:tcPr>
          <w:p w14:paraId="7A89F39F"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vAlign w:val="center"/>
            <w:hideMark/>
          </w:tcPr>
          <w:p w14:paraId="19541D24"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vAlign w:val="center"/>
            <w:hideMark/>
          </w:tcPr>
          <w:p w14:paraId="4AEEA3A7"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vAlign w:val="center"/>
            <w:hideMark/>
          </w:tcPr>
          <w:p w14:paraId="400912A3" w14:textId="77777777" w:rsidR="00652FE7" w:rsidRPr="002F0A15" w:rsidRDefault="00652FE7" w:rsidP="00546537">
            <w:pPr>
              <w:spacing w:after="0"/>
              <w:jc w:val="center"/>
              <w:rPr>
                <w:rFonts w:ascii="Times New Roman" w:eastAsia="Times New Roman" w:hAnsi="Times New Roman" w:cs="Times New Roman"/>
                <w:sz w:val="20"/>
                <w:szCs w:val="20"/>
                <w:lang w:val="en-US"/>
              </w:rPr>
            </w:pPr>
          </w:p>
        </w:tc>
      </w:tr>
      <w:tr w:rsidR="00652FE7" w:rsidRPr="00124C67" w14:paraId="53CB1466" w14:textId="77777777" w:rsidTr="002F0A15">
        <w:trPr>
          <w:trHeight w:val="279"/>
        </w:trPr>
        <w:tc>
          <w:tcPr>
            <w:tcW w:w="3936" w:type="dxa"/>
            <w:tcBorders>
              <w:top w:val="nil"/>
              <w:left w:val="nil"/>
              <w:bottom w:val="nil"/>
              <w:right w:val="nil"/>
            </w:tcBorders>
            <w:shd w:val="clear" w:color="auto" w:fill="auto"/>
            <w:noWrap/>
            <w:vAlign w:val="center"/>
            <w:hideMark/>
          </w:tcPr>
          <w:p w14:paraId="6770190D" w14:textId="147F432A" w:rsidR="00652FE7" w:rsidRPr="002F0A15" w:rsidRDefault="00027292" w:rsidP="00546537">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00652FE7" w:rsidRPr="002F0A15">
              <w:rPr>
                <w:rFonts w:eastAsia="Times New Roman"/>
                <w:color w:val="000000"/>
                <w:sz w:val="20"/>
                <w:szCs w:val="20"/>
                <w:lang w:val="es-AR"/>
              </w:rPr>
              <w:t>wage</w:t>
            </w:r>
            <w:proofErr w:type="spellEnd"/>
            <w:r w:rsidR="00652FE7" w:rsidRPr="002F0A15">
              <w:rPr>
                <w:rFonts w:eastAsia="Times New Roman"/>
                <w:color w:val="000000"/>
                <w:sz w:val="20"/>
                <w:szCs w:val="20"/>
                <w:lang w:val="es-AR"/>
              </w:rPr>
              <w:t xml:space="preserve"> </w:t>
            </w:r>
            <w:proofErr w:type="spellStart"/>
            <w:r w:rsidR="00652FE7"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vAlign w:val="center"/>
            <w:hideMark/>
          </w:tcPr>
          <w:p w14:paraId="527DE3F5"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0.06</w:t>
            </w:r>
          </w:p>
        </w:tc>
        <w:tc>
          <w:tcPr>
            <w:tcW w:w="865" w:type="dxa"/>
            <w:tcBorders>
              <w:top w:val="nil"/>
              <w:left w:val="nil"/>
              <w:bottom w:val="nil"/>
              <w:right w:val="nil"/>
            </w:tcBorders>
            <w:shd w:val="clear" w:color="auto" w:fill="auto"/>
            <w:noWrap/>
            <w:vAlign w:val="center"/>
            <w:hideMark/>
          </w:tcPr>
          <w:p w14:paraId="429F1ED9"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841" w:type="dxa"/>
            <w:tcBorders>
              <w:top w:val="nil"/>
              <w:left w:val="nil"/>
              <w:bottom w:val="nil"/>
              <w:right w:val="nil"/>
            </w:tcBorders>
            <w:shd w:val="clear" w:color="auto" w:fill="auto"/>
            <w:noWrap/>
            <w:vAlign w:val="center"/>
            <w:hideMark/>
          </w:tcPr>
          <w:p w14:paraId="6D6F336F"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0.03</w:t>
            </w:r>
          </w:p>
        </w:tc>
        <w:tc>
          <w:tcPr>
            <w:tcW w:w="660" w:type="dxa"/>
            <w:tcBorders>
              <w:top w:val="nil"/>
              <w:left w:val="nil"/>
              <w:bottom w:val="nil"/>
              <w:right w:val="nil"/>
            </w:tcBorders>
            <w:shd w:val="clear" w:color="auto" w:fill="auto"/>
            <w:noWrap/>
            <w:vAlign w:val="center"/>
            <w:hideMark/>
          </w:tcPr>
          <w:p w14:paraId="5E1529E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0.02</w:t>
            </w:r>
          </w:p>
        </w:tc>
        <w:tc>
          <w:tcPr>
            <w:tcW w:w="660" w:type="dxa"/>
            <w:tcBorders>
              <w:top w:val="nil"/>
              <w:left w:val="nil"/>
              <w:bottom w:val="nil"/>
              <w:right w:val="nil"/>
            </w:tcBorders>
            <w:shd w:val="clear" w:color="auto" w:fill="auto"/>
            <w:noWrap/>
            <w:vAlign w:val="center"/>
            <w:hideMark/>
          </w:tcPr>
          <w:p w14:paraId="6CF55111"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0.11</w:t>
            </w:r>
          </w:p>
        </w:tc>
        <w:tc>
          <w:tcPr>
            <w:tcW w:w="1045" w:type="dxa"/>
            <w:tcBorders>
              <w:top w:val="nil"/>
              <w:left w:val="nil"/>
              <w:bottom w:val="nil"/>
              <w:right w:val="nil"/>
            </w:tcBorders>
            <w:shd w:val="clear" w:color="auto" w:fill="auto"/>
            <w:noWrap/>
            <w:vAlign w:val="center"/>
            <w:hideMark/>
          </w:tcPr>
          <w:p w14:paraId="1A33E453"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0.06**</w:t>
            </w:r>
          </w:p>
        </w:tc>
      </w:tr>
      <w:tr w:rsidR="00652FE7" w:rsidRPr="00124C67" w14:paraId="04A9D743" w14:textId="77777777" w:rsidTr="002F0A15">
        <w:trPr>
          <w:trHeight w:val="279"/>
        </w:trPr>
        <w:tc>
          <w:tcPr>
            <w:tcW w:w="3936" w:type="dxa"/>
            <w:tcBorders>
              <w:top w:val="nil"/>
              <w:left w:val="nil"/>
              <w:bottom w:val="nil"/>
              <w:right w:val="nil"/>
            </w:tcBorders>
            <w:shd w:val="clear" w:color="auto" w:fill="auto"/>
            <w:noWrap/>
            <w:vAlign w:val="center"/>
            <w:hideMark/>
          </w:tcPr>
          <w:p w14:paraId="30DA7B80" w14:textId="77777777" w:rsidR="00652FE7" w:rsidRPr="002F0A15" w:rsidRDefault="00652FE7" w:rsidP="00546537">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vAlign w:val="center"/>
            <w:hideMark/>
          </w:tcPr>
          <w:p w14:paraId="48C0AD4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-0.11</w:t>
            </w:r>
          </w:p>
        </w:tc>
        <w:tc>
          <w:tcPr>
            <w:tcW w:w="865" w:type="dxa"/>
            <w:tcBorders>
              <w:top w:val="nil"/>
              <w:left w:val="nil"/>
              <w:bottom w:val="nil"/>
              <w:right w:val="nil"/>
            </w:tcBorders>
            <w:shd w:val="clear" w:color="auto" w:fill="auto"/>
            <w:noWrap/>
            <w:vAlign w:val="center"/>
            <w:hideMark/>
          </w:tcPr>
          <w:p w14:paraId="22C5279C"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0.04</w:t>
            </w:r>
          </w:p>
        </w:tc>
        <w:tc>
          <w:tcPr>
            <w:tcW w:w="841" w:type="dxa"/>
            <w:tcBorders>
              <w:top w:val="nil"/>
              <w:left w:val="nil"/>
              <w:bottom w:val="nil"/>
              <w:right w:val="nil"/>
            </w:tcBorders>
            <w:shd w:val="clear" w:color="auto" w:fill="auto"/>
            <w:noWrap/>
            <w:vAlign w:val="center"/>
            <w:hideMark/>
          </w:tcPr>
          <w:p w14:paraId="008D4DD6"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0.00</w:t>
            </w:r>
          </w:p>
        </w:tc>
        <w:tc>
          <w:tcPr>
            <w:tcW w:w="660" w:type="dxa"/>
            <w:tcBorders>
              <w:top w:val="nil"/>
              <w:left w:val="nil"/>
              <w:bottom w:val="nil"/>
              <w:right w:val="nil"/>
            </w:tcBorders>
            <w:shd w:val="clear" w:color="auto" w:fill="auto"/>
            <w:noWrap/>
            <w:vAlign w:val="center"/>
            <w:hideMark/>
          </w:tcPr>
          <w:p w14:paraId="47EFCD21"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-0.17</w:t>
            </w:r>
          </w:p>
        </w:tc>
        <w:tc>
          <w:tcPr>
            <w:tcW w:w="660" w:type="dxa"/>
            <w:tcBorders>
              <w:top w:val="nil"/>
              <w:left w:val="nil"/>
              <w:bottom w:val="nil"/>
              <w:right w:val="nil"/>
            </w:tcBorders>
            <w:shd w:val="clear" w:color="auto" w:fill="auto"/>
            <w:noWrap/>
            <w:vAlign w:val="center"/>
            <w:hideMark/>
          </w:tcPr>
          <w:p w14:paraId="559D4248"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-0.05</w:t>
            </w:r>
          </w:p>
        </w:tc>
        <w:tc>
          <w:tcPr>
            <w:tcW w:w="1045" w:type="dxa"/>
            <w:tcBorders>
              <w:top w:val="nil"/>
              <w:left w:val="nil"/>
              <w:bottom w:val="nil"/>
              <w:right w:val="nil"/>
            </w:tcBorders>
            <w:shd w:val="clear" w:color="auto" w:fill="auto"/>
            <w:noWrap/>
            <w:vAlign w:val="center"/>
            <w:hideMark/>
          </w:tcPr>
          <w:p w14:paraId="0D049A8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-0.11***</w:t>
            </w:r>
          </w:p>
        </w:tc>
      </w:tr>
      <w:tr w:rsidR="00652FE7" w:rsidRPr="00124C67" w14:paraId="35543E88" w14:textId="77777777" w:rsidTr="002F0A15">
        <w:trPr>
          <w:trHeight w:val="279"/>
        </w:trPr>
        <w:tc>
          <w:tcPr>
            <w:tcW w:w="3936" w:type="dxa"/>
            <w:tcBorders>
              <w:top w:val="single" w:sz="4" w:space="0" w:color="auto"/>
              <w:left w:val="nil"/>
              <w:bottom w:val="nil"/>
              <w:right w:val="nil"/>
            </w:tcBorders>
            <w:shd w:val="clear" w:color="auto" w:fill="auto"/>
            <w:noWrap/>
            <w:vAlign w:val="center"/>
            <w:hideMark/>
          </w:tcPr>
          <w:p w14:paraId="02B3D61F" w14:textId="77777777" w:rsidR="00652FE7" w:rsidRPr="002F0A15" w:rsidRDefault="00652FE7" w:rsidP="00546537">
            <w:pPr>
              <w:spacing w:after="0"/>
              <w:jc w:val="left"/>
              <w:rPr>
                <w:rFonts w:eastAsia="Times New Roman"/>
                <w:color w:val="000000"/>
                <w:sz w:val="20"/>
                <w:szCs w:val="20"/>
                <w:lang w:val="es-AR"/>
              </w:rPr>
            </w:pPr>
            <w:r w:rsidRPr="002F0A15">
              <w:rPr>
                <w:rFonts w:eastAsia="Times New Roman"/>
                <w:color w:val="000000"/>
                <w:sz w:val="20"/>
                <w:szCs w:val="20"/>
                <w:lang w:val="es-AR"/>
              </w:rPr>
              <w:t>R2</w:t>
            </w:r>
          </w:p>
        </w:tc>
        <w:tc>
          <w:tcPr>
            <w:tcW w:w="965" w:type="dxa"/>
            <w:tcBorders>
              <w:top w:val="single" w:sz="4" w:space="0" w:color="auto"/>
              <w:left w:val="nil"/>
              <w:bottom w:val="nil"/>
              <w:right w:val="nil"/>
            </w:tcBorders>
            <w:shd w:val="clear" w:color="auto" w:fill="auto"/>
            <w:noWrap/>
            <w:vAlign w:val="center"/>
            <w:hideMark/>
          </w:tcPr>
          <w:p w14:paraId="482A2041"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0.011</w:t>
            </w:r>
          </w:p>
        </w:tc>
        <w:tc>
          <w:tcPr>
            <w:tcW w:w="865" w:type="dxa"/>
            <w:tcBorders>
              <w:top w:val="single" w:sz="4" w:space="0" w:color="auto"/>
              <w:left w:val="nil"/>
              <w:bottom w:val="nil"/>
              <w:right w:val="nil"/>
            </w:tcBorders>
            <w:shd w:val="clear" w:color="auto" w:fill="auto"/>
            <w:noWrap/>
            <w:vAlign w:val="center"/>
            <w:hideMark/>
          </w:tcPr>
          <w:p w14:paraId="132431EA" w14:textId="2711C3C2" w:rsidR="00652FE7" w:rsidRPr="002F0A15" w:rsidRDefault="00652FE7" w:rsidP="00546537">
            <w:pPr>
              <w:spacing w:after="0"/>
              <w:jc w:val="center"/>
              <w:rPr>
                <w:rFonts w:eastAsia="Times New Roman"/>
                <w:color w:val="000000"/>
                <w:sz w:val="20"/>
                <w:szCs w:val="20"/>
                <w:lang w:val="es-AR"/>
              </w:rPr>
            </w:pPr>
          </w:p>
        </w:tc>
        <w:tc>
          <w:tcPr>
            <w:tcW w:w="841" w:type="dxa"/>
            <w:tcBorders>
              <w:top w:val="single" w:sz="4" w:space="0" w:color="auto"/>
              <w:left w:val="nil"/>
              <w:bottom w:val="nil"/>
              <w:right w:val="nil"/>
            </w:tcBorders>
            <w:shd w:val="clear" w:color="auto" w:fill="auto"/>
            <w:noWrap/>
            <w:vAlign w:val="center"/>
            <w:hideMark/>
          </w:tcPr>
          <w:p w14:paraId="6E9B8F62" w14:textId="6F8FC244" w:rsidR="00652FE7" w:rsidRPr="002F0A15" w:rsidRDefault="00652FE7" w:rsidP="00546537">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vAlign w:val="center"/>
            <w:hideMark/>
          </w:tcPr>
          <w:p w14:paraId="60D89757" w14:textId="791C8DE8" w:rsidR="00652FE7" w:rsidRPr="002F0A15" w:rsidRDefault="00652FE7" w:rsidP="00546537">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vAlign w:val="center"/>
            <w:hideMark/>
          </w:tcPr>
          <w:p w14:paraId="7032BE71" w14:textId="577CEA00" w:rsidR="00652FE7" w:rsidRPr="002F0A15" w:rsidRDefault="00652FE7" w:rsidP="00546537">
            <w:pPr>
              <w:spacing w:after="0"/>
              <w:jc w:val="center"/>
              <w:rPr>
                <w:rFonts w:eastAsia="Times New Roman"/>
                <w:color w:val="000000"/>
                <w:sz w:val="20"/>
                <w:szCs w:val="20"/>
                <w:lang w:val="es-AR"/>
              </w:rPr>
            </w:pPr>
          </w:p>
        </w:tc>
        <w:tc>
          <w:tcPr>
            <w:tcW w:w="1045" w:type="dxa"/>
            <w:tcBorders>
              <w:top w:val="single" w:sz="4" w:space="0" w:color="auto"/>
              <w:left w:val="nil"/>
              <w:bottom w:val="nil"/>
              <w:right w:val="nil"/>
            </w:tcBorders>
            <w:shd w:val="clear" w:color="auto" w:fill="auto"/>
            <w:noWrap/>
            <w:vAlign w:val="center"/>
            <w:hideMark/>
          </w:tcPr>
          <w:p w14:paraId="65C0ED15" w14:textId="6E29F16A" w:rsidR="00652FE7" w:rsidRPr="002F0A15" w:rsidRDefault="00652FE7" w:rsidP="00546537">
            <w:pPr>
              <w:spacing w:after="0"/>
              <w:jc w:val="center"/>
              <w:rPr>
                <w:rFonts w:eastAsia="Times New Roman"/>
                <w:color w:val="000000"/>
                <w:sz w:val="20"/>
                <w:szCs w:val="20"/>
                <w:lang w:val="es-AR"/>
              </w:rPr>
            </w:pPr>
          </w:p>
        </w:tc>
      </w:tr>
      <w:tr w:rsidR="00652FE7" w:rsidRPr="00124C67" w14:paraId="1709AC19" w14:textId="77777777" w:rsidTr="002F0A15">
        <w:trPr>
          <w:trHeight w:val="279"/>
        </w:trPr>
        <w:tc>
          <w:tcPr>
            <w:tcW w:w="3936" w:type="dxa"/>
            <w:tcBorders>
              <w:top w:val="nil"/>
              <w:left w:val="nil"/>
              <w:bottom w:val="single" w:sz="4" w:space="0" w:color="auto"/>
              <w:right w:val="nil"/>
            </w:tcBorders>
            <w:shd w:val="clear" w:color="auto" w:fill="auto"/>
            <w:noWrap/>
            <w:vAlign w:val="center"/>
            <w:hideMark/>
          </w:tcPr>
          <w:p w14:paraId="7BEFC391" w14:textId="77777777" w:rsidR="00652FE7" w:rsidRPr="002F0A15" w:rsidRDefault="00652FE7" w:rsidP="00546537">
            <w:pPr>
              <w:spacing w:after="0"/>
              <w:jc w:val="left"/>
              <w:rPr>
                <w:rFonts w:eastAsia="Times New Roman"/>
                <w:color w:val="000000"/>
                <w:sz w:val="20"/>
                <w:szCs w:val="20"/>
                <w:lang w:val="es-AR"/>
              </w:rPr>
            </w:pPr>
            <w:r w:rsidRPr="002F0A15">
              <w:rPr>
                <w:rFonts w:eastAsia="Times New Roman"/>
                <w:color w:val="000000"/>
                <w:sz w:val="20"/>
                <w:szCs w:val="20"/>
                <w:lang w:val="es-AR"/>
              </w:rPr>
              <w:t>n</w:t>
            </w:r>
          </w:p>
        </w:tc>
        <w:tc>
          <w:tcPr>
            <w:tcW w:w="965" w:type="dxa"/>
            <w:tcBorders>
              <w:top w:val="nil"/>
              <w:left w:val="nil"/>
              <w:bottom w:val="single" w:sz="4" w:space="0" w:color="auto"/>
              <w:right w:val="nil"/>
            </w:tcBorders>
            <w:shd w:val="clear" w:color="auto" w:fill="auto"/>
            <w:noWrap/>
            <w:vAlign w:val="bottom"/>
            <w:hideMark/>
          </w:tcPr>
          <w:p w14:paraId="382E7B8D" w14:textId="77777777" w:rsidR="00652FE7" w:rsidRPr="002F0A15" w:rsidRDefault="00652FE7" w:rsidP="00546537">
            <w:pPr>
              <w:spacing w:after="0"/>
              <w:jc w:val="center"/>
              <w:rPr>
                <w:rFonts w:eastAsia="Times New Roman"/>
                <w:color w:val="000000"/>
                <w:sz w:val="20"/>
                <w:szCs w:val="20"/>
                <w:lang w:val="es-AR"/>
              </w:rPr>
            </w:pPr>
            <w:r w:rsidRPr="002F0A15">
              <w:rPr>
                <w:rFonts w:eastAsia="Times New Roman"/>
                <w:color w:val="000000"/>
                <w:sz w:val="20"/>
                <w:szCs w:val="20"/>
                <w:lang w:val="es-AR"/>
              </w:rPr>
              <w:t>4918</w:t>
            </w:r>
          </w:p>
        </w:tc>
        <w:tc>
          <w:tcPr>
            <w:tcW w:w="865" w:type="dxa"/>
            <w:tcBorders>
              <w:top w:val="nil"/>
              <w:left w:val="nil"/>
              <w:bottom w:val="single" w:sz="4" w:space="0" w:color="auto"/>
              <w:right w:val="nil"/>
            </w:tcBorders>
            <w:shd w:val="clear" w:color="auto" w:fill="auto"/>
            <w:noWrap/>
            <w:vAlign w:val="bottom"/>
            <w:hideMark/>
          </w:tcPr>
          <w:p w14:paraId="6A469D06" w14:textId="3B748C40" w:rsidR="00652FE7" w:rsidRPr="002F0A15" w:rsidRDefault="00652FE7" w:rsidP="00546537">
            <w:pPr>
              <w:spacing w:after="0"/>
              <w:jc w:val="center"/>
              <w:rPr>
                <w:rFonts w:eastAsia="Times New Roman"/>
                <w:color w:val="000000"/>
                <w:sz w:val="20"/>
                <w:szCs w:val="20"/>
                <w:lang w:val="es-AR"/>
              </w:rPr>
            </w:pPr>
          </w:p>
        </w:tc>
        <w:tc>
          <w:tcPr>
            <w:tcW w:w="841" w:type="dxa"/>
            <w:tcBorders>
              <w:top w:val="nil"/>
              <w:left w:val="nil"/>
              <w:bottom w:val="single" w:sz="4" w:space="0" w:color="auto"/>
              <w:right w:val="nil"/>
            </w:tcBorders>
            <w:shd w:val="clear" w:color="auto" w:fill="auto"/>
            <w:noWrap/>
            <w:vAlign w:val="bottom"/>
            <w:hideMark/>
          </w:tcPr>
          <w:p w14:paraId="3202CFFD" w14:textId="013558C8" w:rsidR="00652FE7" w:rsidRPr="002F0A15" w:rsidRDefault="00652FE7" w:rsidP="00546537">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vAlign w:val="bottom"/>
            <w:hideMark/>
          </w:tcPr>
          <w:p w14:paraId="30F1EA76" w14:textId="769BA8D9" w:rsidR="00652FE7" w:rsidRPr="002F0A15" w:rsidRDefault="00652FE7" w:rsidP="00546537">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vAlign w:val="bottom"/>
            <w:hideMark/>
          </w:tcPr>
          <w:p w14:paraId="4BBC8AA2" w14:textId="4CA995E0" w:rsidR="00652FE7" w:rsidRPr="002F0A15" w:rsidRDefault="00652FE7" w:rsidP="00546537">
            <w:pPr>
              <w:spacing w:after="0"/>
              <w:jc w:val="center"/>
              <w:rPr>
                <w:rFonts w:eastAsia="Times New Roman"/>
                <w:color w:val="000000"/>
                <w:sz w:val="20"/>
                <w:szCs w:val="20"/>
                <w:lang w:val="es-AR"/>
              </w:rPr>
            </w:pPr>
          </w:p>
        </w:tc>
        <w:tc>
          <w:tcPr>
            <w:tcW w:w="1045" w:type="dxa"/>
            <w:tcBorders>
              <w:top w:val="nil"/>
              <w:left w:val="nil"/>
              <w:bottom w:val="single" w:sz="4" w:space="0" w:color="auto"/>
              <w:right w:val="nil"/>
            </w:tcBorders>
            <w:shd w:val="clear" w:color="auto" w:fill="auto"/>
            <w:noWrap/>
            <w:vAlign w:val="bottom"/>
            <w:hideMark/>
          </w:tcPr>
          <w:p w14:paraId="1B1F338F" w14:textId="20E7A04C" w:rsidR="00652FE7" w:rsidRPr="002F0A15" w:rsidRDefault="00652FE7" w:rsidP="00546537">
            <w:pPr>
              <w:spacing w:after="0"/>
              <w:jc w:val="center"/>
              <w:rPr>
                <w:rFonts w:eastAsia="Times New Roman"/>
                <w:color w:val="000000"/>
                <w:sz w:val="20"/>
                <w:szCs w:val="20"/>
                <w:lang w:val="es-AR"/>
              </w:rPr>
            </w:pPr>
          </w:p>
        </w:tc>
      </w:tr>
    </w:tbl>
    <w:p w14:paraId="23E360D8" w14:textId="58B49F8A" w:rsidR="00027292" w:rsidRPr="00546537" w:rsidRDefault="00027292" w:rsidP="00027292">
      <w:pPr>
        <w:pBdr>
          <w:top w:val="nil"/>
          <w:left w:val="nil"/>
          <w:bottom w:val="nil"/>
          <w:right w:val="nil"/>
          <w:between w:val="nil"/>
        </w:pBdr>
        <w:spacing w:after="0"/>
        <w:rPr>
          <w:lang w:val="en-US"/>
        </w:rPr>
      </w:pPr>
      <w:r w:rsidRPr="007D3DD1">
        <w:rPr>
          <w:b/>
          <w:bCs/>
          <w:lang w:val="en"/>
        </w:rPr>
        <w:t xml:space="preserve">Table </w:t>
      </w:r>
      <w:r w:rsidR="000F1249">
        <w:rPr>
          <w:b/>
          <w:bCs/>
          <w:lang w:val="en"/>
        </w:rPr>
        <w:t>A2.</w:t>
      </w:r>
      <w:r w:rsidRPr="007D3DD1">
        <w:rPr>
          <w:b/>
          <w:bCs/>
          <w:lang w:val="en"/>
        </w:rPr>
        <w:t>1</w:t>
      </w:r>
      <w:r>
        <w:rPr>
          <w:lang w:val="en"/>
        </w:rPr>
        <w:t xml:space="preserve">. </w:t>
      </w:r>
      <w:r w:rsidR="00477E94">
        <w:rPr>
          <w:lang w:val="en"/>
        </w:rPr>
        <w:t xml:space="preserve">Regression output. Dependent variable: average quarterly change in real hourly wage before and after a job transition. </w:t>
      </w:r>
      <w:r>
        <w:rPr>
          <w:lang w:val="en"/>
        </w:rPr>
        <w:t>Independent variables include the similarity between occupations</w:t>
      </w:r>
      <w:r w:rsidR="00477E94">
        <w:rPr>
          <w:lang w:val="en"/>
        </w:rPr>
        <w:t xml:space="preserve"> (</w:t>
      </w:r>
      <w:proofErr w:type="spellStart"/>
      <w:r w:rsidR="00477E94">
        <w:rPr>
          <w:lang w:val="en"/>
        </w:rPr>
        <w:t>RijOccupation</w:t>
      </w:r>
      <w:proofErr w:type="spellEnd"/>
      <w:r w:rsidR="00477E94">
        <w:rPr>
          <w:lang w:val="en"/>
        </w:rPr>
        <w:t>)</w:t>
      </w:r>
      <w:r>
        <w:rPr>
          <w:lang w:val="en"/>
        </w:rPr>
        <w:t>, industries</w:t>
      </w:r>
      <w:r w:rsidR="00477E94">
        <w:rPr>
          <w:lang w:val="en"/>
        </w:rPr>
        <w:t xml:space="preserve"> (</w:t>
      </w:r>
      <w:proofErr w:type="spellStart"/>
      <w:r w:rsidR="00477E94">
        <w:rPr>
          <w:lang w:val="en"/>
        </w:rPr>
        <w:t>RijIndustriy</w:t>
      </w:r>
      <w:proofErr w:type="spellEnd"/>
      <w:r w:rsidR="00477E94">
        <w:rPr>
          <w:lang w:val="en"/>
        </w:rPr>
        <w:t>)</w:t>
      </w:r>
      <w:r>
        <w:rPr>
          <w:lang w:val="en"/>
        </w:rPr>
        <w:t>, two dummies that captures whether the worker was employed in a high paying industry before</w:t>
      </w:r>
      <w:r w:rsidR="00477E94">
        <w:rPr>
          <w:lang w:val="en"/>
        </w:rPr>
        <w:t xml:space="preserve"> (</w:t>
      </w:r>
      <w:proofErr w:type="spellStart"/>
      <w:r w:rsidR="00477E94" w:rsidRPr="00546537">
        <w:rPr>
          <w:rFonts w:eastAsia="Times New Roman"/>
          <w:color w:val="000000"/>
          <w:lang w:val="en-US"/>
        </w:rPr>
        <w:t>IndustryAboveAvg_Lagged</w:t>
      </w:r>
      <w:proofErr w:type="spellEnd"/>
      <w:r w:rsidR="00477E94" w:rsidRPr="00546537">
        <w:rPr>
          <w:rFonts w:eastAsia="Times New Roman"/>
          <w:color w:val="000000"/>
          <w:lang w:val="en-US"/>
        </w:rPr>
        <w:t>)</w:t>
      </w:r>
      <w:r>
        <w:rPr>
          <w:lang w:val="en"/>
        </w:rPr>
        <w:t xml:space="preserve"> and after</w:t>
      </w:r>
      <w:r w:rsidR="00477E94">
        <w:rPr>
          <w:lang w:val="en"/>
        </w:rPr>
        <w:t xml:space="preserve"> (</w:t>
      </w:r>
      <w:proofErr w:type="spellStart"/>
      <w:r w:rsidR="00477E94" w:rsidRPr="00546537">
        <w:rPr>
          <w:rFonts w:eastAsia="Times New Roman"/>
          <w:color w:val="000000"/>
          <w:lang w:val="en-US"/>
        </w:rPr>
        <w:t>IndustryAboveAvg</w:t>
      </w:r>
      <w:proofErr w:type="spellEnd"/>
      <w:r w:rsidR="00477E94" w:rsidRPr="00546537">
        <w:rPr>
          <w:rFonts w:eastAsia="Times New Roman"/>
          <w:color w:val="000000"/>
          <w:lang w:val="en-US"/>
        </w:rPr>
        <w:t>)</w:t>
      </w:r>
      <w:r>
        <w:rPr>
          <w:lang w:val="en"/>
        </w:rPr>
        <w:t xml:space="preserve"> the transition, and two categorical variables that capture the employment relationship after</w:t>
      </w:r>
      <w:r w:rsidR="00477E94">
        <w:rPr>
          <w:lang w:val="en"/>
        </w:rPr>
        <w:t xml:space="preserve"> (</w:t>
      </w:r>
      <w:proofErr w:type="spellStart"/>
      <w:r w:rsidR="00477E94" w:rsidRPr="00477E94">
        <w:rPr>
          <w:lang w:val="en"/>
        </w:rPr>
        <w:t>LaborContract</w:t>
      </w:r>
      <w:proofErr w:type="spellEnd"/>
      <w:r w:rsidR="00477E94">
        <w:rPr>
          <w:lang w:val="en"/>
        </w:rPr>
        <w:t>)</w:t>
      </w:r>
      <w:r>
        <w:rPr>
          <w:lang w:val="en"/>
        </w:rPr>
        <w:t xml:space="preserve"> and before</w:t>
      </w:r>
      <w:r w:rsidR="00477E94">
        <w:rPr>
          <w:lang w:val="en"/>
        </w:rPr>
        <w:t xml:space="preserve"> (</w:t>
      </w:r>
      <w:proofErr w:type="spellStart"/>
      <w:r w:rsidR="00477E94" w:rsidRPr="00477E94">
        <w:rPr>
          <w:lang w:val="en"/>
        </w:rPr>
        <w:t>LaborContractLagged</w:t>
      </w:r>
      <w:proofErr w:type="spellEnd"/>
      <w:r w:rsidR="00477E94">
        <w:rPr>
          <w:lang w:val="en"/>
        </w:rPr>
        <w:t>)</w:t>
      </w:r>
      <w:r>
        <w:rPr>
          <w:lang w:val="en"/>
        </w:rPr>
        <w:t xml:space="preserve"> the transition (independent worker, formal waged worker and informal waged worker) and time (year) dummies. * p value less than 10%.</w:t>
      </w:r>
      <w:r w:rsidR="00477E94">
        <w:rPr>
          <w:lang w:val="en"/>
        </w:rPr>
        <w:t xml:space="preserve"> </w:t>
      </w:r>
      <w:r w:rsidR="00477E94">
        <w:rPr>
          <w:lang w:val="en-US"/>
        </w:rPr>
        <w:t>** p value less than 5%, *** p value less than 1%</w:t>
      </w:r>
      <w:r w:rsidR="00546537">
        <w:rPr>
          <w:lang w:val="en-US"/>
        </w:rPr>
        <w:t>. Industry and occupation similarity have been build based on all transitions. The sample in this regression is the full sample.</w:t>
      </w:r>
    </w:p>
    <w:p w14:paraId="491871E3" w14:textId="071130B7" w:rsidR="00652FE7" w:rsidRDefault="00652FE7" w:rsidP="00D20955">
      <w:pPr>
        <w:rPr>
          <w:lang w:val="en-US"/>
        </w:rPr>
      </w:pPr>
    </w:p>
    <w:tbl>
      <w:tblPr>
        <w:tblW w:w="8949" w:type="dxa"/>
        <w:tblCellMar>
          <w:left w:w="70" w:type="dxa"/>
          <w:right w:w="70" w:type="dxa"/>
        </w:tblCellMar>
        <w:tblLook w:val="04A0" w:firstRow="1" w:lastRow="0" w:firstColumn="1" w:lastColumn="0" w:noHBand="0" w:noVBand="1"/>
      </w:tblPr>
      <w:tblGrid>
        <w:gridCol w:w="3696"/>
        <w:gridCol w:w="1192"/>
        <w:gridCol w:w="863"/>
        <w:gridCol w:w="839"/>
        <w:gridCol w:w="658"/>
        <w:gridCol w:w="658"/>
        <w:gridCol w:w="1043"/>
      </w:tblGrid>
      <w:tr w:rsidR="00D20955" w:rsidRPr="00124C67" w14:paraId="5FCB3BB8" w14:textId="77777777" w:rsidTr="002F0A15">
        <w:trPr>
          <w:trHeight w:val="268"/>
        </w:trPr>
        <w:tc>
          <w:tcPr>
            <w:tcW w:w="3696" w:type="dxa"/>
            <w:tcBorders>
              <w:top w:val="single" w:sz="4" w:space="0" w:color="auto"/>
              <w:left w:val="nil"/>
              <w:bottom w:val="single" w:sz="4" w:space="0" w:color="auto"/>
              <w:right w:val="nil"/>
            </w:tcBorders>
            <w:shd w:val="clear" w:color="auto" w:fill="auto"/>
            <w:noWrap/>
            <w:vAlign w:val="center"/>
            <w:hideMark/>
          </w:tcPr>
          <w:p w14:paraId="46AF65F8" w14:textId="77777777" w:rsidR="002F0A15" w:rsidRPr="002F0A15" w:rsidRDefault="00D20955" w:rsidP="00D20955">
            <w:pPr>
              <w:spacing w:after="0"/>
              <w:rPr>
                <w:rFonts w:eastAsia="Times New Roman"/>
                <w:color w:val="000000"/>
                <w:sz w:val="20"/>
                <w:szCs w:val="20"/>
                <w:lang w:val="es-AR"/>
              </w:rPr>
            </w:pPr>
            <w:proofErr w:type="spellStart"/>
            <w:r w:rsidRPr="002F0A15">
              <w:rPr>
                <w:rFonts w:eastAsia="Times New Roman"/>
                <w:color w:val="000000"/>
                <w:sz w:val="20"/>
                <w:szCs w:val="20"/>
                <w:lang w:val="es-AR"/>
              </w:rPr>
              <w:t>Dep</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var</w:t>
            </w:r>
            <w:proofErr w:type="spellEnd"/>
          </w:p>
          <w:p w14:paraId="77ACD9EF" w14:textId="51E7BFA6" w:rsidR="00D20955" w:rsidRPr="002F0A15" w:rsidRDefault="00D20955" w:rsidP="00D20955">
            <w:pPr>
              <w:spacing w:after="0"/>
              <w:rPr>
                <w:rFonts w:eastAsia="Times New Roman"/>
                <w:color w:val="000000"/>
                <w:sz w:val="20"/>
                <w:szCs w:val="20"/>
                <w:lang w:val="es-AR"/>
              </w:rPr>
            </w:pPr>
            <w:proofErr w:type="spellStart"/>
            <w:r w:rsidRPr="002F0A15">
              <w:rPr>
                <w:rFonts w:eastAsia="Times New Roman"/>
                <w:color w:val="000000"/>
                <w:sz w:val="20"/>
                <w:szCs w:val="20"/>
                <w:lang w:val="es-AR"/>
              </w:rPr>
              <w:t>QuarterlyChangeRealHourlyWage</w:t>
            </w:r>
            <w:proofErr w:type="spellEnd"/>
          </w:p>
        </w:tc>
        <w:tc>
          <w:tcPr>
            <w:tcW w:w="1192" w:type="dxa"/>
            <w:tcBorders>
              <w:top w:val="single" w:sz="4" w:space="0" w:color="auto"/>
              <w:left w:val="nil"/>
              <w:bottom w:val="single" w:sz="4" w:space="0" w:color="auto"/>
              <w:right w:val="nil"/>
            </w:tcBorders>
            <w:shd w:val="clear" w:color="auto" w:fill="auto"/>
            <w:noWrap/>
            <w:vAlign w:val="center"/>
            <w:hideMark/>
          </w:tcPr>
          <w:p w14:paraId="3D31AAD3" w14:textId="77777777" w:rsidR="00D20955" w:rsidRPr="002F0A15" w:rsidRDefault="00D20955" w:rsidP="00D20955">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estimate</w:t>
            </w:r>
            <w:proofErr w:type="spellEnd"/>
          </w:p>
        </w:tc>
        <w:tc>
          <w:tcPr>
            <w:tcW w:w="863" w:type="dxa"/>
            <w:tcBorders>
              <w:top w:val="single" w:sz="4" w:space="0" w:color="auto"/>
              <w:left w:val="nil"/>
              <w:bottom w:val="single" w:sz="4" w:space="0" w:color="auto"/>
              <w:right w:val="nil"/>
            </w:tcBorders>
            <w:shd w:val="clear" w:color="auto" w:fill="auto"/>
            <w:noWrap/>
            <w:vAlign w:val="center"/>
            <w:hideMark/>
          </w:tcPr>
          <w:p w14:paraId="35732404" w14:textId="77777777" w:rsidR="00D20955" w:rsidRPr="002F0A15" w:rsidRDefault="00D20955" w:rsidP="00D20955">
            <w:pPr>
              <w:spacing w:after="0"/>
              <w:jc w:val="center"/>
              <w:rPr>
                <w:rFonts w:eastAsia="Times New Roman"/>
                <w:color w:val="000000"/>
                <w:sz w:val="20"/>
                <w:szCs w:val="20"/>
                <w:lang w:val="es-AR"/>
              </w:rPr>
            </w:pPr>
            <w:proofErr w:type="spellStart"/>
            <w:proofErr w:type="gramStart"/>
            <w:r w:rsidRPr="002F0A15">
              <w:rPr>
                <w:rFonts w:eastAsia="Times New Roman"/>
                <w:color w:val="000000"/>
                <w:sz w:val="20"/>
                <w:szCs w:val="20"/>
                <w:lang w:val="es-AR"/>
              </w:rPr>
              <w:t>std.error</w:t>
            </w:r>
            <w:proofErr w:type="spellEnd"/>
            <w:proofErr w:type="gramEnd"/>
          </w:p>
        </w:tc>
        <w:tc>
          <w:tcPr>
            <w:tcW w:w="839" w:type="dxa"/>
            <w:tcBorders>
              <w:top w:val="single" w:sz="4" w:space="0" w:color="auto"/>
              <w:left w:val="nil"/>
              <w:bottom w:val="single" w:sz="4" w:space="0" w:color="auto"/>
              <w:right w:val="nil"/>
            </w:tcBorders>
            <w:shd w:val="clear" w:color="auto" w:fill="auto"/>
            <w:noWrap/>
            <w:vAlign w:val="center"/>
            <w:hideMark/>
          </w:tcPr>
          <w:p w14:paraId="1D396C3F" w14:textId="77777777" w:rsidR="00D20955" w:rsidRPr="002F0A15" w:rsidRDefault="00D20955" w:rsidP="00D20955">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p.value</w:t>
            </w:r>
            <w:proofErr w:type="spellEnd"/>
          </w:p>
        </w:tc>
        <w:tc>
          <w:tcPr>
            <w:tcW w:w="658" w:type="dxa"/>
            <w:tcBorders>
              <w:top w:val="single" w:sz="4" w:space="0" w:color="auto"/>
              <w:left w:val="nil"/>
              <w:bottom w:val="single" w:sz="4" w:space="0" w:color="auto"/>
              <w:right w:val="nil"/>
            </w:tcBorders>
            <w:shd w:val="clear" w:color="auto" w:fill="auto"/>
            <w:noWrap/>
            <w:vAlign w:val="center"/>
            <w:hideMark/>
          </w:tcPr>
          <w:p w14:paraId="3EFA689B" w14:textId="77777777" w:rsidR="00D20955" w:rsidRPr="002F0A15" w:rsidRDefault="00D20955" w:rsidP="00D20955">
            <w:pPr>
              <w:spacing w:after="0"/>
              <w:jc w:val="center"/>
              <w:rPr>
                <w:rFonts w:eastAsia="Times New Roman"/>
                <w:color w:val="000000"/>
                <w:sz w:val="20"/>
                <w:szCs w:val="20"/>
                <w:lang w:val="es-AR"/>
              </w:rPr>
            </w:pPr>
            <w:r w:rsidRPr="002F0A15">
              <w:rPr>
                <w:rFonts w:eastAsia="Times New Roman"/>
                <w:color w:val="000000"/>
                <w:sz w:val="20"/>
                <w:szCs w:val="20"/>
                <w:lang w:val="es-AR"/>
              </w:rPr>
              <w:t>Lb (CI 90%)</w:t>
            </w:r>
          </w:p>
        </w:tc>
        <w:tc>
          <w:tcPr>
            <w:tcW w:w="658" w:type="dxa"/>
            <w:tcBorders>
              <w:top w:val="single" w:sz="4" w:space="0" w:color="auto"/>
              <w:left w:val="nil"/>
              <w:bottom w:val="single" w:sz="4" w:space="0" w:color="auto"/>
              <w:right w:val="nil"/>
            </w:tcBorders>
            <w:shd w:val="clear" w:color="auto" w:fill="auto"/>
            <w:noWrap/>
            <w:vAlign w:val="center"/>
            <w:hideMark/>
          </w:tcPr>
          <w:p w14:paraId="278BD33C" w14:textId="77777777" w:rsidR="00D20955" w:rsidRPr="002F0A15" w:rsidRDefault="00D20955" w:rsidP="00D20955">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Ub</w:t>
            </w:r>
            <w:proofErr w:type="spellEnd"/>
            <w:r w:rsidRPr="002F0A15">
              <w:rPr>
                <w:rFonts w:eastAsia="Times New Roman"/>
                <w:color w:val="000000"/>
                <w:sz w:val="20"/>
                <w:szCs w:val="20"/>
                <w:lang w:val="es-AR"/>
              </w:rPr>
              <w:t xml:space="preserve"> (CI 90%)</w:t>
            </w:r>
          </w:p>
        </w:tc>
        <w:tc>
          <w:tcPr>
            <w:tcW w:w="1043" w:type="dxa"/>
            <w:tcBorders>
              <w:top w:val="single" w:sz="4" w:space="0" w:color="auto"/>
              <w:left w:val="nil"/>
              <w:bottom w:val="single" w:sz="4" w:space="0" w:color="auto"/>
              <w:right w:val="nil"/>
            </w:tcBorders>
            <w:shd w:val="clear" w:color="auto" w:fill="auto"/>
            <w:noWrap/>
            <w:vAlign w:val="center"/>
            <w:hideMark/>
          </w:tcPr>
          <w:p w14:paraId="3A335EDE" w14:textId="77777777" w:rsidR="00D20955" w:rsidRPr="002F0A15" w:rsidRDefault="00D20955" w:rsidP="00D20955">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coefPvalue</w:t>
            </w:r>
            <w:proofErr w:type="spellEnd"/>
          </w:p>
        </w:tc>
      </w:tr>
      <w:tr w:rsidR="00D20955" w:rsidRPr="00124C67" w14:paraId="7EAA48B0" w14:textId="77777777" w:rsidTr="002F0A15">
        <w:trPr>
          <w:trHeight w:val="268"/>
        </w:trPr>
        <w:tc>
          <w:tcPr>
            <w:tcW w:w="3696" w:type="dxa"/>
            <w:tcBorders>
              <w:top w:val="nil"/>
              <w:left w:val="nil"/>
              <w:bottom w:val="nil"/>
              <w:right w:val="nil"/>
            </w:tcBorders>
            <w:shd w:val="clear" w:color="auto" w:fill="auto"/>
            <w:noWrap/>
            <w:vAlign w:val="center"/>
            <w:hideMark/>
          </w:tcPr>
          <w:p w14:paraId="12BEF037" w14:textId="77777777" w:rsidR="00D20955" w:rsidRPr="002F0A15" w:rsidRDefault="00D20955" w:rsidP="00D20955">
            <w:pPr>
              <w:spacing w:after="0"/>
              <w:jc w:val="left"/>
              <w:rPr>
                <w:rFonts w:eastAsia="Times New Roman"/>
                <w:color w:val="000000"/>
                <w:sz w:val="20"/>
                <w:szCs w:val="20"/>
                <w:lang w:val="es-AR"/>
              </w:rPr>
            </w:pPr>
            <w:r w:rsidRPr="002F0A15">
              <w:rPr>
                <w:rFonts w:eastAsia="Times New Roman"/>
                <w:color w:val="000000"/>
                <w:sz w:val="20"/>
                <w:szCs w:val="20"/>
                <w:lang w:val="es-AR"/>
              </w:rPr>
              <w:t>(</w:t>
            </w:r>
            <w:proofErr w:type="spellStart"/>
            <w:r w:rsidRPr="002F0A15">
              <w:rPr>
                <w:rFonts w:eastAsia="Times New Roman"/>
                <w:color w:val="000000"/>
                <w:sz w:val="20"/>
                <w:szCs w:val="20"/>
                <w:lang w:val="es-AR"/>
              </w:rPr>
              <w:t>Intercept</w:t>
            </w:r>
            <w:proofErr w:type="spellEnd"/>
            <w:r w:rsidRPr="002F0A15">
              <w:rPr>
                <w:rFonts w:eastAsia="Times New Roman"/>
                <w:color w:val="000000"/>
                <w:sz w:val="20"/>
                <w:szCs w:val="20"/>
                <w:lang w:val="es-AR"/>
              </w:rPr>
              <w:t>)</w:t>
            </w:r>
          </w:p>
        </w:tc>
        <w:tc>
          <w:tcPr>
            <w:tcW w:w="1192" w:type="dxa"/>
            <w:tcBorders>
              <w:top w:val="nil"/>
              <w:left w:val="nil"/>
              <w:bottom w:val="nil"/>
              <w:right w:val="nil"/>
            </w:tcBorders>
            <w:shd w:val="clear" w:color="auto" w:fill="auto"/>
            <w:noWrap/>
            <w:hideMark/>
          </w:tcPr>
          <w:p w14:paraId="421236D0" w14:textId="341FBDF7" w:rsidR="00D20955" w:rsidRPr="002F0A15" w:rsidRDefault="00D20955" w:rsidP="00D20955">
            <w:pPr>
              <w:spacing w:after="0"/>
              <w:jc w:val="center"/>
              <w:rPr>
                <w:rFonts w:eastAsia="Times New Roman"/>
                <w:color w:val="000000"/>
                <w:sz w:val="20"/>
                <w:szCs w:val="20"/>
                <w:lang w:val="es-AR"/>
              </w:rPr>
            </w:pPr>
            <w:r w:rsidRPr="002F0A15">
              <w:rPr>
                <w:sz w:val="20"/>
                <w:szCs w:val="20"/>
              </w:rPr>
              <w:t>0.47</w:t>
            </w:r>
          </w:p>
        </w:tc>
        <w:tc>
          <w:tcPr>
            <w:tcW w:w="863" w:type="dxa"/>
            <w:tcBorders>
              <w:top w:val="nil"/>
              <w:left w:val="nil"/>
              <w:bottom w:val="nil"/>
              <w:right w:val="nil"/>
            </w:tcBorders>
            <w:shd w:val="clear" w:color="auto" w:fill="auto"/>
            <w:noWrap/>
            <w:hideMark/>
          </w:tcPr>
          <w:p w14:paraId="4FCD9251" w14:textId="3E4C45B3" w:rsidR="00D20955" w:rsidRPr="002F0A15" w:rsidRDefault="00D20955" w:rsidP="00D20955">
            <w:pPr>
              <w:spacing w:after="0"/>
              <w:jc w:val="center"/>
              <w:rPr>
                <w:rFonts w:eastAsia="Times New Roman"/>
                <w:color w:val="000000"/>
                <w:sz w:val="20"/>
                <w:szCs w:val="20"/>
                <w:lang w:val="es-AR"/>
              </w:rPr>
            </w:pPr>
            <w:r w:rsidRPr="002F0A15">
              <w:rPr>
                <w:sz w:val="20"/>
                <w:szCs w:val="20"/>
              </w:rPr>
              <w:t>0.13</w:t>
            </w:r>
          </w:p>
        </w:tc>
        <w:tc>
          <w:tcPr>
            <w:tcW w:w="839" w:type="dxa"/>
            <w:tcBorders>
              <w:top w:val="nil"/>
              <w:left w:val="nil"/>
              <w:bottom w:val="nil"/>
              <w:right w:val="nil"/>
            </w:tcBorders>
            <w:shd w:val="clear" w:color="auto" w:fill="auto"/>
            <w:noWrap/>
            <w:hideMark/>
          </w:tcPr>
          <w:p w14:paraId="1C731594" w14:textId="0E495277" w:rsidR="00D20955" w:rsidRPr="002F0A15" w:rsidRDefault="00D20955" w:rsidP="00D20955">
            <w:pPr>
              <w:spacing w:after="0"/>
              <w:jc w:val="center"/>
              <w:rPr>
                <w:rFonts w:eastAsia="Times New Roman"/>
                <w:color w:val="000000"/>
                <w:sz w:val="20"/>
                <w:szCs w:val="20"/>
                <w:lang w:val="es-AR"/>
              </w:rPr>
            </w:pPr>
            <w:r w:rsidRPr="002F0A15">
              <w:rPr>
                <w:sz w:val="20"/>
                <w:szCs w:val="20"/>
              </w:rPr>
              <w:t>0.00</w:t>
            </w:r>
          </w:p>
        </w:tc>
        <w:tc>
          <w:tcPr>
            <w:tcW w:w="658" w:type="dxa"/>
            <w:tcBorders>
              <w:top w:val="nil"/>
              <w:left w:val="nil"/>
              <w:bottom w:val="nil"/>
              <w:right w:val="nil"/>
            </w:tcBorders>
            <w:shd w:val="clear" w:color="auto" w:fill="auto"/>
            <w:noWrap/>
            <w:hideMark/>
          </w:tcPr>
          <w:p w14:paraId="060F94AD" w14:textId="03E402EE" w:rsidR="00D20955" w:rsidRPr="002F0A15" w:rsidRDefault="00D20955" w:rsidP="00D20955">
            <w:pPr>
              <w:spacing w:after="0"/>
              <w:jc w:val="center"/>
              <w:rPr>
                <w:rFonts w:eastAsia="Times New Roman"/>
                <w:color w:val="000000"/>
                <w:sz w:val="20"/>
                <w:szCs w:val="20"/>
                <w:lang w:val="es-AR"/>
              </w:rPr>
            </w:pPr>
            <w:r w:rsidRPr="002F0A15">
              <w:rPr>
                <w:sz w:val="20"/>
                <w:szCs w:val="20"/>
              </w:rPr>
              <w:t>0.25</w:t>
            </w:r>
          </w:p>
        </w:tc>
        <w:tc>
          <w:tcPr>
            <w:tcW w:w="658" w:type="dxa"/>
            <w:tcBorders>
              <w:top w:val="nil"/>
              <w:left w:val="nil"/>
              <w:bottom w:val="nil"/>
              <w:right w:val="nil"/>
            </w:tcBorders>
            <w:shd w:val="clear" w:color="auto" w:fill="auto"/>
            <w:noWrap/>
            <w:hideMark/>
          </w:tcPr>
          <w:p w14:paraId="1EC77662" w14:textId="0C521561" w:rsidR="00D20955" w:rsidRPr="002F0A15" w:rsidRDefault="00D20955" w:rsidP="00D20955">
            <w:pPr>
              <w:spacing w:after="0"/>
              <w:jc w:val="center"/>
              <w:rPr>
                <w:rFonts w:eastAsia="Times New Roman"/>
                <w:color w:val="000000"/>
                <w:sz w:val="20"/>
                <w:szCs w:val="20"/>
                <w:lang w:val="es-AR"/>
              </w:rPr>
            </w:pPr>
            <w:r w:rsidRPr="002F0A15">
              <w:rPr>
                <w:sz w:val="20"/>
                <w:szCs w:val="20"/>
              </w:rPr>
              <w:t>0.69</w:t>
            </w:r>
          </w:p>
        </w:tc>
        <w:tc>
          <w:tcPr>
            <w:tcW w:w="1043" w:type="dxa"/>
            <w:tcBorders>
              <w:top w:val="nil"/>
              <w:left w:val="nil"/>
              <w:bottom w:val="nil"/>
              <w:right w:val="nil"/>
            </w:tcBorders>
            <w:shd w:val="clear" w:color="auto" w:fill="auto"/>
            <w:noWrap/>
            <w:hideMark/>
          </w:tcPr>
          <w:p w14:paraId="651556A8" w14:textId="6FA949FF" w:rsidR="00D20955" w:rsidRPr="002F0A15" w:rsidRDefault="00D20955" w:rsidP="00D20955">
            <w:pPr>
              <w:spacing w:after="0"/>
              <w:jc w:val="center"/>
              <w:rPr>
                <w:rFonts w:eastAsia="Times New Roman"/>
                <w:color w:val="000000"/>
                <w:sz w:val="20"/>
                <w:szCs w:val="20"/>
                <w:lang w:val="es-AR"/>
              </w:rPr>
            </w:pPr>
            <w:r w:rsidRPr="002F0A15">
              <w:rPr>
                <w:sz w:val="20"/>
                <w:szCs w:val="20"/>
              </w:rPr>
              <w:t>0.47***</w:t>
            </w:r>
          </w:p>
        </w:tc>
      </w:tr>
      <w:tr w:rsidR="00D20955" w:rsidRPr="00124C67" w14:paraId="0959C485" w14:textId="77777777" w:rsidTr="002F0A15">
        <w:trPr>
          <w:trHeight w:val="268"/>
        </w:trPr>
        <w:tc>
          <w:tcPr>
            <w:tcW w:w="3696" w:type="dxa"/>
            <w:tcBorders>
              <w:top w:val="nil"/>
              <w:left w:val="nil"/>
              <w:bottom w:val="nil"/>
              <w:right w:val="nil"/>
            </w:tcBorders>
            <w:shd w:val="clear" w:color="auto" w:fill="auto"/>
            <w:noWrap/>
            <w:vAlign w:val="center"/>
            <w:hideMark/>
          </w:tcPr>
          <w:p w14:paraId="65B38A16"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RijOccupation</w:t>
            </w:r>
            <w:proofErr w:type="spellEnd"/>
          </w:p>
        </w:tc>
        <w:tc>
          <w:tcPr>
            <w:tcW w:w="1192" w:type="dxa"/>
            <w:tcBorders>
              <w:top w:val="nil"/>
              <w:left w:val="nil"/>
              <w:bottom w:val="nil"/>
              <w:right w:val="nil"/>
            </w:tcBorders>
            <w:shd w:val="clear" w:color="auto" w:fill="auto"/>
            <w:noWrap/>
            <w:hideMark/>
          </w:tcPr>
          <w:p w14:paraId="33C55B77" w14:textId="30E0A3CA"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63" w:type="dxa"/>
            <w:tcBorders>
              <w:top w:val="nil"/>
              <w:left w:val="nil"/>
              <w:bottom w:val="nil"/>
              <w:right w:val="nil"/>
            </w:tcBorders>
            <w:shd w:val="clear" w:color="auto" w:fill="auto"/>
            <w:noWrap/>
            <w:hideMark/>
          </w:tcPr>
          <w:p w14:paraId="3552A62B" w14:textId="351C455F" w:rsidR="00D20955" w:rsidRPr="002F0A15" w:rsidRDefault="00D20955" w:rsidP="00D20955">
            <w:pPr>
              <w:spacing w:after="0"/>
              <w:jc w:val="center"/>
              <w:rPr>
                <w:rFonts w:eastAsia="Times New Roman"/>
                <w:color w:val="000000"/>
                <w:sz w:val="20"/>
                <w:szCs w:val="20"/>
                <w:lang w:val="es-AR"/>
              </w:rPr>
            </w:pPr>
            <w:r w:rsidRPr="002F0A15">
              <w:rPr>
                <w:sz w:val="20"/>
                <w:szCs w:val="20"/>
              </w:rPr>
              <w:t>0.02</w:t>
            </w:r>
          </w:p>
        </w:tc>
        <w:tc>
          <w:tcPr>
            <w:tcW w:w="839" w:type="dxa"/>
            <w:tcBorders>
              <w:top w:val="nil"/>
              <w:left w:val="nil"/>
              <w:bottom w:val="nil"/>
              <w:right w:val="nil"/>
            </w:tcBorders>
            <w:shd w:val="clear" w:color="auto" w:fill="auto"/>
            <w:noWrap/>
            <w:hideMark/>
          </w:tcPr>
          <w:p w14:paraId="3EBD9377" w14:textId="0707D17B" w:rsidR="00D20955" w:rsidRPr="002F0A15" w:rsidRDefault="00D20955" w:rsidP="00D20955">
            <w:pPr>
              <w:spacing w:after="0"/>
              <w:jc w:val="center"/>
              <w:rPr>
                <w:rFonts w:eastAsia="Times New Roman"/>
                <w:color w:val="000000"/>
                <w:sz w:val="20"/>
                <w:szCs w:val="20"/>
                <w:lang w:val="es-AR"/>
              </w:rPr>
            </w:pPr>
            <w:r w:rsidRPr="002F0A15">
              <w:rPr>
                <w:sz w:val="20"/>
                <w:szCs w:val="20"/>
              </w:rPr>
              <w:t>0.07</w:t>
            </w:r>
          </w:p>
        </w:tc>
        <w:tc>
          <w:tcPr>
            <w:tcW w:w="658" w:type="dxa"/>
            <w:tcBorders>
              <w:top w:val="nil"/>
              <w:left w:val="nil"/>
              <w:bottom w:val="nil"/>
              <w:right w:val="nil"/>
            </w:tcBorders>
            <w:shd w:val="clear" w:color="auto" w:fill="auto"/>
            <w:noWrap/>
            <w:hideMark/>
          </w:tcPr>
          <w:p w14:paraId="09CF1FE4" w14:textId="505F6CBA" w:rsidR="00D20955" w:rsidRPr="002F0A15" w:rsidRDefault="00D20955" w:rsidP="00D20955">
            <w:pPr>
              <w:spacing w:after="0"/>
              <w:jc w:val="center"/>
              <w:rPr>
                <w:rFonts w:eastAsia="Times New Roman"/>
                <w:color w:val="000000"/>
                <w:sz w:val="20"/>
                <w:szCs w:val="20"/>
                <w:lang w:val="es-AR"/>
              </w:rPr>
            </w:pPr>
            <w:r w:rsidRPr="002F0A15">
              <w:rPr>
                <w:sz w:val="20"/>
                <w:szCs w:val="20"/>
              </w:rPr>
              <w:t>0.00</w:t>
            </w:r>
          </w:p>
        </w:tc>
        <w:tc>
          <w:tcPr>
            <w:tcW w:w="658" w:type="dxa"/>
            <w:tcBorders>
              <w:top w:val="nil"/>
              <w:left w:val="nil"/>
              <w:bottom w:val="nil"/>
              <w:right w:val="nil"/>
            </w:tcBorders>
            <w:shd w:val="clear" w:color="auto" w:fill="auto"/>
            <w:noWrap/>
            <w:hideMark/>
          </w:tcPr>
          <w:p w14:paraId="6A071144" w14:textId="26366C9F" w:rsidR="00D20955" w:rsidRPr="002F0A15" w:rsidRDefault="00D20955" w:rsidP="00D20955">
            <w:pPr>
              <w:spacing w:after="0"/>
              <w:jc w:val="center"/>
              <w:rPr>
                <w:rFonts w:eastAsia="Times New Roman"/>
                <w:color w:val="000000"/>
                <w:sz w:val="20"/>
                <w:szCs w:val="20"/>
                <w:lang w:val="es-AR"/>
              </w:rPr>
            </w:pPr>
            <w:r w:rsidRPr="002F0A15">
              <w:rPr>
                <w:sz w:val="20"/>
                <w:szCs w:val="20"/>
              </w:rPr>
              <w:t>0.06</w:t>
            </w:r>
          </w:p>
        </w:tc>
        <w:tc>
          <w:tcPr>
            <w:tcW w:w="1043" w:type="dxa"/>
            <w:tcBorders>
              <w:top w:val="nil"/>
              <w:left w:val="nil"/>
              <w:bottom w:val="nil"/>
              <w:right w:val="nil"/>
            </w:tcBorders>
            <w:shd w:val="clear" w:color="auto" w:fill="auto"/>
            <w:noWrap/>
            <w:hideMark/>
          </w:tcPr>
          <w:p w14:paraId="2C2E5AAF" w14:textId="26CD41F8"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r>
      <w:tr w:rsidR="00D20955" w:rsidRPr="00124C67" w14:paraId="61909683" w14:textId="77777777" w:rsidTr="002F0A15">
        <w:trPr>
          <w:trHeight w:val="268"/>
        </w:trPr>
        <w:tc>
          <w:tcPr>
            <w:tcW w:w="3696" w:type="dxa"/>
            <w:tcBorders>
              <w:top w:val="nil"/>
              <w:left w:val="nil"/>
              <w:bottom w:val="nil"/>
              <w:right w:val="nil"/>
            </w:tcBorders>
            <w:shd w:val="clear" w:color="auto" w:fill="auto"/>
            <w:noWrap/>
            <w:vAlign w:val="center"/>
            <w:hideMark/>
          </w:tcPr>
          <w:p w14:paraId="53D4C6BB"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RijIndustry</w:t>
            </w:r>
            <w:proofErr w:type="spellEnd"/>
          </w:p>
        </w:tc>
        <w:tc>
          <w:tcPr>
            <w:tcW w:w="1192" w:type="dxa"/>
            <w:tcBorders>
              <w:top w:val="nil"/>
              <w:left w:val="nil"/>
              <w:bottom w:val="nil"/>
              <w:right w:val="nil"/>
            </w:tcBorders>
            <w:shd w:val="clear" w:color="auto" w:fill="auto"/>
            <w:noWrap/>
            <w:hideMark/>
          </w:tcPr>
          <w:p w14:paraId="24D8D86A" w14:textId="67BF04D2"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863" w:type="dxa"/>
            <w:tcBorders>
              <w:top w:val="nil"/>
              <w:left w:val="nil"/>
              <w:bottom w:val="nil"/>
              <w:right w:val="nil"/>
            </w:tcBorders>
            <w:shd w:val="clear" w:color="auto" w:fill="auto"/>
            <w:noWrap/>
            <w:hideMark/>
          </w:tcPr>
          <w:p w14:paraId="2DF3243D" w14:textId="0A92749F" w:rsidR="00D20955" w:rsidRPr="002F0A15" w:rsidRDefault="00D20955" w:rsidP="00D20955">
            <w:pPr>
              <w:spacing w:after="0"/>
              <w:jc w:val="center"/>
              <w:rPr>
                <w:rFonts w:eastAsia="Times New Roman"/>
                <w:color w:val="000000"/>
                <w:sz w:val="20"/>
                <w:szCs w:val="20"/>
                <w:lang w:val="es-AR"/>
              </w:rPr>
            </w:pPr>
            <w:r w:rsidRPr="002F0A15">
              <w:rPr>
                <w:sz w:val="20"/>
                <w:szCs w:val="20"/>
              </w:rPr>
              <w:t>0.02</w:t>
            </w:r>
          </w:p>
        </w:tc>
        <w:tc>
          <w:tcPr>
            <w:tcW w:w="839" w:type="dxa"/>
            <w:tcBorders>
              <w:top w:val="nil"/>
              <w:left w:val="nil"/>
              <w:bottom w:val="nil"/>
              <w:right w:val="nil"/>
            </w:tcBorders>
            <w:shd w:val="clear" w:color="auto" w:fill="auto"/>
            <w:noWrap/>
            <w:hideMark/>
          </w:tcPr>
          <w:p w14:paraId="63C207CF" w14:textId="5DA9C1F3" w:rsidR="00D20955" w:rsidRPr="002F0A15" w:rsidRDefault="00D20955" w:rsidP="00D20955">
            <w:pPr>
              <w:spacing w:after="0"/>
              <w:jc w:val="center"/>
              <w:rPr>
                <w:rFonts w:eastAsia="Times New Roman"/>
                <w:color w:val="000000"/>
                <w:sz w:val="20"/>
                <w:szCs w:val="20"/>
                <w:lang w:val="es-AR"/>
              </w:rPr>
            </w:pPr>
            <w:r w:rsidRPr="002F0A15">
              <w:rPr>
                <w:sz w:val="20"/>
                <w:szCs w:val="20"/>
              </w:rPr>
              <w:t>0.44</w:t>
            </w:r>
          </w:p>
        </w:tc>
        <w:tc>
          <w:tcPr>
            <w:tcW w:w="658" w:type="dxa"/>
            <w:tcBorders>
              <w:top w:val="nil"/>
              <w:left w:val="nil"/>
              <w:bottom w:val="nil"/>
              <w:right w:val="nil"/>
            </w:tcBorders>
            <w:shd w:val="clear" w:color="auto" w:fill="auto"/>
            <w:noWrap/>
            <w:hideMark/>
          </w:tcPr>
          <w:p w14:paraId="25B26D43" w14:textId="2A94F966" w:rsidR="00D20955" w:rsidRPr="002F0A15" w:rsidRDefault="00D20955" w:rsidP="00D20955">
            <w:pPr>
              <w:spacing w:after="0"/>
              <w:jc w:val="center"/>
              <w:rPr>
                <w:rFonts w:eastAsia="Times New Roman"/>
                <w:color w:val="000000"/>
                <w:sz w:val="20"/>
                <w:szCs w:val="20"/>
                <w:lang w:val="es-AR"/>
              </w:rPr>
            </w:pPr>
            <w:r w:rsidRPr="002F0A15">
              <w:rPr>
                <w:sz w:val="20"/>
                <w:szCs w:val="20"/>
              </w:rPr>
              <w:t>-0.04</w:t>
            </w:r>
          </w:p>
        </w:tc>
        <w:tc>
          <w:tcPr>
            <w:tcW w:w="658" w:type="dxa"/>
            <w:tcBorders>
              <w:top w:val="nil"/>
              <w:left w:val="nil"/>
              <w:bottom w:val="nil"/>
              <w:right w:val="nil"/>
            </w:tcBorders>
            <w:shd w:val="clear" w:color="auto" w:fill="auto"/>
            <w:noWrap/>
            <w:hideMark/>
          </w:tcPr>
          <w:p w14:paraId="49166DBE" w14:textId="4ED370D1" w:rsidR="00D20955" w:rsidRPr="002F0A15" w:rsidRDefault="00D20955" w:rsidP="00D20955">
            <w:pPr>
              <w:spacing w:after="0"/>
              <w:jc w:val="center"/>
              <w:rPr>
                <w:rFonts w:eastAsia="Times New Roman"/>
                <w:color w:val="000000"/>
                <w:sz w:val="20"/>
                <w:szCs w:val="20"/>
                <w:lang w:val="es-AR"/>
              </w:rPr>
            </w:pPr>
            <w:r w:rsidRPr="002F0A15">
              <w:rPr>
                <w:sz w:val="20"/>
                <w:szCs w:val="20"/>
              </w:rPr>
              <w:t>0.02</w:t>
            </w:r>
          </w:p>
        </w:tc>
        <w:tc>
          <w:tcPr>
            <w:tcW w:w="1043" w:type="dxa"/>
            <w:tcBorders>
              <w:top w:val="nil"/>
              <w:left w:val="nil"/>
              <w:bottom w:val="nil"/>
              <w:right w:val="nil"/>
            </w:tcBorders>
            <w:shd w:val="clear" w:color="auto" w:fill="auto"/>
            <w:noWrap/>
            <w:hideMark/>
          </w:tcPr>
          <w:p w14:paraId="7C7CFA05" w14:textId="1816AB30"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r>
      <w:tr w:rsidR="00D20955" w:rsidRPr="00124C67" w14:paraId="1AEBF0D9" w14:textId="77777777" w:rsidTr="002F0A15">
        <w:trPr>
          <w:trHeight w:val="268"/>
        </w:trPr>
        <w:tc>
          <w:tcPr>
            <w:tcW w:w="3696" w:type="dxa"/>
            <w:tcBorders>
              <w:top w:val="nil"/>
              <w:left w:val="nil"/>
              <w:bottom w:val="nil"/>
              <w:right w:val="nil"/>
            </w:tcBorders>
            <w:shd w:val="clear" w:color="auto" w:fill="auto"/>
            <w:noWrap/>
            <w:vAlign w:val="center"/>
            <w:hideMark/>
          </w:tcPr>
          <w:p w14:paraId="02EB13CF"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IndustryAboveAvg_Lagged</w:t>
            </w:r>
            <w:proofErr w:type="spellEnd"/>
          </w:p>
        </w:tc>
        <w:tc>
          <w:tcPr>
            <w:tcW w:w="1192" w:type="dxa"/>
            <w:tcBorders>
              <w:top w:val="nil"/>
              <w:left w:val="nil"/>
              <w:bottom w:val="nil"/>
              <w:right w:val="nil"/>
            </w:tcBorders>
            <w:shd w:val="clear" w:color="auto" w:fill="auto"/>
            <w:noWrap/>
            <w:hideMark/>
          </w:tcPr>
          <w:p w14:paraId="0F63951D" w14:textId="1F27C6E0" w:rsidR="00D20955" w:rsidRPr="002F0A15" w:rsidRDefault="00D20955" w:rsidP="00D20955">
            <w:pPr>
              <w:spacing w:after="0"/>
              <w:jc w:val="center"/>
              <w:rPr>
                <w:rFonts w:eastAsia="Times New Roman"/>
                <w:color w:val="000000"/>
                <w:sz w:val="20"/>
                <w:szCs w:val="20"/>
                <w:lang w:val="es-AR"/>
              </w:rPr>
            </w:pPr>
            <w:r w:rsidRPr="002F0A15">
              <w:rPr>
                <w:sz w:val="20"/>
                <w:szCs w:val="20"/>
              </w:rPr>
              <w:t>-0.06</w:t>
            </w:r>
          </w:p>
        </w:tc>
        <w:tc>
          <w:tcPr>
            <w:tcW w:w="863" w:type="dxa"/>
            <w:tcBorders>
              <w:top w:val="nil"/>
              <w:left w:val="nil"/>
              <w:bottom w:val="nil"/>
              <w:right w:val="nil"/>
            </w:tcBorders>
            <w:shd w:val="clear" w:color="auto" w:fill="auto"/>
            <w:noWrap/>
            <w:hideMark/>
          </w:tcPr>
          <w:p w14:paraId="7A5C33C1" w14:textId="662C2A7C"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39" w:type="dxa"/>
            <w:tcBorders>
              <w:top w:val="nil"/>
              <w:left w:val="nil"/>
              <w:bottom w:val="nil"/>
              <w:right w:val="nil"/>
            </w:tcBorders>
            <w:shd w:val="clear" w:color="auto" w:fill="auto"/>
            <w:noWrap/>
            <w:hideMark/>
          </w:tcPr>
          <w:p w14:paraId="3E3A6920" w14:textId="4F56C42E" w:rsidR="00D20955" w:rsidRPr="002F0A15" w:rsidRDefault="00D20955" w:rsidP="00D20955">
            <w:pPr>
              <w:spacing w:after="0"/>
              <w:jc w:val="center"/>
              <w:rPr>
                <w:rFonts w:eastAsia="Times New Roman"/>
                <w:color w:val="000000"/>
                <w:sz w:val="20"/>
                <w:szCs w:val="20"/>
                <w:lang w:val="es-AR"/>
              </w:rPr>
            </w:pPr>
            <w:r w:rsidRPr="002F0A15">
              <w:rPr>
                <w:sz w:val="20"/>
                <w:szCs w:val="20"/>
              </w:rPr>
              <w:t>0.07</w:t>
            </w:r>
          </w:p>
        </w:tc>
        <w:tc>
          <w:tcPr>
            <w:tcW w:w="658" w:type="dxa"/>
            <w:tcBorders>
              <w:top w:val="nil"/>
              <w:left w:val="nil"/>
              <w:bottom w:val="nil"/>
              <w:right w:val="nil"/>
            </w:tcBorders>
            <w:shd w:val="clear" w:color="auto" w:fill="auto"/>
            <w:noWrap/>
            <w:hideMark/>
          </w:tcPr>
          <w:p w14:paraId="61DFCDC2" w14:textId="7680CF71" w:rsidR="00D20955" w:rsidRPr="002F0A15" w:rsidRDefault="00D20955" w:rsidP="00D20955">
            <w:pPr>
              <w:spacing w:after="0"/>
              <w:jc w:val="center"/>
              <w:rPr>
                <w:rFonts w:eastAsia="Times New Roman"/>
                <w:color w:val="000000"/>
                <w:sz w:val="20"/>
                <w:szCs w:val="20"/>
                <w:lang w:val="es-AR"/>
              </w:rPr>
            </w:pPr>
            <w:r w:rsidRPr="002F0A15">
              <w:rPr>
                <w:sz w:val="20"/>
                <w:szCs w:val="20"/>
              </w:rPr>
              <w:t>-0.11</w:t>
            </w:r>
          </w:p>
        </w:tc>
        <w:tc>
          <w:tcPr>
            <w:tcW w:w="658" w:type="dxa"/>
            <w:tcBorders>
              <w:top w:val="nil"/>
              <w:left w:val="nil"/>
              <w:bottom w:val="nil"/>
              <w:right w:val="nil"/>
            </w:tcBorders>
            <w:shd w:val="clear" w:color="auto" w:fill="auto"/>
            <w:noWrap/>
            <w:hideMark/>
          </w:tcPr>
          <w:p w14:paraId="61E58336" w14:textId="7A57B583"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1043" w:type="dxa"/>
            <w:tcBorders>
              <w:top w:val="nil"/>
              <w:left w:val="nil"/>
              <w:bottom w:val="nil"/>
              <w:right w:val="nil"/>
            </w:tcBorders>
            <w:shd w:val="clear" w:color="auto" w:fill="auto"/>
            <w:noWrap/>
            <w:hideMark/>
          </w:tcPr>
          <w:p w14:paraId="3CE7927F" w14:textId="29F3A5B4" w:rsidR="00D20955" w:rsidRPr="002F0A15" w:rsidRDefault="00D20955" w:rsidP="00D20955">
            <w:pPr>
              <w:spacing w:after="0"/>
              <w:jc w:val="center"/>
              <w:rPr>
                <w:rFonts w:eastAsia="Times New Roman"/>
                <w:color w:val="000000"/>
                <w:sz w:val="20"/>
                <w:szCs w:val="20"/>
                <w:lang w:val="es-AR"/>
              </w:rPr>
            </w:pPr>
            <w:r w:rsidRPr="002F0A15">
              <w:rPr>
                <w:sz w:val="20"/>
                <w:szCs w:val="20"/>
              </w:rPr>
              <w:t>-0.06*</w:t>
            </w:r>
          </w:p>
        </w:tc>
      </w:tr>
      <w:tr w:rsidR="00D20955" w:rsidRPr="00124C67" w14:paraId="6B057582" w14:textId="77777777" w:rsidTr="002F0A15">
        <w:trPr>
          <w:trHeight w:val="268"/>
        </w:trPr>
        <w:tc>
          <w:tcPr>
            <w:tcW w:w="3696" w:type="dxa"/>
            <w:tcBorders>
              <w:top w:val="nil"/>
              <w:left w:val="nil"/>
              <w:bottom w:val="nil"/>
              <w:right w:val="nil"/>
            </w:tcBorders>
            <w:shd w:val="clear" w:color="auto" w:fill="auto"/>
            <w:noWrap/>
            <w:vAlign w:val="center"/>
            <w:hideMark/>
          </w:tcPr>
          <w:p w14:paraId="68837F15"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w:t>
            </w:r>
            <w:proofErr w:type="spellEnd"/>
          </w:p>
        </w:tc>
        <w:tc>
          <w:tcPr>
            <w:tcW w:w="1192" w:type="dxa"/>
            <w:tcBorders>
              <w:top w:val="nil"/>
              <w:left w:val="nil"/>
              <w:bottom w:val="nil"/>
              <w:right w:val="nil"/>
            </w:tcBorders>
            <w:shd w:val="clear" w:color="auto" w:fill="auto"/>
            <w:noWrap/>
            <w:hideMark/>
          </w:tcPr>
          <w:p w14:paraId="17AF490F" w14:textId="49CCAD58" w:rsidR="00D20955" w:rsidRPr="002F0A15" w:rsidRDefault="00D20955" w:rsidP="00D20955">
            <w:pPr>
              <w:spacing w:after="0"/>
              <w:jc w:val="center"/>
              <w:rPr>
                <w:rFonts w:eastAsia="Times New Roman"/>
                <w:color w:val="000000"/>
                <w:sz w:val="20"/>
                <w:szCs w:val="20"/>
                <w:lang w:val="es-AR"/>
              </w:rPr>
            </w:pPr>
            <w:r w:rsidRPr="002F0A15">
              <w:rPr>
                <w:sz w:val="20"/>
                <w:szCs w:val="20"/>
              </w:rPr>
              <w:t>0.04</w:t>
            </w:r>
          </w:p>
        </w:tc>
        <w:tc>
          <w:tcPr>
            <w:tcW w:w="863" w:type="dxa"/>
            <w:tcBorders>
              <w:top w:val="nil"/>
              <w:left w:val="nil"/>
              <w:bottom w:val="nil"/>
              <w:right w:val="nil"/>
            </w:tcBorders>
            <w:shd w:val="clear" w:color="auto" w:fill="auto"/>
            <w:noWrap/>
            <w:hideMark/>
          </w:tcPr>
          <w:p w14:paraId="3A9284AA" w14:textId="71B7641F"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39" w:type="dxa"/>
            <w:tcBorders>
              <w:top w:val="nil"/>
              <w:left w:val="nil"/>
              <w:bottom w:val="nil"/>
              <w:right w:val="nil"/>
            </w:tcBorders>
            <w:shd w:val="clear" w:color="auto" w:fill="auto"/>
            <w:noWrap/>
            <w:hideMark/>
          </w:tcPr>
          <w:p w14:paraId="21F83AC9" w14:textId="56C07408" w:rsidR="00D20955" w:rsidRPr="002F0A15" w:rsidRDefault="00D20955" w:rsidP="00D20955">
            <w:pPr>
              <w:spacing w:after="0"/>
              <w:jc w:val="center"/>
              <w:rPr>
                <w:rFonts w:eastAsia="Times New Roman"/>
                <w:color w:val="000000"/>
                <w:sz w:val="20"/>
                <w:szCs w:val="20"/>
                <w:lang w:val="es-AR"/>
              </w:rPr>
            </w:pPr>
            <w:r w:rsidRPr="002F0A15">
              <w:rPr>
                <w:sz w:val="20"/>
                <w:szCs w:val="20"/>
              </w:rPr>
              <w:t>0.24</w:t>
            </w:r>
          </w:p>
        </w:tc>
        <w:tc>
          <w:tcPr>
            <w:tcW w:w="658" w:type="dxa"/>
            <w:tcBorders>
              <w:top w:val="nil"/>
              <w:left w:val="nil"/>
              <w:bottom w:val="nil"/>
              <w:right w:val="nil"/>
            </w:tcBorders>
            <w:shd w:val="clear" w:color="auto" w:fill="auto"/>
            <w:noWrap/>
            <w:hideMark/>
          </w:tcPr>
          <w:p w14:paraId="4AF4005E" w14:textId="44A8371A"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658" w:type="dxa"/>
            <w:tcBorders>
              <w:top w:val="nil"/>
              <w:left w:val="nil"/>
              <w:bottom w:val="nil"/>
              <w:right w:val="nil"/>
            </w:tcBorders>
            <w:shd w:val="clear" w:color="auto" w:fill="auto"/>
            <w:noWrap/>
            <w:hideMark/>
          </w:tcPr>
          <w:p w14:paraId="0DBEFDB4" w14:textId="0C9486F2" w:rsidR="00D20955" w:rsidRPr="002F0A15" w:rsidRDefault="00D20955" w:rsidP="00D20955">
            <w:pPr>
              <w:spacing w:after="0"/>
              <w:jc w:val="center"/>
              <w:rPr>
                <w:rFonts w:eastAsia="Times New Roman"/>
                <w:color w:val="000000"/>
                <w:sz w:val="20"/>
                <w:szCs w:val="20"/>
                <w:lang w:val="es-AR"/>
              </w:rPr>
            </w:pPr>
            <w:r w:rsidRPr="002F0A15">
              <w:rPr>
                <w:sz w:val="20"/>
                <w:szCs w:val="20"/>
              </w:rPr>
              <w:t>0.09</w:t>
            </w:r>
          </w:p>
        </w:tc>
        <w:tc>
          <w:tcPr>
            <w:tcW w:w="1043" w:type="dxa"/>
            <w:tcBorders>
              <w:top w:val="nil"/>
              <w:left w:val="nil"/>
              <w:bottom w:val="nil"/>
              <w:right w:val="nil"/>
            </w:tcBorders>
            <w:shd w:val="clear" w:color="auto" w:fill="auto"/>
            <w:noWrap/>
            <w:hideMark/>
          </w:tcPr>
          <w:p w14:paraId="731796EA" w14:textId="455979A0" w:rsidR="00D20955" w:rsidRPr="002F0A15" w:rsidRDefault="00D20955" w:rsidP="00D20955">
            <w:pPr>
              <w:spacing w:after="0"/>
              <w:jc w:val="center"/>
              <w:rPr>
                <w:rFonts w:eastAsia="Times New Roman"/>
                <w:color w:val="000000"/>
                <w:sz w:val="20"/>
                <w:szCs w:val="20"/>
                <w:lang w:val="es-AR"/>
              </w:rPr>
            </w:pPr>
            <w:r w:rsidRPr="002F0A15">
              <w:rPr>
                <w:sz w:val="20"/>
                <w:szCs w:val="20"/>
              </w:rPr>
              <w:t>0.04</w:t>
            </w:r>
          </w:p>
        </w:tc>
      </w:tr>
      <w:tr w:rsidR="00D20955" w:rsidRPr="00BF5447" w14:paraId="1B0E9117" w14:textId="77777777" w:rsidTr="002F0A15">
        <w:trPr>
          <w:trHeight w:val="536"/>
        </w:trPr>
        <w:tc>
          <w:tcPr>
            <w:tcW w:w="3696" w:type="dxa"/>
            <w:tcBorders>
              <w:top w:val="nil"/>
              <w:left w:val="nil"/>
              <w:bottom w:val="nil"/>
              <w:right w:val="nil"/>
            </w:tcBorders>
            <w:shd w:val="clear" w:color="auto" w:fill="auto"/>
            <w:vAlign w:val="center"/>
            <w:hideMark/>
          </w:tcPr>
          <w:p w14:paraId="4B79E8A6" w14:textId="77777777" w:rsidR="00D20955" w:rsidRPr="002F0A15" w:rsidRDefault="00D20955" w:rsidP="00D20955">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LaborContractLagged</w:t>
            </w:r>
            <w:proofErr w:type="spellEnd"/>
            <w:r w:rsidRPr="002F0A15">
              <w:rPr>
                <w:rFonts w:eastAsia="Times New Roman"/>
                <w:b/>
                <w:bCs/>
                <w:color w:val="000000"/>
                <w:sz w:val="20"/>
                <w:szCs w:val="20"/>
                <w:lang w:val="en-US"/>
              </w:rPr>
              <w:t xml:space="preserve"> (base case: informal wage worker)</w:t>
            </w:r>
          </w:p>
        </w:tc>
        <w:tc>
          <w:tcPr>
            <w:tcW w:w="1192" w:type="dxa"/>
            <w:tcBorders>
              <w:top w:val="nil"/>
              <w:left w:val="nil"/>
              <w:bottom w:val="nil"/>
              <w:right w:val="nil"/>
            </w:tcBorders>
            <w:shd w:val="clear" w:color="auto" w:fill="auto"/>
            <w:noWrap/>
            <w:hideMark/>
          </w:tcPr>
          <w:p w14:paraId="1EDEFBDA" w14:textId="149BC6CB" w:rsidR="00D20955" w:rsidRPr="002F0A15" w:rsidRDefault="00D20955" w:rsidP="00D20955">
            <w:pPr>
              <w:spacing w:after="0"/>
              <w:jc w:val="center"/>
              <w:rPr>
                <w:rFonts w:eastAsia="Times New Roman"/>
                <w:b/>
                <w:bCs/>
                <w:color w:val="000000"/>
                <w:sz w:val="20"/>
                <w:szCs w:val="20"/>
                <w:lang w:val="en-US"/>
              </w:rPr>
            </w:pPr>
          </w:p>
        </w:tc>
        <w:tc>
          <w:tcPr>
            <w:tcW w:w="863" w:type="dxa"/>
            <w:tcBorders>
              <w:top w:val="nil"/>
              <w:left w:val="nil"/>
              <w:bottom w:val="nil"/>
              <w:right w:val="nil"/>
            </w:tcBorders>
            <w:shd w:val="clear" w:color="auto" w:fill="auto"/>
            <w:noWrap/>
            <w:hideMark/>
          </w:tcPr>
          <w:p w14:paraId="6B70A1F9" w14:textId="37262127"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839" w:type="dxa"/>
            <w:tcBorders>
              <w:top w:val="nil"/>
              <w:left w:val="nil"/>
              <w:bottom w:val="nil"/>
              <w:right w:val="nil"/>
            </w:tcBorders>
            <w:shd w:val="clear" w:color="auto" w:fill="auto"/>
            <w:noWrap/>
            <w:hideMark/>
          </w:tcPr>
          <w:p w14:paraId="5B02CE1C" w14:textId="4CD2B2FA"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15A9DD5E" w14:textId="4A290A8B"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309E26C8" w14:textId="23865BA7"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1043" w:type="dxa"/>
            <w:tcBorders>
              <w:top w:val="nil"/>
              <w:left w:val="nil"/>
              <w:bottom w:val="nil"/>
              <w:right w:val="nil"/>
            </w:tcBorders>
            <w:shd w:val="clear" w:color="auto" w:fill="auto"/>
            <w:noWrap/>
            <w:hideMark/>
          </w:tcPr>
          <w:p w14:paraId="3E429302" w14:textId="7476D162" w:rsidR="00D20955" w:rsidRPr="002F0A15" w:rsidRDefault="00D20955" w:rsidP="00D20955">
            <w:pPr>
              <w:spacing w:after="0"/>
              <w:jc w:val="center"/>
              <w:rPr>
                <w:rFonts w:ascii="Times New Roman" w:eastAsia="Times New Roman" w:hAnsi="Times New Roman" w:cs="Times New Roman"/>
                <w:sz w:val="20"/>
                <w:szCs w:val="20"/>
                <w:lang w:val="en-US"/>
              </w:rPr>
            </w:pPr>
          </w:p>
        </w:tc>
      </w:tr>
      <w:tr w:rsidR="00D20955" w:rsidRPr="00124C67" w14:paraId="791B551C" w14:textId="77777777" w:rsidTr="002F0A15">
        <w:trPr>
          <w:trHeight w:val="268"/>
        </w:trPr>
        <w:tc>
          <w:tcPr>
            <w:tcW w:w="3696" w:type="dxa"/>
            <w:tcBorders>
              <w:top w:val="nil"/>
              <w:left w:val="nil"/>
              <w:bottom w:val="nil"/>
              <w:right w:val="nil"/>
            </w:tcBorders>
            <w:shd w:val="clear" w:color="auto" w:fill="auto"/>
            <w:noWrap/>
            <w:vAlign w:val="center"/>
            <w:hideMark/>
          </w:tcPr>
          <w:p w14:paraId="18E0DF46" w14:textId="77777777" w:rsidR="00D20955" w:rsidRPr="002F0A15" w:rsidRDefault="00D20955" w:rsidP="00D20955">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05E23196" w14:textId="27754BE6" w:rsidR="00D20955" w:rsidRPr="002F0A15" w:rsidRDefault="00D20955" w:rsidP="00D20955">
            <w:pPr>
              <w:spacing w:after="0"/>
              <w:jc w:val="center"/>
              <w:rPr>
                <w:rFonts w:eastAsia="Times New Roman"/>
                <w:color w:val="000000"/>
                <w:sz w:val="20"/>
                <w:szCs w:val="20"/>
                <w:lang w:val="es-AR"/>
              </w:rPr>
            </w:pPr>
            <w:r w:rsidRPr="002F0A15">
              <w:rPr>
                <w:sz w:val="20"/>
                <w:szCs w:val="20"/>
              </w:rPr>
              <w:t>-0.10</w:t>
            </w:r>
          </w:p>
        </w:tc>
        <w:tc>
          <w:tcPr>
            <w:tcW w:w="863" w:type="dxa"/>
            <w:tcBorders>
              <w:top w:val="nil"/>
              <w:left w:val="nil"/>
              <w:bottom w:val="nil"/>
              <w:right w:val="nil"/>
            </w:tcBorders>
            <w:shd w:val="clear" w:color="auto" w:fill="auto"/>
            <w:noWrap/>
            <w:hideMark/>
          </w:tcPr>
          <w:p w14:paraId="519500F6" w14:textId="0878F380"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39" w:type="dxa"/>
            <w:tcBorders>
              <w:top w:val="nil"/>
              <w:left w:val="nil"/>
              <w:bottom w:val="nil"/>
              <w:right w:val="nil"/>
            </w:tcBorders>
            <w:shd w:val="clear" w:color="auto" w:fill="auto"/>
            <w:noWrap/>
            <w:hideMark/>
          </w:tcPr>
          <w:p w14:paraId="5C52C36B" w14:textId="6DFE4DD9" w:rsidR="00D20955" w:rsidRPr="002F0A15" w:rsidRDefault="00D20955" w:rsidP="00D20955">
            <w:pPr>
              <w:spacing w:after="0"/>
              <w:jc w:val="center"/>
              <w:rPr>
                <w:rFonts w:eastAsia="Times New Roman"/>
                <w:color w:val="000000"/>
                <w:sz w:val="20"/>
                <w:szCs w:val="20"/>
                <w:lang w:val="es-AR"/>
              </w:rPr>
            </w:pPr>
            <w:r w:rsidRPr="002F0A15">
              <w:rPr>
                <w:sz w:val="20"/>
                <w:szCs w:val="20"/>
              </w:rPr>
              <w:t>0.00</w:t>
            </w:r>
          </w:p>
        </w:tc>
        <w:tc>
          <w:tcPr>
            <w:tcW w:w="658" w:type="dxa"/>
            <w:tcBorders>
              <w:top w:val="nil"/>
              <w:left w:val="nil"/>
              <w:bottom w:val="nil"/>
              <w:right w:val="nil"/>
            </w:tcBorders>
            <w:shd w:val="clear" w:color="auto" w:fill="auto"/>
            <w:noWrap/>
            <w:hideMark/>
          </w:tcPr>
          <w:p w14:paraId="6E1FC8D8" w14:textId="473E3A9B" w:rsidR="00D20955" w:rsidRPr="002F0A15" w:rsidRDefault="00D20955" w:rsidP="00D20955">
            <w:pPr>
              <w:spacing w:after="0"/>
              <w:jc w:val="center"/>
              <w:rPr>
                <w:rFonts w:eastAsia="Times New Roman"/>
                <w:color w:val="000000"/>
                <w:sz w:val="20"/>
                <w:szCs w:val="20"/>
                <w:lang w:val="es-AR"/>
              </w:rPr>
            </w:pPr>
            <w:r w:rsidRPr="002F0A15">
              <w:rPr>
                <w:sz w:val="20"/>
                <w:szCs w:val="20"/>
              </w:rPr>
              <w:t>-0.15</w:t>
            </w:r>
          </w:p>
        </w:tc>
        <w:tc>
          <w:tcPr>
            <w:tcW w:w="658" w:type="dxa"/>
            <w:tcBorders>
              <w:top w:val="nil"/>
              <w:left w:val="nil"/>
              <w:bottom w:val="nil"/>
              <w:right w:val="nil"/>
            </w:tcBorders>
            <w:shd w:val="clear" w:color="auto" w:fill="auto"/>
            <w:noWrap/>
            <w:hideMark/>
          </w:tcPr>
          <w:p w14:paraId="5468F2AA" w14:textId="77DEFC77" w:rsidR="00D20955" w:rsidRPr="002F0A15" w:rsidRDefault="00D20955" w:rsidP="00D20955">
            <w:pPr>
              <w:spacing w:after="0"/>
              <w:jc w:val="center"/>
              <w:rPr>
                <w:rFonts w:eastAsia="Times New Roman"/>
                <w:color w:val="000000"/>
                <w:sz w:val="20"/>
                <w:szCs w:val="20"/>
                <w:lang w:val="es-AR"/>
              </w:rPr>
            </w:pPr>
            <w:r w:rsidRPr="002F0A15">
              <w:rPr>
                <w:sz w:val="20"/>
                <w:szCs w:val="20"/>
              </w:rPr>
              <w:t>-0.05</w:t>
            </w:r>
          </w:p>
        </w:tc>
        <w:tc>
          <w:tcPr>
            <w:tcW w:w="1043" w:type="dxa"/>
            <w:tcBorders>
              <w:top w:val="nil"/>
              <w:left w:val="nil"/>
              <w:bottom w:val="nil"/>
              <w:right w:val="nil"/>
            </w:tcBorders>
            <w:shd w:val="clear" w:color="auto" w:fill="auto"/>
            <w:noWrap/>
            <w:hideMark/>
          </w:tcPr>
          <w:p w14:paraId="593248AF" w14:textId="4BBE091B" w:rsidR="00D20955" w:rsidRPr="002F0A15" w:rsidRDefault="00D20955" w:rsidP="00D20955">
            <w:pPr>
              <w:spacing w:after="0"/>
              <w:jc w:val="center"/>
              <w:rPr>
                <w:rFonts w:eastAsia="Times New Roman"/>
                <w:color w:val="000000"/>
                <w:sz w:val="20"/>
                <w:szCs w:val="20"/>
                <w:lang w:val="es-AR"/>
              </w:rPr>
            </w:pPr>
            <w:r w:rsidRPr="002F0A15">
              <w:rPr>
                <w:sz w:val="20"/>
                <w:szCs w:val="20"/>
              </w:rPr>
              <w:t>-0.1***</w:t>
            </w:r>
          </w:p>
        </w:tc>
      </w:tr>
      <w:tr w:rsidR="00D20955" w:rsidRPr="00124C67" w14:paraId="2FB336E6" w14:textId="77777777" w:rsidTr="002F0A15">
        <w:trPr>
          <w:trHeight w:val="268"/>
        </w:trPr>
        <w:tc>
          <w:tcPr>
            <w:tcW w:w="3696" w:type="dxa"/>
            <w:tcBorders>
              <w:top w:val="nil"/>
              <w:left w:val="nil"/>
              <w:bottom w:val="nil"/>
              <w:right w:val="nil"/>
            </w:tcBorders>
            <w:shd w:val="clear" w:color="auto" w:fill="auto"/>
            <w:noWrap/>
            <w:vAlign w:val="center"/>
            <w:hideMark/>
          </w:tcPr>
          <w:p w14:paraId="289D16D3"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2D8155AD" w14:textId="70A1F722" w:rsidR="00D20955" w:rsidRPr="002F0A15" w:rsidRDefault="00D20955" w:rsidP="00D20955">
            <w:pPr>
              <w:spacing w:after="0"/>
              <w:jc w:val="center"/>
              <w:rPr>
                <w:rFonts w:eastAsia="Times New Roman"/>
                <w:color w:val="000000"/>
                <w:sz w:val="20"/>
                <w:szCs w:val="20"/>
                <w:lang w:val="es-AR"/>
              </w:rPr>
            </w:pPr>
            <w:r w:rsidRPr="002F0A15">
              <w:rPr>
                <w:sz w:val="20"/>
                <w:szCs w:val="20"/>
              </w:rPr>
              <w:t>0.06</w:t>
            </w:r>
          </w:p>
        </w:tc>
        <w:tc>
          <w:tcPr>
            <w:tcW w:w="863" w:type="dxa"/>
            <w:tcBorders>
              <w:top w:val="nil"/>
              <w:left w:val="nil"/>
              <w:bottom w:val="nil"/>
              <w:right w:val="nil"/>
            </w:tcBorders>
            <w:shd w:val="clear" w:color="auto" w:fill="auto"/>
            <w:noWrap/>
            <w:hideMark/>
          </w:tcPr>
          <w:p w14:paraId="55C08A17" w14:textId="6BFB9E0F"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39" w:type="dxa"/>
            <w:tcBorders>
              <w:top w:val="nil"/>
              <w:left w:val="nil"/>
              <w:bottom w:val="nil"/>
              <w:right w:val="nil"/>
            </w:tcBorders>
            <w:shd w:val="clear" w:color="auto" w:fill="auto"/>
            <w:noWrap/>
            <w:hideMark/>
          </w:tcPr>
          <w:p w14:paraId="567E6FB1" w14:textId="1C6DA0F9" w:rsidR="00D20955" w:rsidRPr="002F0A15" w:rsidRDefault="00D20955" w:rsidP="00D20955">
            <w:pPr>
              <w:spacing w:after="0"/>
              <w:jc w:val="center"/>
              <w:rPr>
                <w:rFonts w:eastAsia="Times New Roman"/>
                <w:color w:val="000000"/>
                <w:sz w:val="20"/>
                <w:szCs w:val="20"/>
                <w:lang w:val="es-AR"/>
              </w:rPr>
            </w:pPr>
            <w:r w:rsidRPr="002F0A15">
              <w:rPr>
                <w:sz w:val="20"/>
                <w:szCs w:val="20"/>
              </w:rPr>
              <w:t>0.05</w:t>
            </w:r>
          </w:p>
        </w:tc>
        <w:tc>
          <w:tcPr>
            <w:tcW w:w="658" w:type="dxa"/>
            <w:tcBorders>
              <w:top w:val="nil"/>
              <w:left w:val="nil"/>
              <w:bottom w:val="nil"/>
              <w:right w:val="nil"/>
            </w:tcBorders>
            <w:shd w:val="clear" w:color="auto" w:fill="auto"/>
            <w:noWrap/>
            <w:hideMark/>
          </w:tcPr>
          <w:p w14:paraId="4B8FC340" w14:textId="0C815CA9"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658" w:type="dxa"/>
            <w:tcBorders>
              <w:top w:val="nil"/>
              <w:left w:val="nil"/>
              <w:bottom w:val="nil"/>
              <w:right w:val="nil"/>
            </w:tcBorders>
            <w:shd w:val="clear" w:color="auto" w:fill="auto"/>
            <w:noWrap/>
            <w:hideMark/>
          </w:tcPr>
          <w:p w14:paraId="654241F1" w14:textId="1390847D" w:rsidR="00D20955" w:rsidRPr="002F0A15" w:rsidRDefault="00D20955" w:rsidP="00D20955">
            <w:pPr>
              <w:spacing w:after="0"/>
              <w:jc w:val="center"/>
              <w:rPr>
                <w:rFonts w:eastAsia="Times New Roman"/>
                <w:color w:val="000000"/>
                <w:sz w:val="20"/>
                <w:szCs w:val="20"/>
                <w:lang w:val="es-AR"/>
              </w:rPr>
            </w:pPr>
            <w:r w:rsidRPr="002F0A15">
              <w:rPr>
                <w:sz w:val="20"/>
                <w:szCs w:val="20"/>
              </w:rPr>
              <w:t>0.11</w:t>
            </w:r>
          </w:p>
        </w:tc>
        <w:tc>
          <w:tcPr>
            <w:tcW w:w="1043" w:type="dxa"/>
            <w:tcBorders>
              <w:top w:val="nil"/>
              <w:left w:val="nil"/>
              <w:bottom w:val="nil"/>
              <w:right w:val="nil"/>
            </w:tcBorders>
            <w:shd w:val="clear" w:color="auto" w:fill="auto"/>
            <w:noWrap/>
            <w:hideMark/>
          </w:tcPr>
          <w:p w14:paraId="39E8B6A2" w14:textId="2AC80567" w:rsidR="00D20955" w:rsidRPr="002F0A15" w:rsidRDefault="00D20955" w:rsidP="00D20955">
            <w:pPr>
              <w:spacing w:after="0"/>
              <w:jc w:val="center"/>
              <w:rPr>
                <w:rFonts w:eastAsia="Times New Roman"/>
                <w:color w:val="000000"/>
                <w:sz w:val="20"/>
                <w:szCs w:val="20"/>
                <w:lang w:val="es-AR"/>
              </w:rPr>
            </w:pPr>
            <w:r w:rsidRPr="002F0A15">
              <w:rPr>
                <w:sz w:val="20"/>
                <w:szCs w:val="20"/>
              </w:rPr>
              <w:t>0.06*</w:t>
            </w:r>
          </w:p>
        </w:tc>
      </w:tr>
      <w:tr w:rsidR="00D20955" w:rsidRPr="00BF5447" w14:paraId="02C27EF9" w14:textId="77777777" w:rsidTr="002F0A15">
        <w:trPr>
          <w:trHeight w:val="536"/>
        </w:trPr>
        <w:tc>
          <w:tcPr>
            <w:tcW w:w="3696" w:type="dxa"/>
            <w:tcBorders>
              <w:top w:val="nil"/>
              <w:left w:val="nil"/>
              <w:bottom w:val="nil"/>
              <w:right w:val="nil"/>
            </w:tcBorders>
            <w:shd w:val="clear" w:color="auto" w:fill="auto"/>
            <w:vAlign w:val="center"/>
            <w:hideMark/>
          </w:tcPr>
          <w:p w14:paraId="094DEB6D" w14:textId="77777777" w:rsidR="00D20955" w:rsidRPr="002F0A15" w:rsidRDefault="00D20955" w:rsidP="00D20955">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w:t>
            </w:r>
            <w:proofErr w:type="spellEnd"/>
            <w:r w:rsidRPr="002F0A15">
              <w:rPr>
                <w:rFonts w:eastAsia="Times New Roman"/>
                <w:b/>
                <w:bCs/>
                <w:color w:val="000000"/>
                <w:sz w:val="20"/>
                <w:szCs w:val="20"/>
                <w:lang w:val="en-US"/>
              </w:rPr>
              <w:t xml:space="preserve"> (base case: informal wage worker)</w:t>
            </w:r>
          </w:p>
        </w:tc>
        <w:tc>
          <w:tcPr>
            <w:tcW w:w="1192" w:type="dxa"/>
            <w:tcBorders>
              <w:top w:val="nil"/>
              <w:left w:val="nil"/>
              <w:bottom w:val="nil"/>
              <w:right w:val="nil"/>
            </w:tcBorders>
            <w:shd w:val="clear" w:color="auto" w:fill="auto"/>
            <w:noWrap/>
            <w:hideMark/>
          </w:tcPr>
          <w:p w14:paraId="0D4D6E39" w14:textId="56841D07" w:rsidR="00D20955" w:rsidRPr="002F0A15" w:rsidRDefault="00D20955" w:rsidP="00D20955">
            <w:pPr>
              <w:spacing w:after="0"/>
              <w:jc w:val="center"/>
              <w:rPr>
                <w:rFonts w:eastAsia="Times New Roman"/>
                <w:b/>
                <w:bCs/>
                <w:color w:val="000000"/>
                <w:sz w:val="20"/>
                <w:szCs w:val="20"/>
                <w:lang w:val="en-US"/>
              </w:rPr>
            </w:pPr>
          </w:p>
        </w:tc>
        <w:tc>
          <w:tcPr>
            <w:tcW w:w="863" w:type="dxa"/>
            <w:tcBorders>
              <w:top w:val="nil"/>
              <w:left w:val="nil"/>
              <w:bottom w:val="nil"/>
              <w:right w:val="nil"/>
            </w:tcBorders>
            <w:shd w:val="clear" w:color="auto" w:fill="auto"/>
            <w:noWrap/>
            <w:hideMark/>
          </w:tcPr>
          <w:p w14:paraId="6E8A27F8" w14:textId="255A82DE"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839" w:type="dxa"/>
            <w:tcBorders>
              <w:top w:val="nil"/>
              <w:left w:val="nil"/>
              <w:bottom w:val="nil"/>
              <w:right w:val="nil"/>
            </w:tcBorders>
            <w:shd w:val="clear" w:color="auto" w:fill="auto"/>
            <w:noWrap/>
            <w:hideMark/>
          </w:tcPr>
          <w:p w14:paraId="452C35D4" w14:textId="1C5B32A7"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4C19CCAC" w14:textId="71B2E664"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14CDC757" w14:textId="773D6D3B" w:rsidR="00D20955" w:rsidRPr="002F0A15" w:rsidRDefault="00D20955" w:rsidP="00D20955">
            <w:pPr>
              <w:spacing w:after="0"/>
              <w:jc w:val="center"/>
              <w:rPr>
                <w:rFonts w:ascii="Times New Roman" w:eastAsia="Times New Roman" w:hAnsi="Times New Roman" w:cs="Times New Roman"/>
                <w:sz w:val="20"/>
                <w:szCs w:val="20"/>
                <w:lang w:val="en-US"/>
              </w:rPr>
            </w:pPr>
          </w:p>
        </w:tc>
        <w:tc>
          <w:tcPr>
            <w:tcW w:w="1043" w:type="dxa"/>
            <w:tcBorders>
              <w:top w:val="nil"/>
              <w:left w:val="nil"/>
              <w:bottom w:val="nil"/>
              <w:right w:val="nil"/>
            </w:tcBorders>
            <w:shd w:val="clear" w:color="auto" w:fill="auto"/>
            <w:noWrap/>
            <w:hideMark/>
          </w:tcPr>
          <w:p w14:paraId="35651AD0" w14:textId="0A9467A6" w:rsidR="00D20955" w:rsidRPr="002F0A15" w:rsidRDefault="00D20955" w:rsidP="00D20955">
            <w:pPr>
              <w:spacing w:after="0"/>
              <w:jc w:val="center"/>
              <w:rPr>
                <w:rFonts w:ascii="Times New Roman" w:eastAsia="Times New Roman" w:hAnsi="Times New Roman" w:cs="Times New Roman"/>
                <w:sz w:val="20"/>
                <w:szCs w:val="20"/>
                <w:lang w:val="en-US"/>
              </w:rPr>
            </w:pPr>
          </w:p>
        </w:tc>
      </w:tr>
      <w:tr w:rsidR="00D20955" w:rsidRPr="00124C67" w14:paraId="7294ECF7" w14:textId="77777777" w:rsidTr="002F0A15">
        <w:trPr>
          <w:trHeight w:val="268"/>
        </w:trPr>
        <w:tc>
          <w:tcPr>
            <w:tcW w:w="3696" w:type="dxa"/>
            <w:tcBorders>
              <w:top w:val="nil"/>
              <w:left w:val="nil"/>
              <w:bottom w:val="nil"/>
              <w:right w:val="nil"/>
            </w:tcBorders>
            <w:shd w:val="clear" w:color="auto" w:fill="auto"/>
            <w:noWrap/>
            <w:vAlign w:val="center"/>
            <w:hideMark/>
          </w:tcPr>
          <w:p w14:paraId="7A8DCF06" w14:textId="77777777" w:rsidR="00D20955" w:rsidRPr="002F0A15" w:rsidRDefault="00D20955" w:rsidP="00D20955">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2D4C1EB5" w14:textId="432790D8" w:rsidR="00D20955" w:rsidRPr="002F0A15" w:rsidRDefault="00D20955" w:rsidP="00D20955">
            <w:pPr>
              <w:spacing w:after="0"/>
              <w:jc w:val="center"/>
              <w:rPr>
                <w:rFonts w:eastAsia="Times New Roman"/>
                <w:color w:val="000000"/>
                <w:sz w:val="20"/>
                <w:szCs w:val="20"/>
                <w:lang w:val="es-AR"/>
              </w:rPr>
            </w:pPr>
            <w:r w:rsidRPr="002F0A15">
              <w:rPr>
                <w:sz w:val="20"/>
                <w:szCs w:val="20"/>
              </w:rPr>
              <w:t>0.07</w:t>
            </w:r>
          </w:p>
        </w:tc>
        <w:tc>
          <w:tcPr>
            <w:tcW w:w="863" w:type="dxa"/>
            <w:tcBorders>
              <w:top w:val="nil"/>
              <w:left w:val="nil"/>
              <w:bottom w:val="nil"/>
              <w:right w:val="nil"/>
            </w:tcBorders>
            <w:shd w:val="clear" w:color="auto" w:fill="auto"/>
            <w:noWrap/>
            <w:hideMark/>
          </w:tcPr>
          <w:p w14:paraId="5C42C42B" w14:textId="12A2F471" w:rsidR="00D20955" w:rsidRPr="002F0A15" w:rsidRDefault="00D20955" w:rsidP="00D20955">
            <w:pPr>
              <w:spacing w:after="0"/>
              <w:jc w:val="center"/>
              <w:rPr>
                <w:rFonts w:eastAsia="Times New Roman"/>
                <w:color w:val="000000"/>
                <w:sz w:val="20"/>
                <w:szCs w:val="20"/>
                <w:lang w:val="es-AR"/>
              </w:rPr>
            </w:pPr>
            <w:r w:rsidRPr="002F0A15">
              <w:rPr>
                <w:sz w:val="20"/>
                <w:szCs w:val="20"/>
              </w:rPr>
              <w:t>0.03</w:t>
            </w:r>
          </w:p>
        </w:tc>
        <w:tc>
          <w:tcPr>
            <w:tcW w:w="839" w:type="dxa"/>
            <w:tcBorders>
              <w:top w:val="nil"/>
              <w:left w:val="nil"/>
              <w:bottom w:val="nil"/>
              <w:right w:val="nil"/>
            </w:tcBorders>
            <w:shd w:val="clear" w:color="auto" w:fill="auto"/>
            <w:noWrap/>
            <w:hideMark/>
          </w:tcPr>
          <w:p w14:paraId="086C8B3A" w14:textId="55CA48F1" w:rsidR="00D20955" w:rsidRPr="002F0A15" w:rsidRDefault="00D20955" w:rsidP="00D20955">
            <w:pPr>
              <w:spacing w:after="0"/>
              <w:jc w:val="center"/>
              <w:rPr>
                <w:rFonts w:eastAsia="Times New Roman"/>
                <w:color w:val="000000"/>
                <w:sz w:val="20"/>
                <w:szCs w:val="20"/>
                <w:lang w:val="es-AR"/>
              </w:rPr>
            </w:pPr>
            <w:r w:rsidRPr="002F0A15">
              <w:rPr>
                <w:sz w:val="20"/>
                <w:szCs w:val="20"/>
              </w:rPr>
              <w:t>0.02</w:t>
            </w:r>
          </w:p>
        </w:tc>
        <w:tc>
          <w:tcPr>
            <w:tcW w:w="658" w:type="dxa"/>
            <w:tcBorders>
              <w:top w:val="nil"/>
              <w:left w:val="nil"/>
              <w:bottom w:val="nil"/>
              <w:right w:val="nil"/>
            </w:tcBorders>
            <w:shd w:val="clear" w:color="auto" w:fill="auto"/>
            <w:noWrap/>
            <w:hideMark/>
          </w:tcPr>
          <w:p w14:paraId="4725EF3C" w14:textId="2A6A9DEF" w:rsidR="00D20955" w:rsidRPr="002F0A15" w:rsidRDefault="00D20955" w:rsidP="00D20955">
            <w:pPr>
              <w:spacing w:after="0"/>
              <w:jc w:val="center"/>
              <w:rPr>
                <w:rFonts w:eastAsia="Times New Roman"/>
                <w:color w:val="000000"/>
                <w:sz w:val="20"/>
                <w:szCs w:val="20"/>
                <w:lang w:val="es-AR"/>
              </w:rPr>
            </w:pPr>
            <w:r w:rsidRPr="002F0A15">
              <w:rPr>
                <w:sz w:val="20"/>
                <w:szCs w:val="20"/>
              </w:rPr>
              <w:t>0.02</w:t>
            </w:r>
          </w:p>
        </w:tc>
        <w:tc>
          <w:tcPr>
            <w:tcW w:w="658" w:type="dxa"/>
            <w:tcBorders>
              <w:top w:val="nil"/>
              <w:left w:val="nil"/>
              <w:bottom w:val="nil"/>
              <w:right w:val="nil"/>
            </w:tcBorders>
            <w:shd w:val="clear" w:color="auto" w:fill="auto"/>
            <w:noWrap/>
            <w:hideMark/>
          </w:tcPr>
          <w:p w14:paraId="1557AF5C" w14:textId="5A21A446" w:rsidR="00D20955" w:rsidRPr="002F0A15" w:rsidRDefault="00D20955" w:rsidP="00D20955">
            <w:pPr>
              <w:spacing w:after="0"/>
              <w:jc w:val="center"/>
              <w:rPr>
                <w:rFonts w:eastAsia="Times New Roman"/>
                <w:color w:val="000000"/>
                <w:sz w:val="20"/>
                <w:szCs w:val="20"/>
                <w:lang w:val="es-AR"/>
              </w:rPr>
            </w:pPr>
            <w:r w:rsidRPr="002F0A15">
              <w:rPr>
                <w:sz w:val="20"/>
                <w:szCs w:val="20"/>
              </w:rPr>
              <w:t>0.12</w:t>
            </w:r>
          </w:p>
        </w:tc>
        <w:tc>
          <w:tcPr>
            <w:tcW w:w="1043" w:type="dxa"/>
            <w:tcBorders>
              <w:top w:val="nil"/>
              <w:left w:val="nil"/>
              <w:bottom w:val="nil"/>
              <w:right w:val="nil"/>
            </w:tcBorders>
            <w:shd w:val="clear" w:color="auto" w:fill="auto"/>
            <w:noWrap/>
            <w:hideMark/>
          </w:tcPr>
          <w:p w14:paraId="5FEF18BD" w14:textId="64A551F0" w:rsidR="00D20955" w:rsidRPr="002F0A15" w:rsidRDefault="00D20955" w:rsidP="00D20955">
            <w:pPr>
              <w:spacing w:after="0"/>
              <w:jc w:val="center"/>
              <w:rPr>
                <w:rFonts w:eastAsia="Times New Roman"/>
                <w:color w:val="000000"/>
                <w:sz w:val="20"/>
                <w:szCs w:val="20"/>
                <w:lang w:val="es-AR"/>
              </w:rPr>
            </w:pPr>
            <w:r w:rsidRPr="002F0A15">
              <w:rPr>
                <w:sz w:val="20"/>
                <w:szCs w:val="20"/>
              </w:rPr>
              <w:t>0.07**</w:t>
            </w:r>
          </w:p>
        </w:tc>
      </w:tr>
      <w:tr w:rsidR="00D20955" w:rsidRPr="00124C67" w14:paraId="4B10A83C" w14:textId="77777777" w:rsidTr="002F0A15">
        <w:trPr>
          <w:trHeight w:val="268"/>
        </w:trPr>
        <w:tc>
          <w:tcPr>
            <w:tcW w:w="3696" w:type="dxa"/>
            <w:tcBorders>
              <w:top w:val="nil"/>
              <w:left w:val="nil"/>
              <w:bottom w:val="nil"/>
              <w:right w:val="nil"/>
            </w:tcBorders>
            <w:shd w:val="clear" w:color="auto" w:fill="auto"/>
            <w:noWrap/>
            <w:vAlign w:val="center"/>
            <w:hideMark/>
          </w:tcPr>
          <w:p w14:paraId="5653A58F" w14:textId="77777777" w:rsidR="00D20955" w:rsidRPr="002F0A15" w:rsidRDefault="00D20955" w:rsidP="00D20955">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62033318" w14:textId="3E24104D" w:rsidR="00D20955" w:rsidRPr="002F0A15" w:rsidRDefault="00D20955" w:rsidP="00D20955">
            <w:pPr>
              <w:spacing w:after="0"/>
              <w:jc w:val="center"/>
              <w:rPr>
                <w:rFonts w:eastAsia="Times New Roman"/>
                <w:color w:val="000000"/>
                <w:sz w:val="20"/>
                <w:szCs w:val="20"/>
                <w:lang w:val="es-AR"/>
              </w:rPr>
            </w:pPr>
            <w:r w:rsidRPr="002F0A15">
              <w:rPr>
                <w:sz w:val="20"/>
                <w:szCs w:val="20"/>
              </w:rPr>
              <w:t>-0.10</w:t>
            </w:r>
          </w:p>
        </w:tc>
        <w:tc>
          <w:tcPr>
            <w:tcW w:w="863" w:type="dxa"/>
            <w:tcBorders>
              <w:top w:val="nil"/>
              <w:left w:val="nil"/>
              <w:bottom w:val="nil"/>
              <w:right w:val="nil"/>
            </w:tcBorders>
            <w:shd w:val="clear" w:color="auto" w:fill="auto"/>
            <w:noWrap/>
            <w:hideMark/>
          </w:tcPr>
          <w:p w14:paraId="2FCBF8E2" w14:textId="68AA28F6" w:rsidR="00D20955" w:rsidRPr="002F0A15" w:rsidRDefault="00D20955" w:rsidP="00D20955">
            <w:pPr>
              <w:spacing w:after="0"/>
              <w:jc w:val="center"/>
              <w:rPr>
                <w:rFonts w:eastAsia="Times New Roman"/>
                <w:color w:val="000000"/>
                <w:sz w:val="20"/>
                <w:szCs w:val="20"/>
                <w:lang w:val="es-AR"/>
              </w:rPr>
            </w:pPr>
            <w:r w:rsidRPr="002F0A15">
              <w:rPr>
                <w:sz w:val="20"/>
                <w:szCs w:val="20"/>
              </w:rPr>
              <w:t>0.04</w:t>
            </w:r>
          </w:p>
        </w:tc>
        <w:tc>
          <w:tcPr>
            <w:tcW w:w="839" w:type="dxa"/>
            <w:tcBorders>
              <w:top w:val="nil"/>
              <w:left w:val="nil"/>
              <w:bottom w:val="nil"/>
              <w:right w:val="nil"/>
            </w:tcBorders>
            <w:shd w:val="clear" w:color="auto" w:fill="auto"/>
            <w:noWrap/>
            <w:hideMark/>
          </w:tcPr>
          <w:p w14:paraId="3F17D5C9" w14:textId="0549C515"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658" w:type="dxa"/>
            <w:tcBorders>
              <w:top w:val="nil"/>
              <w:left w:val="nil"/>
              <w:bottom w:val="nil"/>
              <w:right w:val="nil"/>
            </w:tcBorders>
            <w:shd w:val="clear" w:color="auto" w:fill="auto"/>
            <w:noWrap/>
            <w:hideMark/>
          </w:tcPr>
          <w:p w14:paraId="10715823" w14:textId="60B07323" w:rsidR="00D20955" w:rsidRPr="002F0A15" w:rsidRDefault="00D20955" w:rsidP="00D20955">
            <w:pPr>
              <w:spacing w:after="0"/>
              <w:jc w:val="center"/>
              <w:rPr>
                <w:rFonts w:eastAsia="Times New Roman"/>
                <w:color w:val="000000"/>
                <w:sz w:val="20"/>
                <w:szCs w:val="20"/>
                <w:lang w:val="es-AR"/>
              </w:rPr>
            </w:pPr>
            <w:r w:rsidRPr="002F0A15">
              <w:rPr>
                <w:sz w:val="20"/>
                <w:szCs w:val="20"/>
              </w:rPr>
              <w:t>-0.16</w:t>
            </w:r>
          </w:p>
        </w:tc>
        <w:tc>
          <w:tcPr>
            <w:tcW w:w="658" w:type="dxa"/>
            <w:tcBorders>
              <w:top w:val="nil"/>
              <w:left w:val="nil"/>
              <w:bottom w:val="nil"/>
              <w:right w:val="nil"/>
            </w:tcBorders>
            <w:shd w:val="clear" w:color="auto" w:fill="auto"/>
            <w:noWrap/>
            <w:hideMark/>
          </w:tcPr>
          <w:p w14:paraId="674F0191" w14:textId="1E8D870D" w:rsidR="00D20955" w:rsidRPr="002F0A15" w:rsidRDefault="00D20955" w:rsidP="00D20955">
            <w:pPr>
              <w:spacing w:after="0"/>
              <w:jc w:val="center"/>
              <w:rPr>
                <w:rFonts w:eastAsia="Times New Roman"/>
                <w:color w:val="000000"/>
                <w:sz w:val="20"/>
                <w:szCs w:val="20"/>
                <w:lang w:val="es-AR"/>
              </w:rPr>
            </w:pPr>
            <w:r w:rsidRPr="002F0A15">
              <w:rPr>
                <w:sz w:val="20"/>
                <w:szCs w:val="20"/>
              </w:rPr>
              <w:t>-0.04</w:t>
            </w:r>
          </w:p>
        </w:tc>
        <w:tc>
          <w:tcPr>
            <w:tcW w:w="1043" w:type="dxa"/>
            <w:tcBorders>
              <w:top w:val="nil"/>
              <w:left w:val="nil"/>
              <w:bottom w:val="nil"/>
              <w:right w:val="nil"/>
            </w:tcBorders>
            <w:shd w:val="clear" w:color="auto" w:fill="auto"/>
            <w:noWrap/>
            <w:hideMark/>
          </w:tcPr>
          <w:p w14:paraId="5CFC031F" w14:textId="50FCAA5E" w:rsidR="00D20955" w:rsidRPr="002F0A15" w:rsidRDefault="00D20955" w:rsidP="00D20955">
            <w:pPr>
              <w:spacing w:after="0"/>
              <w:jc w:val="center"/>
              <w:rPr>
                <w:rFonts w:eastAsia="Times New Roman"/>
                <w:color w:val="000000"/>
                <w:sz w:val="20"/>
                <w:szCs w:val="20"/>
                <w:lang w:val="es-AR"/>
              </w:rPr>
            </w:pPr>
            <w:r w:rsidRPr="002F0A15">
              <w:rPr>
                <w:sz w:val="20"/>
                <w:szCs w:val="20"/>
              </w:rPr>
              <w:t>-0.1***</w:t>
            </w:r>
          </w:p>
        </w:tc>
      </w:tr>
      <w:tr w:rsidR="00D20955" w:rsidRPr="00124C67" w14:paraId="7EFA55D9" w14:textId="77777777" w:rsidTr="002F0A15">
        <w:trPr>
          <w:trHeight w:val="268"/>
        </w:trPr>
        <w:tc>
          <w:tcPr>
            <w:tcW w:w="3696" w:type="dxa"/>
            <w:tcBorders>
              <w:top w:val="single" w:sz="4" w:space="0" w:color="auto"/>
              <w:left w:val="nil"/>
              <w:bottom w:val="nil"/>
              <w:right w:val="nil"/>
            </w:tcBorders>
            <w:shd w:val="clear" w:color="auto" w:fill="auto"/>
            <w:noWrap/>
            <w:vAlign w:val="center"/>
            <w:hideMark/>
          </w:tcPr>
          <w:p w14:paraId="5912D5D2" w14:textId="77777777" w:rsidR="00D20955" w:rsidRPr="002F0A15" w:rsidRDefault="00D20955" w:rsidP="00D20955">
            <w:pPr>
              <w:spacing w:after="0"/>
              <w:jc w:val="left"/>
              <w:rPr>
                <w:rFonts w:eastAsia="Times New Roman"/>
                <w:color w:val="000000"/>
                <w:sz w:val="20"/>
                <w:szCs w:val="20"/>
                <w:lang w:val="es-AR"/>
              </w:rPr>
            </w:pPr>
            <w:r w:rsidRPr="002F0A15">
              <w:rPr>
                <w:rFonts w:eastAsia="Times New Roman"/>
                <w:color w:val="000000"/>
                <w:sz w:val="20"/>
                <w:szCs w:val="20"/>
                <w:lang w:val="es-AR"/>
              </w:rPr>
              <w:t>R2</w:t>
            </w:r>
          </w:p>
        </w:tc>
        <w:tc>
          <w:tcPr>
            <w:tcW w:w="1192" w:type="dxa"/>
            <w:tcBorders>
              <w:top w:val="single" w:sz="4" w:space="0" w:color="auto"/>
              <w:left w:val="nil"/>
              <w:bottom w:val="nil"/>
              <w:right w:val="nil"/>
            </w:tcBorders>
            <w:shd w:val="clear" w:color="auto" w:fill="auto"/>
            <w:noWrap/>
            <w:hideMark/>
          </w:tcPr>
          <w:p w14:paraId="42A1B2D4" w14:textId="6B6FB086" w:rsidR="00D20955" w:rsidRPr="002F0A15" w:rsidRDefault="00D20955" w:rsidP="00D20955">
            <w:pPr>
              <w:spacing w:after="0"/>
              <w:jc w:val="center"/>
              <w:rPr>
                <w:rFonts w:eastAsia="Times New Roman"/>
                <w:color w:val="000000"/>
                <w:sz w:val="20"/>
                <w:szCs w:val="20"/>
                <w:lang w:val="es-AR"/>
              </w:rPr>
            </w:pPr>
            <w:r w:rsidRPr="002F0A15">
              <w:rPr>
                <w:sz w:val="20"/>
                <w:szCs w:val="20"/>
              </w:rPr>
              <w:t>0.01</w:t>
            </w:r>
          </w:p>
        </w:tc>
        <w:tc>
          <w:tcPr>
            <w:tcW w:w="863" w:type="dxa"/>
            <w:tcBorders>
              <w:top w:val="single" w:sz="4" w:space="0" w:color="auto"/>
              <w:left w:val="nil"/>
              <w:bottom w:val="nil"/>
              <w:right w:val="nil"/>
            </w:tcBorders>
            <w:shd w:val="clear" w:color="auto" w:fill="auto"/>
            <w:noWrap/>
            <w:hideMark/>
          </w:tcPr>
          <w:p w14:paraId="50564B2D" w14:textId="7ED7A354"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839" w:type="dxa"/>
            <w:tcBorders>
              <w:top w:val="single" w:sz="4" w:space="0" w:color="auto"/>
              <w:left w:val="nil"/>
              <w:bottom w:val="nil"/>
              <w:right w:val="nil"/>
            </w:tcBorders>
            <w:shd w:val="clear" w:color="auto" w:fill="auto"/>
            <w:noWrap/>
            <w:hideMark/>
          </w:tcPr>
          <w:p w14:paraId="198EE739" w14:textId="25DF8EDE"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658" w:type="dxa"/>
            <w:tcBorders>
              <w:top w:val="single" w:sz="4" w:space="0" w:color="auto"/>
              <w:left w:val="nil"/>
              <w:bottom w:val="nil"/>
              <w:right w:val="nil"/>
            </w:tcBorders>
            <w:shd w:val="clear" w:color="auto" w:fill="auto"/>
            <w:noWrap/>
            <w:hideMark/>
          </w:tcPr>
          <w:p w14:paraId="1A494270" w14:textId="0B9D2903"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658" w:type="dxa"/>
            <w:tcBorders>
              <w:top w:val="single" w:sz="4" w:space="0" w:color="auto"/>
              <w:left w:val="nil"/>
              <w:bottom w:val="nil"/>
              <w:right w:val="nil"/>
            </w:tcBorders>
            <w:shd w:val="clear" w:color="auto" w:fill="auto"/>
            <w:noWrap/>
            <w:hideMark/>
          </w:tcPr>
          <w:p w14:paraId="0786762B" w14:textId="1E6B7488"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1043" w:type="dxa"/>
            <w:tcBorders>
              <w:top w:val="single" w:sz="4" w:space="0" w:color="auto"/>
              <w:left w:val="nil"/>
              <w:bottom w:val="nil"/>
              <w:right w:val="nil"/>
            </w:tcBorders>
            <w:shd w:val="clear" w:color="auto" w:fill="auto"/>
            <w:noWrap/>
            <w:hideMark/>
          </w:tcPr>
          <w:p w14:paraId="4C6FFAEE" w14:textId="25B67F0A"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r>
      <w:tr w:rsidR="00D20955" w:rsidRPr="00124C67" w14:paraId="43E3A010" w14:textId="77777777" w:rsidTr="002F0A15">
        <w:trPr>
          <w:trHeight w:val="268"/>
        </w:trPr>
        <w:tc>
          <w:tcPr>
            <w:tcW w:w="3696" w:type="dxa"/>
            <w:tcBorders>
              <w:top w:val="nil"/>
              <w:left w:val="nil"/>
              <w:bottom w:val="single" w:sz="4" w:space="0" w:color="auto"/>
              <w:right w:val="nil"/>
            </w:tcBorders>
            <w:shd w:val="clear" w:color="auto" w:fill="auto"/>
            <w:noWrap/>
            <w:vAlign w:val="center"/>
            <w:hideMark/>
          </w:tcPr>
          <w:p w14:paraId="64BC5A6B" w14:textId="77777777" w:rsidR="00D20955" w:rsidRPr="002F0A15" w:rsidRDefault="00D20955" w:rsidP="00D20955">
            <w:pPr>
              <w:spacing w:after="0"/>
              <w:jc w:val="left"/>
              <w:rPr>
                <w:rFonts w:eastAsia="Times New Roman"/>
                <w:color w:val="000000"/>
                <w:sz w:val="20"/>
                <w:szCs w:val="20"/>
                <w:lang w:val="es-AR"/>
              </w:rPr>
            </w:pPr>
            <w:r w:rsidRPr="002F0A15">
              <w:rPr>
                <w:rFonts w:eastAsia="Times New Roman"/>
                <w:color w:val="000000"/>
                <w:sz w:val="20"/>
                <w:szCs w:val="20"/>
                <w:lang w:val="es-AR"/>
              </w:rPr>
              <w:t>n</w:t>
            </w:r>
          </w:p>
        </w:tc>
        <w:tc>
          <w:tcPr>
            <w:tcW w:w="1192" w:type="dxa"/>
            <w:tcBorders>
              <w:top w:val="nil"/>
              <w:left w:val="nil"/>
              <w:bottom w:val="single" w:sz="4" w:space="0" w:color="auto"/>
              <w:right w:val="nil"/>
            </w:tcBorders>
            <w:shd w:val="clear" w:color="auto" w:fill="auto"/>
            <w:noWrap/>
            <w:hideMark/>
          </w:tcPr>
          <w:p w14:paraId="28E5ACFD" w14:textId="0B1E76AB" w:rsidR="00D20955" w:rsidRPr="002F0A15" w:rsidRDefault="00D20955" w:rsidP="00D20955">
            <w:pPr>
              <w:spacing w:after="0"/>
              <w:jc w:val="center"/>
              <w:rPr>
                <w:rFonts w:eastAsia="Times New Roman"/>
                <w:color w:val="000000"/>
                <w:sz w:val="20"/>
                <w:szCs w:val="20"/>
                <w:lang w:val="es-AR"/>
              </w:rPr>
            </w:pPr>
            <w:r w:rsidRPr="002F0A15">
              <w:rPr>
                <w:sz w:val="20"/>
                <w:szCs w:val="20"/>
              </w:rPr>
              <w:t>4770</w:t>
            </w:r>
          </w:p>
        </w:tc>
        <w:tc>
          <w:tcPr>
            <w:tcW w:w="863" w:type="dxa"/>
            <w:tcBorders>
              <w:top w:val="nil"/>
              <w:left w:val="nil"/>
              <w:bottom w:val="single" w:sz="4" w:space="0" w:color="auto"/>
              <w:right w:val="nil"/>
            </w:tcBorders>
            <w:shd w:val="clear" w:color="auto" w:fill="auto"/>
            <w:noWrap/>
            <w:hideMark/>
          </w:tcPr>
          <w:p w14:paraId="0E2A31E4" w14:textId="7A80E9C2"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839" w:type="dxa"/>
            <w:tcBorders>
              <w:top w:val="nil"/>
              <w:left w:val="nil"/>
              <w:bottom w:val="single" w:sz="4" w:space="0" w:color="auto"/>
              <w:right w:val="nil"/>
            </w:tcBorders>
            <w:shd w:val="clear" w:color="auto" w:fill="auto"/>
            <w:noWrap/>
            <w:hideMark/>
          </w:tcPr>
          <w:p w14:paraId="03C8B25A" w14:textId="67D65CB8"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658" w:type="dxa"/>
            <w:tcBorders>
              <w:top w:val="nil"/>
              <w:left w:val="nil"/>
              <w:bottom w:val="single" w:sz="4" w:space="0" w:color="auto"/>
              <w:right w:val="nil"/>
            </w:tcBorders>
            <w:shd w:val="clear" w:color="auto" w:fill="auto"/>
            <w:noWrap/>
            <w:hideMark/>
          </w:tcPr>
          <w:p w14:paraId="456ED4DA" w14:textId="6B84E4C8"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658" w:type="dxa"/>
            <w:tcBorders>
              <w:top w:val="nil"/>
              <w:left w:val="nil"/>
              <w:bottom w:val="single" w:sz="4" w:space="0" w:color="auto"/>
              <w:right w:val="nil"/>
            </w:tcBorders>
            <w:shd w:val="clear" w:color="auto" w:fill="auto"/>
            <w:noWrap/>
            <w:hideMark/>
          </w:tcPr>
          <w:p w14:paraId="47E884D7" w14:textId="791D80F3"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c>
          <w:tcPr>
            <w:tcW w:w="1043" w:type="dxa"/>
            <w:tcBorders>
              <w:top w:val="nil"/>
              <w:left w:val="nil"/>
              <w:bottom w:val="single" w:sz="4" w:space="0" w:color="auto"/>
              <w:right w:val="nil"/>
            </w:tcBorders>
            <w:shd w:val="clear" w:color="auto" w:fill="auto"/>
            <w:noWrap/>
            <w:hideMark/>
          </w:tcPr>
          <w:p w14:paraId="3E3CF72F" w14:textId="332A4EFA" w:rsidR="00D20955" w:rsidRPr="002F0A15" w:rsidRDefault="00D20955" w:rsidP="00D20955">
            <w:pPr>
              <w:spacing w:after="0"/>
              <w:jc w:val="center"/>
              <w:rPr>
                <w:rFonts w:eastAsia="Times New Roman"/>
                <w:color w:val="000000"/>
                <w:sz w:val="20"/>
                <w:szCs w:val="20"/>
                <w:lang w:val="es-AR"/>
              </w:rPr>
            </w:pPr>
            <w:r w:rsidRPr="002F0A15">
              <w:rPr>
                <w:sz w:val="20"/>
                <w:szCs w:val="20"/>
              </w:rPr>
              <w:t>#N/A</w:t>
            </w:r>
          </w:p>
        </w:tc>
      </w:tr>
    </w:tbl>
    <w:p w14:paraId="17BA5973" w14:textId="77777777" w:rsidR="00075F10" w:rsidRPr="00546537" w:rsidRDefault="00D20955" w:rsidP="00075F10">
      <w:pPr>
        <w:pBdr>
          <w:top w:val="nil"/>
          <w:left w:val="nil"/>
          <w:bottom w:val="nil"/>
          <w:right w:val="nil"/>
          <w:between w:val="nil"/>
        </w:pBdr>
        <w:spacing w:after="0"/>
        <w:rPr>
          <w:lang w:val="en-US"/>
        </w:rPr>
      </w:pPr>
      <w:r w:rsidRPr="007D3DD1">
        <w:rPr>
          <w:b/>
          <w:bCs/>
          <w:lang w:val="en"/>
        </w:rPr>
        <w:t xml:space="preserve">Table </w:t>
      </w:r>
      <w:r>
        <w:rPr>
          <w:b/>
          <w:bCs/>
          <w:lang w:val="en"/>
        </w:rPr>
        <w:t>A2.2</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w:t>
      </w:r>
      <w:r>
        <w:rPr>
          <w:lang w:val="en"/>
        </w:rPr>
        <w:lastRenderedPageBreak/>
        <w:t>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p value less than 5%, *** p value less than 1%. Industry and occupation similarity have been build based on all</w:t>
      </w:r>
      <w:r w:rsidR="00075F10">
        <w:rPr>
          <w:lang w:val="en-US"/>
        </w:rPr>
        <w:t xml:space="preserve"> job transitions that did not go through a period of unemployment</w:t>
      </w:r>
      <w:r>
        <w:rPr>
          <w:lang w:val="en-US"/>
        </w:rPr>
        <w:t xml:space="preserve">. </w:t>
      </w:r>
      <w:r w:rsidR="00075F10">
        <w:rPr>
          <w:lang w:val="en-US"/>
        </w:rPr>
        <w:t>The sample in this regression is the full sample.</w:t>
      </w:r>
    </w:p>
    <w:p w14:paraId="31B10AEA" w14:textId="77777777" w:rsidR="00D20955" w:rsidRDefault="00D20955">
      <w:pPr>
        <w:rPr>
          <w:b/>
          <w:bCs/>
          <w:sz w:val="20"/>
          <w:szCs w:val="20"/>
          <w:lang w:val="en"/>
        </w:rPr>
      </w:pPr>
      <w:bookmarkStart w:id="22" w:name="_ud85ej4h411f" w:colFirst="0" w:colLast="0"/>
      <w:bookmarkEnd w:id="22"/>
    </w:p>
    <w:tbl>
      <w:tblPr>
        <w:tblW w:w="9612" w:type="dxa"/>
        <w:tblCellMar>
          <w:left w:w="70" w:type="dxa"/>
          <w:right w:w="70" w:type="dxa"/>
        </w:tblCellMar>
        <w:tblLook w:val="04A0" w:firstRow="1" w:lastRow="0" w:firstColumn="1" w:lastColumn="0" w:noHBand="0" w:noVBand="1"/>
      </w:tblPr>
      <w:tblGrid>
        <w:gridCol w:w="3969"/>
        <w:gridCol w:w="1281"/>
        <w:gridCol w:w="927"/>
        <w:gridCol w:w="901"/>
        <w:gridCol w:w="707"/>
        <w:gridCol w:w="707"/>
        <w:gridCol w:w="1120"/>
      </w:tblGrid>
      <w:tr w:rsidR="00D20955" w:rsidRPr="00124C67" w14:paraId="0AA700D0" w14:textId="77777777" w:rsidTr="002F0A15">
        <w:trPr>
          <w:trHeight w:val="288"/>
        </w:trPr>
        <w:tc>
          <w:tcPr>
            <w:tcW w:w="3969" w:type="dxa"/>
            <w:tcBorders>
              <w:top w:val="single" w:sz="4" w:space="0" w:color="auto"/>
              <w:left w:val="nil"/>
              <w:bottom w:val="single" w:sz="4" w:space="0" w:color="auto"/>
              <w:right w:val="nil"/>
            </w:tcBorders>
            <w:shd w:val="clear" w:color="auto" w:fill="auto"/>
            <w:noWrap/>
            <w:vAlign w:val="center"/>
            <w:hideMark/>
          </w:tcPr>
          <w:p w14:paraId="0D8DA8C7" w14:textId="77777777" w:rsidR="002F0A15" w:rsidRDefault="00D20955" w:rsidP="00D20955">
            <w:pPr>
              <w:spacing w:after="0"/>
              <w:rPr>
                <w:rFonts w:eastAsia="Times New Roman"/>
                <w:color w:val="000000"/>
                <w:lang w:val="es-AR"/>
              </w:rPr>
            </w:pPr>
            <w:proofErr w:type="spellStart"/>
            <w:r>
              <w:rPr>
                <w:rFonts w:eastAsia="Times New Roman"/>
                <w:color w:val="000000"/>
                <w:lang w:val="es-AR"/>
              </w:rPr>
              <w:t>Dep</w:t>
            </w:r>
            <w:proofErr w:type="spellEnd"/>
            <w:r>
              <w:rPr>
                <w:rFonts w:eastAsia="Times New Roman"/>
                <w:color w:val="000000"/>
                <w:lang w:val="es-AR"/>
              </w:rPr>
              <w:t xml:space="preserve"> </w:t>
            </w:r>
            <w:proofErr w:type="spellStart"/>
            <w:r>
              <w:rPr>
                <w:rFonts w:eastAsia="Times New Roman"/>
                <w:color w:val="000000"/>
                <w:lang w:val="es-AR"/>
              </w:rPr>
              <w:t>var</w:t>
            </w:r>
            <w:proofErr w:type="spellEnd"/>
          </w:p>
          <w:p w14:paraId="6FFC9011" w14:textId="4A933CBB" w:rsidR="00D20955" w:rsidRPr="00124C67" w:rsidRDefault="00D20955" w:rsidP="00D20955">
            <w:pPr>
              <w:spacing w:after="0"/>
              <w:rPr>
                <w:rFonts w:eastAsia="Times New Roman"/>
                <w:color w:val="000000"/>
                <w:lang w:val="es-AR"/>
              </w:rPr>
            </w:pPr>
            <w:proofErr w:type="spellStart"/>
            <w:r>
              <w:rPr>
                <w:rFonts w:eastAsia="Times New Roman"/>
                <w:color w:val="000000"/>
                <w:lang w:val="es-AR"/>
              </w:rPr>
              <w:t>QuarterlyChangeRealHourlyWage</w:t>
            </w:r>
            <w:proofErr w:type="spellEnd"/>
          </w:p>
        </w:tc>
        <w:tc>
          <w:tcPr>
            <w:tcW w:w="1281" w:type="dxa"/>
            <w:tcBorders>
              <w:top w:val="single" w:sz="4" w:space="0" w:color="auto"/>
              <w:left w:val="nil"/>
              <w:bottom w:val="single" w:sz="4" w:space="0" w:color="auto"/>
              <w:right w:val="nil"/>
            </w:tcBorders>
            <w:shd w:val="clear" w:color="auto" w:fill="auto"/>
            <w:noWrap/>
            <w:vAlign w:val="center"/>
            <w:hideMark/>
          </w:tcPr>
          <w:p w14:paraId="472FCCF1" w14:textId="77777777" w:rsidR="00D20955" w:rsidRPr="00124C67" w:rsidRDefault="00D20955" w:rsidP="00D20955">
            <w:pPr>
              <w:spacing w:after="0"/>
              <w:jc w:val="center"/>
              <w:rPr>
                <w:rFonts w:eastAsia="Times New Roman"/>
                <w:color w:val="000000"/>
                <w:lang w:val="es-AR"/>
              </w:rPr>
            </w:pPr>
            <w:proofErr w:type="spellStart"/>
            <w:r w:rsidRPr="00124C67">
              <w:rPr>
                <w:rFonts w:eastAsia="Times New Roman"/>
                <w:color w:val="000000"/>
                <w:lang w:val="es-AR"/>
              </w:rPr>
              <w:t>estimate</w:t>
            </w:r>
            <w:proofErr w:type="spellEnd"/>
          </w:p>
        </w:tc>
        <w:tc>
          <w:tcPr>
            <w:tcW w:w="927" w:type="dxa"/>
            <w:tcBorders>
              <w:top w:val="single" w:sz="4" w:space="0" w:color="auto"/>
              <w:left w:val="nil"/>
              <w:bottom w:val="single" w:sz="4" w:space="0" w:color="auto"/>
              <w:right w:val="nil"/>
            </w:tcBorders>
            <w:shd w:val="clear" w:color="auto" w:fill="auto"/>
            <w:noWrap/>
            <w:vAlign w:val="center"/>
            <w:hideMark/>
          </w:tcPr>
          <w:p w14:paraId="0FD621A1" w14:textId="77777777" w:rsidR="00D20955" w:rsidRPr="00124C67" w:rsidRDefault="00D20955" w:rsidP="00D20955">
            <w:pPr>
              <w:spacing w:after="0"/>
              <w:jc w:val="center"/>
              <w:rPr>
                <w:rFonts w:eastAsia="Times New Roman"/>
                <w:color w:val="000000"/>
                <w:lang w:val="es-AR"/>
              </w:rPr>
            </w:pPr>
            <w:proofErr w:type="spellStart"/>
            <w:proofErr w:type="gramStart"/>
            <w:r w:rsidRPr="00124C67">
              <w:rPr>
                <w:rFonts w:eastAsia="Times New Roman"/>
                <w:color w:val="000000"/>
                <w:lang w:val="es-AR"/>
              </w:rPr>
              <w:t>std.error</w:t>
            </w:r>
            <w:proofErr w:type="spellEnd"/>
            <w:proofErr w:type="gramEnd"/>
          </w:p>
        </w:tc>
        <w:tc>
          <w:tcPr>
            <w:tcW w:w="901" w:type="dxa"/>
            <w:tcBorders>
              <w:top w:val="single" w:sz="4" w:space="0" w:color="auto"/>
              <w:left w:val="nil"/>
              <w:bottom w:val="single" w:sz="4" w:space="0" w:color="auto"/>
              <w:right w:val="nil"/>
            </w:tcBorders>
            <w:shd w:val="clear" w:color="auto" w:fill="auto"/>
            <w:noWrap/>
            <w:vAlign w:val="center"/>
            <w:hideMark/>
          </w:tcPr>
          <w:p w14:paraId="24D4DC6E" w14:textId="77777777" w:rsidR="00D20955" w:rsidRPr="00124C67" w:rsidRDefault="00D20955" w:rsidP="00D20955">
            <w:pPr>
              <w:spacing w:after="0"/>
              <w:jc w:val="center"/>
              <w:rPr>
                <w:rFonts w:eastAsia="Times New Roman"/>
                <w:color w:val="000000"/>
                <w:lang w:val="es-AR"/>
              </w:rPr>
            </w:pPr>
            <w:proofErr w:type="spellStart"/>
            <w:r w:rsidRPr="00124C67">
              <w:rPr>
                <w:rFonts w:eastAsia="Times New Roman"/>
                <w:color w:val="000000"/>
                <w:lang w:val="es-AR"/>
              </w:rPr>
              <w:t>p.value</w:t>
            </w:r>
            <w:proofErr w:type="spellEnd"/>
          </w:p>
        </w:tc>
        <w:tc>
          <w:tcPr>
            <w:tcW w:w="707" w:type="dxa"/>
            <w:tcBorders>
              <w:top w:val="single" w:sz="4" w:space="0" w:color="auto"/>
              <w:left w:val="nil"/>
              <w:bottom w:val="single" w:sz="4" w:space="0" w:color="auto"/>
              <w:right w:val="nil"/>
            </w:tcBorders>
            <w:shd w:val="clear" w:color="auto" w:fill="auto"/>
            <w:noWrap/>
            <w:vAlign w:val="center"/>
            <w:hideMark/>
          </w:tcPr>
          <w:p w14:paraId="1519319E" w14:textId="77777777" w:rsidR="00D20955" w:rsidRPr="00124C67" w:rsidRDefault="00D20955" w:rsidP="00D20955">
            <w:pPr>
              <w:spacing w:after="0"/>
              <w:jc w:val="center"/>
              <w:rPr>
                <w:rFonts w:eastAsia="Times New Roman"/>
                <w:color w:val="000000"/>
                <w:lang w:val="es-AR"/>
              </w:rPr>
            </w:pPr>
            <w:r w:rsidRPr="00124C67">
              <w:rPr>
                <w:rFonts w:eastAsia="Times New Roman"/>
                <w:color w:val="000000"/>
                <w:lang w:val="es-AR"/>
              </w:rPr>
              <w:t>Lb</w:t>
            </w:r>
            <w:r>
              <w:rPr>
                <w:rFonts w:eastAsia="Times New Roman"/>
                <w:color w:val="000000"/>
                <w:lang w:val="es-AR"/>
              </w:rPr>
              <w:t xml:space="preserve"> (CI 90%)</w:t>
            </w:r>
          </w:p>
        </w:tc>
        <w:tc>
          <w:tcPr>
            <w:tcW w:w="707" w:type="dxa"/>
            <w:tcBorders>
              <w:top w:val="single" w:sz="4" w:space="0" w:color="auto"/>
              <w:left w:val="nil"/>
              <w:bottom w:val="single" w:sz="4" w:space="0" w:color="auto"/>
              <w:right w:val="nil"/>
            </w:tcBorders>
            <w:shd w:val="clear" w:color="auto" w:fill="auto"/>
            <w:noWrap/>
            <w:vAlign w:val="center"/>
            <w:hideMark/>
          </w:tcPr>
          <w:p w14:paraId="02914315" w14:textId="77777777" w:rsidR="00D20955" w:rsidRPr="00124C67" w:rsidRDefault="00D20955" w:rsidP="00D20955">
            <w:pPr>
              <w:spacing w:after="0"/>
              <w:jc w:val="center"/>
              <w:rPr>
                <w:rFonts w:eastAsia="Times New Roman"/>
                <w:color w:val="000000"/>
                <w:lang w:val="es-AR"/>
              </w:rPr>
            </w:pPr>
            <w:proofErr w:type="spellStart"/>
            <w:r w:rsidRPr="00124C67">
              <w:rPr>
                <w:rFonts w:eastAsia="Times New Roman"/>
                <w:color w:val="000000"/>
                <w:lang w:val="es-AR"/>
              </w:rPr>
              <w:t>Ub</w:t>
            </w:r>
            <w:proofErr w:type="spellEnd"/>
            <w:r>
              <w:rPr>
                <w:rFonts w:eastAsia="Times New Roman"/>
                <w:color w:val="000000"/>
                <w:lang w:val="es-AR"/>
              </w:rPr>
              <w:t xml:space="preserve"> (CI 90%)</w:t>
            </w:r>
          </w:p>
        </w:tc>
        <w:tc>
          <w:tcPr>
            <w:tcW w:w="1120" w:type="dxa"/>
            <w:tcBorders>
              <w:top w:val="single" w:sz="4" w:space="0" w:color="auto"/>
              <w:left w:val="nil"/>
              <w:bottom w:val="single" w:sz="4" w:space="0" w:color="auto"/>
              <w:right w:val="nil"/>
            </w:tcBorders>
            <w:shd w:val="clear" w:color="auto" w:fill="auto"/>
            <w:noWrap/>
            <w:vAlign w:val="center"/>
            <w:hideMark/>
          </w:tcPr>
          <w:p w14:paraId="19C73773" w14:textId="77777777" w:rsidR="00D20955" w:rsidRPr="00124C67" w:rsidRDefault="00D20955" w:rsidP="00D20955">
            <w:pPr>
              <w:spacing w:after="0"/>
              <w:jc w:val="center"/>
              <w:rPr>
                <w:rFonts w:eastAsia="Times New Roman"/>
                <w:color w:val="000000"/>
                <w:lang w:val="es-AR"/>
              </w:rPr>
            </w:pPr>
            <w:proofErr w:type="spellStart"/>
            <w:r w:rsidRPr="00124C67">
              <w:rPr>
                <w:rFonts w:eastAsia="Times New Roman"/>
                <w:color w:val="000000"/>
                <w:lang w:val="es-AR"/>
              </w:rPr>
              <w:t>coefPvalue</w:t>
            </w:r>
            <w:proofErr w:type="spellEnd"/>
          </w:p>
        </w:tc>
      </w:tr>
      <w:tr w:rsidR="00D20955" w:rsidRPr="00124C67" w14:paraId="6F4A7FD7" w14:textId="77777777" w:rsidTr="002F0A15">
        <w:trPr>
          <w:trHeight w:val="288"/>
        </w:trPr>
        <w:tc>
          <w:tcPr>
            <w:tcW w:w="3969" w:type="dxa"/>
            <w:tcBorders>
              <w:top w:val="nil"/>
              <w:left w:val="nil"/>
              <w:bottom w:val="nil"/>
              <w:right w:val="nil"/>
            </w:tcBorders>
            <w:shd w:val="clear" w:color="auto" w:fill="auto"/>
            <w:noWrap/>
            <w:vAlign w:val="center"/>
            <w:hideMark/>
          </w:tcPr>
          <w:p w14:paraId="43D6E15C" w14:textId="77777777" w:rsidR="00D20955" w:rsidRPr="00124C67" w:rsidRDefault="00D20955" w:rsidP="00D20955">
            <w:pPr>
              <w:spacing w:after="0"/>
              <w:jc w:val="left"/>
              <w:rPr>
                <w:rFonts w:eastAsia="Times New Roman"/>
                <w:color w:val="000000"/>
                <w:lang w:val="es-AR"/>
              </w:rPr>
            </w:pPr>
            <w:r w:rsidRPr="00124C67">
              <w:rPr>
                <w:rFonts w:eastAsia="Times New Roman"/>
                <w:color w:val="000000"/>
                <w:lang w:val="es-AR"/>
              </w:rPr>
              <w:t>(</w:t>
            </w:r>
            <w:proofErr w:type="spellStart"/>
            <w:r w:rsidRPr="00124C67">
              <w:rPr>
                <w:rFonts w:eastAsia="Times New Roman"/>
                <w:color w:val="000000"/>
                <w:lang w:val="es-AR"/>
              </w:rPr>
              <w:t>Intercept</w:t>
            </w:r>
            <w:proofErr w:type="spellEnd"/>
            <w:r w:rsidRPr="00124C67">
              <w:rPr>
                <w:rFonts w:eastAsia="Times New Roman"/>
                <w:color w:val="000000"/>
                <w:lang w:val="es-AR"/>
              </w:rPr>
              <w:t>)</w:t>
            </w:r>
          </w:p>
        </w:tc>
        <w:tc>
          <w:tcPr>
            <w:tcW w:w="1281" w:type="dxa"/>
            <w:tcBorders>
              <w:top w:val="nil"/>
              <w:left w:val="nil"/>
              <w:bottom w:val="nil"/>
              <w:right w:val="nil"/>
            </w:tcBorders>
            <w:shd w:val="clear" w:color="auto" w:fill="auto"/>
            <w:noWrap/>
            <w:hideMark/>
          </w:tcPr>
          <w:p w14:paraId="2590704C" w14:textId="3852B925" w:rsidR="00D20955" w:rsidRPr="00124C67" w:rsidRDefault="00D20955" w:rsidP="00D20955">
            <w:pPr>
              <w:spacing w:after="0"/>
              <w:jc w:val="center"/>
              <w:rPr>
                <w:rFonts w:eastAsia="Times New Roman"/>
                <w:color w:val="000000"/>
                <w:lang w:val="es-AR"/>
              </w:rPr>
            </w:pPr>
            <w:r w:rsidRPr="00121CBC">
              <w:t>0.48</w:t>
            </w:r>
          </w:p>
        </w:tc>
        <w:tc>
          <w:tcPr>
            <w:tcW w:w="927" w:type="dxa"/>
            <w:tcBorders>
              <w:top w:val="nil"/>
              <w:left w:val="nil"/>
              <w:bottom w:val="nil"/>
              <w:right w:val="nil"/>
            </w:tcBorders>
            <w:shd w:val="clear" w:color="auto" w:fill="auto"/>
            <w:noWrap/>
            <w:hideMark/>
          </w:tcPr>
          <w:p w14:paraId="3130E056" w14:textId="7AD175EA" w:rsidR="00D20955" w:rsidRPr="00124C67" w:rsidRDefault="00D20955" w:rsidP="00D20955">
            <w:pPr>
              <w:spacing w:after="0"/>
              <w:jc w:val="center"/>
              <w:rPr>
                <w:rFonts w:eastAsia="Times New Roman"/>
                <w:color w:val="000000"/>
                <w:lang w:val="es-AR"/>
              </w:rPr>
            </w:pPr>
            <w:r w:rsidRPr="00121CBC">
              <w:t>0.14</w:t>
            </w:r>
          </w:p>
        </w:tc>
        <w:tc>
          <w:tcPr>
            <w:tcW w:w="901" w:type="dxa"/>
            <w:tcBorders>
              <w:top w:val="nil"/>
              <w:left w:val="nil"/>
              <w:bottom w:val="nil"/>
              <w:right w:val="nil"/>
            </w:tcBorders>
            <w:shd w:val="clear" w:color="auto" w:fill="auto"/>
            <w:noWrap/>
            <w:hideMark/>
          </w:tcPr>
          <w:p w14:paraId="3B1B1D15" w14:textId="7C906038" w:rsidR="00D20955" w:rsidRPr="00124C67" w:rsidRDefault="00D20955" w:rsidP="00D20955">
            <w:pPr>
              <w:spacing w:after="0"/>
              <w:jc w:val="center"/>
              <w:rPr>
                <w:rFonts w:eastAsia="Times New Roman"/>
                <w:color w:val="000000"/>
                <w:lang w:val="es-AR"/>
              </w:rPr>
            </w:pPr>
            <w:r w:rsidRPr="00121CBC">
              <w:t>3.54</w:t>
            </w:r>
          </w:p>
        </w:tc>
        <w:tc>
          <w:tcPr>
            <w:tcW w:w="707" w:type="dxa"/>
            <w:tcBorders>
              <w:top w:val="nil"/>
              <w:left w:val="nil"/>
              <w:bottom w:val="nil"/>
              <w:right w:val="nil"/>
            </w:tcBorders>
            <w:shd w:val="clear" w:color="auto" w:fill="auto"/>
            <w:noWrap/>
            <w:hideMark/>
          </w:tcPr>
          <w:p w14:paraId="1A37804E" w14:textId="248A0EB5" w:rsidR="00D20955" w:rsidRPr="00124C67" w:rsidRDefault="00D20955" w:rsidP="00D20955">
            <w:pPr>
              <w:spacing w:after="0"/>
              <w:jc w:val="center"/>
              <w:rPr>
                <w:rFonts w:eastAsia="Times New Roman"/>
                <w:color w:val="000000"/>
                <w:lang w:val="es-AR"/>
              </w:rPr>
            </w:pPr>
            <w:r w:rsidRPr="00121CBC">
              <w:t>0.00</w:t>
            </w:r>
          </w:p>
        </w:tc>
        <w:tc>
          <w:tcPr>
            <w:tcW w:w="707" w:type="dxa"/>
            <w:tcBorders>
              <w:top w:val="nil"/>
              <w:left w:val="nil"/>
              <w:bottom w:val="nil"/>
              <w:right w:val="nil"/>
            </w:tcBorders>
            <w:shd w:val="clear" w:color="auto" w:fill="auto"/>
            <w:noWrap/>
            <w:hideMark/>
          </w:tcPr>
          <w:p w14:paraId="5E41E35C" w14:textId="7304524C" w:rsidR="00D20955" w:rsidRPr="00124C67" w:rsidRDefault="00D20955" w:rsidP="00D20955">
            <w:pPr>
              <w:spacing w:after="0"/>
              <w:jc w:val="center"/>
              <w:rPr>
                <w:rFonts w:eastAsia="Times New Roman"/>
                <w:color w:val="000000"/>
                <w:lang w:val="es-AR"/>
              </w:rPr>
            </w:pPr>
            <w:r w:rsidRPr="00121CBC">
              <w:t>0.26</w:t>
            </w:r>
          </w:p>
        </w:tc>
        <w:tc>
          <w:tcPr>
            <w:tcW w:w="1120" w:type="dxa"/>
            <w:tcBorders>
              <w:top w:val="nil"/>
              <w:left w:val="nil"/>
              <w:bottom w:val="nil"/>
              <w:right w:val="nil"/>
            </w:tcBorders>
            <w:shd w:val="clear" w:color="auto" w:fill="auto"/>
            <w:noWrap/>
            <w:hideMark/>
          </w:tcPr>
          <w:p w14:paraId="20BC3503" w14:textId="3E0A3D59" w:rsidR="00D20955" w:rsidRPr="00124C67" w:rsidRDefault="00D20955" w:rsidP="00D20955">
            <w:pPr>
              <w:spacing w:after="0"/>
              <w:jc w:val="center"/>
              <w:rPr>
                <w:rFonts w:eastAsia="Times New Roman"/>
                <w:color w:val="000000"/>
                <w:lang w:val="es-AR"/>
              </w:rPr>
            </w:pPr>
            <w:r w:rsidRPr="00121CBC">
              <w:t>0.70</w:t>
            </w:r>
          </w:p>
        </w:tc>
      </w:tr>
      <w:tr w:rsidR="00D20955" w:rsidRPr="00124C67" w14:paraId="00F04F85" w14:textId="77777777" w:rsidTr="002F0A15">
        <w:trPr>
          <w:trHeight w:val="288"/>
        </w:trPr>
        <w:tc>
          <w:tcPr>
            <w:tcW w:w="3969" w:type="dxa"/>
            <w:tcBorders>
              <w:top w:val="nil"/>
              <w:left w:val="nil"/>
              <w:bottom w:val="nil"/>
              <w:right w:val="nil"/>
            </w:tcBorders>
            <w:shd w:val="clear" w:color="auto" w:fill="auto"/>
            <w:noWrap/>
            <w:vAlign w:val="center"/>
            <w:hideMark/>
          </w:tcPr>
          <w:p w14:paraId="18174D73"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RijOccupation</w:t>
            </w:r>
            <w:proofErr w:type="spellEnd"/>
          </w:p>
        </w:tc>
        <w:tc>
          <w:tcPr>
            <w:tcW w:w="1281" w:type="dxa"/>
            <w:tcBorders>
              <w:top w:val="nil"/>
              <w:left w:val="nil"/>
              <w:bottom w:val="nil"/>
              <w:right w:val="nil"/>
            </w:tcBorders>
            <w:shd w:val="clear" w:color="auto" w:fill="auto"/>
            <w:noWrap/>
            <w:hideMark/>
          </w:tcPr>
          <w:p w14:paraId="5102EF72" w14:textId="1E316583" w:rsidR="00D20955" w:rsidRPr="00124C67" w:rsidRDefault="00D20955" w:rsidP="00D20955">
            <w:pPr>
              <w:spacing w:after="0"/>
              <w:jc w:val="center"/>
              <w:rPr>
                <w:rFonts w:eastAsia="Times New Roman"/>
                <w:color w:val="000000"/>
                <w:lang w:val="es-AR"/>
              </w:rPr>
            </w:pPr>
            <w:r w:rsidRPr="00121CBC">
              <w:t>0.02</w:t>
            </w:r>
          </w:p>
        </w:tc>
        <w:tc>
          <w:tcPr>
            <w:tcW w:w="927" w:type="dxa"/>
            <w:tcBorders>
              <w:top w:val="nil"/>
              <w:left w:val="nil"/>
              <w:bottom w:val="nil"/>
              <w:right w:val="nil"/>
            </w:tcBorders>
            <w:shd w:val="clear" w:color="auto" w:fill="auto"/>
            <w:noWrap/>
            <w:hideMark/>
          </w:tcPr>
          <w:p w14:paraId="78A8CADE" w14:textId="4DB0BEB6"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7E7B9A69" w14:textId="2E46F8B3" w:rsidR="00D20955" w:rsidRPr="00124C67" w:rsidRDefault="00D20955" w:rsidP="00D20955">
            <w:pPr>
              <w:spacing w:after="0"/>
              <w:jc w:val="center"/>
              <w:rPr>
                <w:rFonts w:eastAsia="Times New Roman"/>
                <w:color w:val="000000"/>
                <w:lang w:val="es-AR"/>
              </w:rPr>
            </w:pPr>
            <w:r w:rsidRPr="00121CBC">
              <w:t>0.85</w:t>
            </w:r>
          </w:p>
        </w:tc>
        <w:tc>
          <w:tcPr>
            <w:tcW w:w="707" w:type="dxa"/>
            <w:tcBorders>
              <w:top w:val="nil"/>
              <w:left w:val="nil"/>
              <w:bottom w:val="nil"/>
              <w:right w:val="nil"/>
            </w:tcBorders>
            <w:shd w:val="clear" w:color="auto" w:fill="auto"/>
            <w:noWrap/>
            <w:hideMark/>
          </w:tcPr>
          <w:p w14:paraId="66DFA068" w14:textId="1C9D4518" w:rsidR="00D20955" w:rsidRPr="00124C67" w:rsidRDefault="00D20955" w:rsidP="00D20955">
            <w:pPr>
              <w:spacing w:after="0"/>
              <w:jc w:val="center"/>
              <w:rPr>
                <w:rFonts w:eastAsia="Times New Roman"/>
                <w:color w:val="000000"/>
                <w:lang w:val="es-AR"/>
              </w:rPr>
            </w:pPr>
            <w:r w:rsidRPr="00121CBC">
              <w:t>0.40</w:t>
            </w:r>
          </w:p>
        </w:tc>
        <w:tc>
          <w:tcPr>
            <w:tcW w:w="707" w:type="dxa"/>
            <w:tcBorders>
              <w:top w:val="nil"/>
              <w:left w:val="nil"/>
              <w:bottom w:val="nil"/>
              <w:right w:val="nil"/>
            </w:tcBorders>
            <w:shd w:val="clear" w:color="auto" w:fill="auto"/>
            <w:noWrap/>
            <w:hideMark/>
          </w:tcPr>
          <w:p w14:paraId="2C19B623" w14:textId="6B0189D5" w:rsidR="00D20955" w:rsidRPr="00124C67" w:rsidRDefault="00D20955" w:rsidP="00D20955">
            <w:pPr>
              <w:spacing w:after="0"/>
              <w:jc w:val="center"/>
              <w:rPr>
                <w:rFonts w:eastAsia="Times New Roman"/>
                <w:color w:val="000000"/>
                <w:lang w:val="es-AR"/>
              </w:rPr>
            </w:pPr>
            <w:r w:rsidRPr="00121CBC">
              <w:t>-0.02</w:t>
            </w:r>
          </w:p>
        </w:tc>
        <w:tc>
          <w:tcPr>
            <w:tcW w:w="1120" w:type="dxa"/>
            <w:tcBorders>
              <w:top w:val="nil"/>
              <w:left w:val="nil"/>
              <w:bottom w:val="nil"/>
              <w:right w:val="nil"/>
            </w:tcBorders>
            <w:shd w:val="clear" w:color="auto" w:fill="auto"/>
            <w:noWrap/>
            <w:hideMark/>
          </w:tcPr>
          <w:p w14:paraId="716D15F5" w14:textId="7FF8752B" w:rsidR="00D20955" w:rsidRPr="00124C67" w:rsidRDefault="00D20955" w:rsidP="00D20955">
            <w:pPr>
              <w:spacing w:after="0"/>
              <w:jc w:val="center"/>
              <w:rPr>
                <w:rFonts w:eastAsia="Times New Roman"/>
                <w:color w:val="000000"/>
                <w:lang w:val="es-AR"/>
              </w:rPr>
            </w:pPr>
            <w:r w:rsidRPr="00121CBC">
              <w:t>0.07</w:t>
            </w:r>
          </w:p>
        </w:tc>
      </w:tr>
      <w:tr w:rsidR="00D20955" w:rsidRPr="00124C67" w14:paraId="12AACBB3" w14:textId="77777777" w:rsidTr="002F0A15">
        <w:trPr>
          <w:trHeight w:val="288"/>
        </w:trPr>
        <w:tc>
          <w:tcPr>
            <w:tcW w:w="3969" w:type="dxa"/>
            <w:tcBorders>
              <w:top w:val="nil"/>
              <w:left w:val="nil"/>
              <w:bottom w:val="nil"/>
              <w:right w:val="nil"/>
            </w:tcBorders>
            <w:shd w:val="clear" w:color="auto" w:fill="auto"/>
            <w:noWrap/>
            <w:vAlign w:val="center"/>
            <w:hideMark/>
          </w:tcPr>
          <w:p w14:paraId="1E274A01"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RijIndustry</w:t>
            </w:r>
            <w:proofErr w:type="spellEnd"/>
          </w:p>
        </w:tc>
        <w:tc>
          <w:tcPr>
            <w:tcW w:w="1281" w:type="dxa"/>
            <w:tcBorders>
              <w:top w:val="nil"/>
              <w:left w:val="nil"/>
              <w:bottom w:val="nil"/>
              <w:right w:val="nil"/>
            </w:tcBorders>
            <w:shd w:val="clear" w:color="auto" w:fill="auto"/>
            <w:noWrap/>
            <w:hideMark/>
          </w:tcPr>
          <w:p w14:paraId="644ED40A" w14:textId="086BAF56" w:rsidR="00D20955" w:rsidRPr="00124C67" w:rsidRDefault="00D20955" w:rsidP="00D20955">
            <w:pPr>
              <w:spacing w:after="0"/>
              <w:jc w:val="center"/>
              <w:rPr>
                <w:rFonts w:eastAsia="Times New Roman"/>
                <w:color w:val="000000"/>
                <w:lang w:val="es-AR"/>
              </w:rPr>
            </w:pPr>
            <w:r w:rsidRPr="00121CBC">
              <w:t>-0.02</w:t>
            </w:r>
          </w:p>
        </w:tc>
        <w:tc>
          <w:tcPr>
            <w:tcW w:w="927" w:type="dxa"/>
            <w:tcBorders>
              <w:top w:val="nil"/>
              <w:left w:val="nil"/>
              <w:bottom w:val="nil"/>
              <w:right w:val="nil"/>
            </w:tcBorders>
            <w:shd w:val="clear" w:color="auto" w:fill="auto"/>
            <w:noWrap/>
            <w:hideMark/>
          </w:tcPr>
          <w:p w14:paraId="3F297A82" w14:textId="6CA852D3" w:rsidR="00D20955" w:rsidRPr="00124C67" w:rsidRDefault="00D20955" w:rsidP="00D20955">
            <w:pPr>
              <w:spacing w:after="0"/>
              <w:jc w:val="center"/>
              <w:rPr>
                <w:rFonts w:eastAsia="Times New Roman"/>
                <w:color w:val="000000"/>
                <w:lang w:val="es-AR"/>
              </w:rPr>
            </w:pPr>
            <w:r w:rsidRPr="00121CBC">
              <w:t>0.02</w:t>
            </w:r>
          </w:p>
        </w:tc>
        <w:tc>
          <w:tcPr>
            <w:tcW w:w="901" w:type="dxa"/>
            <w:tcBorders>
              <w:top w:val="nil"/>
              <w:left w:val="nil"/>
              <w:bottom w:val="nil"/>
              <w:right w:val="nil"/>
            </w:tcBorders>
            <w:shd w:val="clear" w:color="auto" w:fill="auto"/>
            <w:noWrap/>
            <w:hideMark/>
          </w:tcPr>
          <w:p w14:paraId="354D9A8E" w14:textId="5AF13DAB" w:rsidR="00D20955" w:rsidRPr="00124C67" w:rsidRDefault="00D20955" w:rsidP="00D20955">
            <w:pPr>
              <w:spacing w:after="0"/>
              <w:jc w:val="center"/>
              <w:rPr>
                <w:rFonts w:eastAsia="Times New Roman"/>
                <w:color w:val="000000"/>
                <w:lang w:val="es-AR"/>
              </w:rPr>
            </w:pPr>
            <w:r w:rsidRPr="00121CBC">
              <w:t>-0.88</w:t>
            </w:r>
          </w:p>
        </w:tc>
        <w:tc>
          <w:tcPr>
            <w:tcW w:w="707" w:type="dxa"/>
            <w:tcBorders>
              <w:top w:val="nil"/>
              <w:left w:val="nil"/>
              <w:bottom w:val="nil"/>
              <w:right w:val="nil"/>
            </w:tcBorders>
            <w:shd w:val="clear" w:color="auto" w:fill="auto"/>
            <w:noWrap/>
            <w:hideMark/>
          </w:tcPr>
          <w:p w14:paraId="7D2EFE71" w14:textId="35034CFA" w:rsidR="00D20955" w:rsidRPr="00124C67" w:rsidRDefault="00D20955" w:rsidP="00D20955">
            <w:pPr>
              <w:spacing w:after="0"/>
              <w:jc w:val="center"/>
              <w:rPr>
                <w:rFonts w:eastAsia="Times New Roman"/>
                <w:color w:val="000000"/>
                <w:lang w:val="es-AR"/>
              </w:rPr>
            </w:pPr>
            <w:r w:rsidRPr="00121CBC">
              <w:t>0.38</w:t>
            </w:r>
          </w:p>
        </w:tc>
        <w:tc>
          <w:tcPr>
            <w:tcW w:w="707" w:type="dxa"/>
            <w:tcBorders>
              <w:top w:val="nil"/>
              <w:left w:val="nil"/>
              <w:bottom w:val="nil"/>
              <w:right w:val="nil"/>
            </w:tcBorders>
            <w:shd w:val="clear" w:color="auto" w:fill="auto"/>
            <w:noWrap/>
            <w:hideMark/>
          </w:tcPr>
          <w:p w14:paraId="0EE4327C" w14:textId="35287647" w:rsidR="00D20955" w:rsidRPr="00124C67" w:rsidRDefault="00D20955" w:rsidP="00D20955">
            <w:pPr>
              <w:spacing w:after="0"/>
              <w:jc w:val="center"/>
              <w:rPr>
                <w:rFonts w:eastAsia="Times New Roman"/>
                <w:color w:val="000000"/>
                <w:lang w:val="es-AR"/>
              </w:rPr>
            </w:pPr>
            <w:r w:rsidRPr="00121CBC">
              <w:t>-0.06</w:t>
            </w:r>
          </w:p>
        </w:tc>
        <w:tc>
          <w:tcPr>
            <w:tcW w:w="1120" w:type="dxa"/>
            <w:tcBorders>
              <w:top w:val="nil"/>
              <w:left w:val="nil"/>
              <w:bottom w:val="nil"/>
              <w:right w:val="nil"/>
            </w:tcBorders>
            <w:shd w:val="clear" w:color="auto" w:fill="auto"/>
            <w:noWrap/>
            <w:hideMark/>
          </w:tcPr>
          <w:p w14:paraId="63717538" w14:textId="12D981A6" w:rsidR="00D20955" w:rsidRPr="00124C67" w:rsidRDefault="00D20955" w:rsidP="00D20955">
            <w:pPr>
              <w:spacing w:after="0"/>
              <w:jc w:val="center"/>
              <w:rPr>
                <w:rFonts w:eastAsia="Times New Roman"/>
                <w:color w:val="000000"/>
                <w:lang w:val="es-AR"/>
              </w:rPr>
            </w:pPr>
            <w:r w:rsidRPr="00121CBC">
              <w:t>0.02</w:t>
            </w:r>
          </w:p>
        </w:tc>
      </w:tr>
      <w:tr w:rsidR="00D20955" w:rsidRPr="00124C67" w14:paraId="49AD9138" w14:textId="77777777" w:rsidTr="002F0A15">
        <w:trPr>
          <w:trHeight w:val="288"/>
        </w:trPr>
        <w:tc>
          <w:tcPr>
            <w:tcW w:w="3969" w:type="dxa"/>
            <w:tcBorders>
              <w:top w:val="nil"/>
              <w:left w:val="nil"/>
              <w:bottom w:val="nil"/>
              <w:right w:val="nil"/>
            </w:tcBorders>
            <w:shd w:val="clear" w:color="auto" w:fill="auto"/>
            <w:noWrap/>
            <w:vAlign w:val="center"/>
            <w:hideMark/>
          </w:tcPr>
          <w:p w14:paraId="3D554A26"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IndustryAboveAvg_Lagged</w:t>
            </w:r>
            <w:proofErr w:type="spellEnd"/>
          </w:p>
        </w:tc>
        <w:tc>
          <w:tcPr>
            <w:tcW w:w="1281" w:type="dxa"/>
            <w:tcBorders>
              <w:top w:val="nil"/>
              <w:left w:val="nil"/>
              <w:bottom w:val="nil"/>
              <w:right w:val="nil"/>
            </w:tcBorders>
            <w:shd w:val="clear" w:color="auto" w:fill="auto"/>
            <w:noWrap/>
            <w:hideMark/>
          </w:tcPr>
          <w:p w14:paraId="0C0A6F85" w14:textId="2F9A4CCF" w:rsidR="00D20955" w:rsidRPr="00124C67" w:rsidRDefault="00D20955" w:rsidP="00D20955">
            <w:pPr>
              <w:spacing w:after="0"/>
              <w:jc w:val="center"/>
              <w:rPr>
                <w:rFonts w:eastAsia="Times New Roman"/>
                <w:color w:val="000000"/>
                <w:lang w:val="es-AR"/>
              </w:rPr>
            </w:pPr>
            <w:r w:rsidRPr="00121CBC">
              <w:t>-0.07</w:t>
            </w:r>
          </w:p>
        </w:tc>
        <w:tc>
          <w:tcPr>
            <w:tcW w:w="927" w:type="dxa"/>
            <w:tcBorders>
              <w:top w:val="nil"/>
              <w:left w:val="nil"/>
              <w:bottom w:val="nil"/>
              <w:right w:val="nil"/>
            </w:tcBorders>
            <w:shd w:val="clear" w:color="auto" w:fill="auto"/>
            <w:noWrap/>
            <w:hideMark/>
          </w:tcPr>
          <w:p w14:paraId="07650162" w14:textId="769CF6E1"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48F2CBB1" w14:textId="73463D4D" w:rsidR="00D20955" w:rsidRPr="00124C67" w:rsidRDefault="00D20955" w:rsidP="00D20955">
            <w:pPr>
              <w:spacing w:after="0"/>
              <w:jc w:val="center"/>
              <w:rPr>
                <w:rFonts w:eastAsia="Times New Roman"/>
                <w:color w:val="000000"/>
                <w:lang w:val="es-AR"/>
              </w:rPr>
            </w:pPr>
            <w:r w:rsidRPr="00121CBC">
              <w:t>-2.25</w:t>
            </w:r>
          </w:p>
        </w:tc>
        <w:tc>
          <w:tcPr>
            <w:tcW w:w="707" w:type="dxa"/>
            <w:tcBorders>
              <w:top w:val="nil"/>
              <w:left w:val="nil"/>
              <w:bottom w:val="nil"/>
              <w:right w:val="nil"/>
            </w:tcBorders>
            <w:shd w:val="clear" w:color="auto" w:fill="auto"/>
            <w:noWrap/>
            <w:hideMark/>
          </w:tcPr>
          <w:p w14:paraId="257D1CE5" w14:textId="75193494" w:rsidR="00D20955" w:rsidRPr="00124C67" w:rsidRDefault="00D20955" w:rsidP="00D20955">
            <w:pPr>
              <w:spacing w:after="0"/>
              <w:jc w:val="center"/>
              <w:rPr>
                <w:rFonts w:eastAsia="Times New Roman"/>
                <w:color w:val="000000"/>
                <w:lang w:val="es-AR"/>
              </w:rPr>
            </w:pPr>
            <w:r w:rsidRPr="00121CBC">
              <w:t>0.02</w:t>
            </w:r>
          </w:p>
        </w:tc>
        <w:tc>
          <w:tcPr>
            <w:tcW w:w="707" w:type="dxa"/>
            <w:tcBorders>
              <w:top w:val="nil"/>
              <w:left w:val="nil"/>
              <w:bottom w:val="nil"/>
              <w:right w:val="nil"/>
            </w:tcBorders>
            <w:shd w:val="clear" w:color="auto" w:fill="auto"/>
            <w:noWrap/>
            <w:hideMark/>
          </w:tcPr>
          <w:p w14:paraId="4BCA3DA1" w14:textId="05E3DF4B" w:rsidR="00D20955" w:rsidRPr="00124C67" w:rsidRDefault="00D20955" w:rsidP="00D20955">
            <w:pPr>
              <w:spacing w:after="0"/>
              <w:jc w:val="center"/>
              <w:rPr>
                <w:rFonts w:eastAsia="Times New Roman"/>
                <w:color w:val="000000"/>
                <w:lang w:val="es-AR"/>
              </w:rPr>
            </w:pPr>
            <w:r w:rsidRPr="00121CBC">
              <w:t>-0.12</w:t>
            </w:r>
          </w:p>
        </w:tc>
        <w:tc>
          <w:tcPr>
            <w:tcW w:w="1120" w:type="dxa"/>
            <w:tcBorders>
              <w:top w:val="nil"/>
              <w:left w:val="nil"/>
              <w:bottom w:val="nil"/>
              <w:right w:val="nil"/>
            </w:tcBorders>
            <w:shd w:val="clear" w:color="auto" w:fill="auto"/>
            <w:noWrap/>
            <w:hideMark/>
          </w:tcPr>
          <w:p w14:paraId="28AB2B6C" w14:textId="3CA8F626" w:rsidR="00D20955" w:rsidRPr="00124C67" w:rsidRDefault="00D20955" w:rsidP="00D20955">
            <w:pPr>
              <w:spacing w:after="0"/>
              <w:jc w:val="center"/>
              <w:rPr>
                <w:rFonts w:eastAsia="Times New Roman"/>
                <w:color w:val="000000"/>
                <w:lang w:val="es-AR"/>
              </w:rPr>
            </w:pPr>
            <w:r w:rsidRPr="00121CBC">
              <w:t>-0.02</w:t>
            </w:r>
          </w:p>
        </w:tc>
      </w:tr>
      <w:tr w:rsidR="00D20955" w:rsidRPr="00124C67" w14:paraId="05975872" w14:textId="77777777" w:rsidTr="002F0A15">
        <w:trPr>
          <w:trHeight w:val="288"/>
        </w:trPr>
        <w:tc>
          <w:tcPr>
            <w:tcW w:w="3969" w:type="dxa"/>
            <w:tcBorders>
              <w:top w:val="nil"/>
              <w:left w:val="nil"/>
              <w:bottom w:val="nil"/>
              <w:right w:val="nil"/>
            </w:tcBorders>
            <w:shd w:val="clear" w:color="auto" w:fill="auto"/>
            <w:noWrap/>
            <w:vAlign w:val="center"/>
            <w:hideMark/>
          </w:tcPr>
          <w:p w14:paraId="22A8FA05"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IndustryAboveAvg</w:t>
            </w:r>
            <w:proofErr w:type="spellEnd"/>
          </w:p>
        </w:tc>
        <w:tc>
          <w:tcPr>
            <w:tcW w:w="1281" w:type="dxa"/>
            <w:tcBorders>
              <w:top w:val="nil"/>
              <w:left w:val="nil"/>
              <w:bottom w:val="nil"/>
              <w:right w:val="nil"/>
            </w:tcBorders>
            <w:shd w:val="clear" w:color="auto" w:fill="auto"/>
            <w:noWrap/>
            <w:hideMark/>
          </w:tcPr>
          <w:p w14:paraId="478C6224" w14:textId="171C2F86" w:rsidR="00D20955" w:rsidRPr="00124C67" w:rsidRDefault="00D20955" w:rsidP="00D20955">
            <w:pPr>
              <w:spacing w:after="0"/>
              <w:jc w:val="center"/>
              <w:rPr>
                <w:rFonts w:eastAsia="Times New Roman"/>
                <w:color w:val="000000"/>
                <w:lang w:val="es-AR"/>
              </w:rPr>
            </w:pPr>
            <w:r w:rsidRPr="00121CBC">
              <w:t>0.05</w:t>
            </w:r>
          </w:p>
        </w:tc>
        <w:tc>
          <w:tcPr>
            <w:tcW w:w="927" w:type="dxa"/>
            <w:tcBorders>
              <w:top w:val="nil"/>
              <w:left w:val="nil"/>
              <w:bottom w:val="nil"/>
              <w:right w:val="nil"/>
            </w:tcBorders>
            <w:shd w:val="clear" w:color="auto" w:fill="auto"/>
            <w:noWrap/>
            <w:hideMark/>
          </w:tcPr>
          <w:p w14:paraId="6F9DCE20" w14:textId="5C4DD35C"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13F993AB" w14:textId="4621F81F" w:rsidR="00D20955" w:rsidRPr="00124C67" w:rsidRDefault="00D20955" w:rsidP="00D20955">
            <w:pPr>
              <w:spacing w:after="0"/>
              <w:jc w:val="center"/>
              <w:rPr>
                <w:rFonts w:eastAsia="Times New Roman"/>
                <w:color w:val="000000"/>
                <w:lang w:val="es-AR"/>
              </w:rPr>
            </w:pPr>
            <w:r w:rsidRPr="00121CBC">
              <w:t>1.58</w:t>
            </w:r>
          </w:p>
        </w:tc>
        <w:tc>
          <w:tcPr>
            <w:tcW w:w="707" w:type="dxa"/>
            <w:tcBorders>
              <w:top w:val="nil"/>
              <w:left w:val="nil"/>
              <w:bottom w:val="nil"/>
              <w:right w:val="nil"/>
            </w:tcBorders>
            <w:shd w:val="clear" w:color="auto" w:fill="auto"/>
            <w:noWrap/>
            <w:hideMark/>
          </w:tcPr>
          <w:p w14:paraId="68A2CC47" w14:textId="333DD252" w:rsidR="00D20955" w:rsidRPr="00124C67" w:rsidRDefault="00D20955" w:rsidP="00D20955">
            <w:pPr>
              <w:spacing w:after="0"/>
              <w:jc w:val="center"/>
              <w:rPr>
                <w:rFonts w:eastAsia="Times New Roman"/>
                <w:color w:val="000000"/>
                <w:lang w:val="es-AR"/>
              </w:rPr>
            </w:pPr>
            <w:r w:rsidRPr="00121CBC">
              <w:t>0.11</w:t>
            </w:r>
          </w:p>
        </w:tc>
        <w:tc>
          <w:tcPr>
            <w:tcW w:w="707" w:type="dxa"/>
            <w:tcBorders>
              <w:top w:val="nil"/>
              <w:left w:val="nil"/>
              <w:bottom w:val="nil"/>
              <w:right w:val="nil"/>
            </w:tcBorders>
            <w:shd w:val="clear" w:color="auto" w:fill="auto"/>
            <w:noWrap/>
            <w:hideMark/>
          </w:tcPr>
          <w:p w14:paraId="4883B2BC" w14:textId="3A887C9F" w:rsidR="00D20955" w:rsidRPr="00124C67" w:rsidRDefault="00D20955" w:rsidP="00D20955">
            <w:pPr>
              <w:spacing w:after="0"/>
              <w:jc w:val="center"/>
              <w:rPr>
                <w:rFonts w:eastAsia="Times New Roman"/>
                <w:color w:val="000000"/>
                <w:lang w:val="es-AR"/>
              </w:rPr>
            </w:pPr>
            <w:r w:rsidRPr="00121CBC">
              <w:t>0.00</w:t>
            </w:r>
          </w:p>
        </w:tc>
        <w:tc>
          <w:tcPr>
            <w:tcW w:w="1120" w:type="dxa"/>
            <w:tcBorders>
              <w:top w:val="nil"/>
              <w:left w:val="nil"/>
              <w:bottom w:val="nil"/>
              <w:right w:val="nil"/>
            </w:tcBorders>
            <w:shd w:val="clear" w:color="auto" w:fill="auto"/>
            <w:noWrap/>
            <w:hideMark/>
          </w:tcPr>
          <w:p w14:paraId="7F6CA232" w14:textId="22EBDC60" w:rsidR="00D20955" w:rsidRPr="00124C67" w:rsidRDefault="00D20955" w:rsidP="00D20955">
            <w:pPr>
              <w:spacing w:after="0"/>
              <w:jc w:val="center"/>
              <w:rPr>
                <w:rFonts w:eastAsia="Times New Roman"/>
                <w:color w:val="000000"/>
                <w:lang w:val="es-AR"/>
              </w:rPr>
            </w:pPr>
            <w:r w:rsidRPr="00121CBC">
              <w:t>0.10</w:t>
            </w:r>
          </w:p>
        </w:tc>
      </w:tr>
      <w:tr w:rsidR="00D20955" w:rsidRPr="00BF5447" w14:paraId="57D38D6A" w14:textId="77777777" w:rsidTr="002F0A15">
        <w:trPr>
          <w:trHeight w:val="576"/>
        </w:trPr>
        <w:tc>
          <w:tcPr>
            <w:tcW w:w="3969" w:type="dxa"/>
            <w:tcBorders>
              <w:top w:val="nil"/>
              <w:left w:val="nil"/>
              <w:bottom w:val="nil"/>
              <w:right w:val="nil"/>
            </w:tcBorders>
            <w:shd w:val="clear" w:color="auto" w:fill="auto"/>
            <w:vAlign w:val="center"/>
            <w:hideMark/>
          </w:tcPr>
          <w:p w14:paraId="1A28BFB2" w14:textId="77777777" w:rsidR="00D20955" w:rsidRPr="007D3DD1" w:rsidRDefault="00D20955" w:rsidP="00D20955">
            <w:pPr>
              <w:spacing w:after="0"/>
              <w:jc w:val="left"/>
              <w:rPr>
                <w:rFonts w:eastAsia="Times New Roman"/>
                <w:b/>
                <w:bCs/>
                <w:color w:val="000000"/>
                <w:lang w:val="en-US"/>
              </w:rPr>
            </w:pPr>
            <w:proofErr w:type="spellStart"/>
            <w:r w:rsidRPr="007D3DD1">
              <w:rPr>
                <w:rFonts w:eastAsia="Times New Roman"/>
                <w:b/>
                <w:bCs/>
                <w:color w:val="000000"/>
                <w:lang w:val="en-US"/>
              </w:rPr>
              <w:t>LaborContractLagged</w:t>
            </w:r>
            <w:proofErr w:type="spellEnd"/>
            <w:r w:rsidRPr="007D3DD1">
              <w:rPr>
                <w:rFonts w:eastAsia="Times New Roman"/>
                <w:b/>
                <w:bCs/>
                <w:color w:val="000000"/>
                <w:lang w:val="en-US"/>
              </w:rPr>
              <w:t xml:space="preserve"> (base case: </w:t>
            </w:r>
            <w:r>
              <w:rPr>
                <w:rFonts w:eastAsia="Times New Roman"/>
                <w:b/>
                <w:bCs/>
                <w:color w:val="000000"/>
                <w:lang w:val="en-US"/>
              </w:rPr>
              <w:t>informal</w:t>
            </w:r>
            <w:r w:rsidRPr="007D3DD1">
              <w:rPr>
                <w:rFonts w:eastAsia="Times New Roman"/>
                <w:b/>
                <w:bCs/>
                <w:color w:val="000000"/>
                <w:lang w:val="en-US"/>
              </w:rPr>
              <w:t xml:space="preserve"> wage worker</w:t>
            </w:r>
            <w:r>
              <w:rPr>
                <w:rFonts w:eastAsia="Times New Roman"/>
                <w:b/>
                <w:bCs/>
                <w:color w:val="000000"/>
                <w:lang w:val="en-US"/>
              </w:rPr>
              <w:t>)</w:t>
            </w:r>
          </w:p>
        </w:tc>
        <w:tc>
          <w:tcPr>
            <w:tcW w:w="1281" w:type="dxa"/>
            <w:tcBorders>
              <w:top w:val="nil"/>
              <w:left w:val="nil"/>
              <w:bottom w:val="nil"/>
              <w:right w:val="nil"/>
            </w:tcBorders>
            <w:shd w:val="clear" w:color="auto" w:fill="auto"/>
            <w:noWrap/>
            <w:hideMark/>
          </w:tcPr>
          <w:p w14:paraId="284EBE92" w14:textId="77777777" w:rsidR="00D20955" w:rsidRPr="007D3DD1" w:rsidRDefault="00D20955" w:rsidP="00D20955">
            <w:pPr>
              <w:spacing w:after="0"/>
              <w:jc w:val="center"/>
              <w:rPr>
                <w:rFonts w:eastAsia="Times New Roman"/>
                <w:b/>
                <w:bCs/>
                <w:color w:val="000000"/>
                <w:lang w:val="en-US"/>
              </w:rPr>
            </w:pPr>
          </w:p>
        </w:tc>
        <w:tc>
          <w:tcPr>
            <w:tcW w:w="927" w:type="dxa"/>
            <w:tcBorders>
              <w:top w:val="nil"/>
              <w:left w:val="nil"/>
              <w:bottom w:val="nil"/>
              <w:right w:val="nil"/>
            </w:tcBorders>
            <w:shd w:val="clear" w:color="auto" w:fill="auto"/>
            <w:noWrap/>
            <w:hideMark/>
          </w:tcPr>
          <w:p w14:paraId="6FF1B5A3"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901" w:type="dxa"/>
            <w:tcBorders>
              <w:top w:val="nil"/>
              <w:left w:val="nil"/>
              <w:bottom w:val="nil"/>
              <w:right w:val="nil"/>
            </w:tcBorders>
            <w:shd w:val="clear" w:color="auto" w:fill="auto"/>
            <w:noWrap/>
            <w:hideMark/>
          </w:tcPr>
          <w:p w14:paraId="26D21CD0"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707" w:type="dxa"/>
            <w:tcBorders>
              <w:top w:val="nil"/>
              <w:left w:val="nil"/>
              <w:bottom w:val="nil"/>
              <w:right w:val="nil"/>
            </w:tcBorders>
            <w:shd w:val="clear" w:color="auto" w:fill="auto"/>
            <w:noWrap/>
            <w:hideMark/>
          </w:tcPr>
          <w:p w14:paraId="65A80EEF"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707" w:type="dxa"/>
            <w:tcBorders>
              <w:top w:val="nil"/>
              <w:left w:val="nil"/>
              <w:bottom w:val="nil"/>
              <w:right w:val="nil"/>
            </w:tcBorders>
            <w:shd w:val="clear" w:color="auto" w:fill="auto"/>
            <w:noWrap/>
            <w:hideMark/>
          </w:tcPr>
          <w:p w14:paraId="7B51C994"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hideMark/>
          </w:tcPr>
          <w:p w14:paraId="0BAF1C0B"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r>
      <w:tr w:rsidR="00D20955" w:rsidRPr="00124C67" w14:paraId="473AD3F6" w14:textId="77777777" w:rsidTr="002F0A15">
        <w:trPr>
          <w:trHeight w:val="288"/>
        </w:trPr>
        <w:tc>
          <w:tcPr>
            <w:tcW w:w="3969" w:type="dxa"/>
            <w:tcBorders>
              <w:top w:val="nil"/>
              <w:left w:val="nil"/>
              <w:bottom w:val="nil"/>
              <w:right w:val="nil"/>
            </w:tcBorders>
            <w:shd w:val="clear" w:color="auto" w:fill="auto"/>
            <w:noWrap/>
            <w:vAlign w:val="center"/>
            <w:hideMark/>
          </w:tcPr>
          <w:p w14:paraId="69E4F6EB" w14:textId="77777777" w:rsidR="00D20955" w:rsidRPr="00124C67" w:rsidRDefault="00D20955" w:rsidP="00D20955">
            <w:pPr>
              <w:spacing w:after="0"/>
              <w:jc w:val="left"/>
              <w:rPr>
                <w:rFonts w:eastAsia="Times New Roman"/>
                <w:color w:val="000000"/>
                <w:lang w:val="es-AR"/>
              </w:rPr>
            </w:pPr>
            <w:r>
              <w:rPr>
                <w:rFonts w:eastAsia="Times New Roman"/>
                <w:color w:val="000000"/>
                <w:lang w:val="es-AR"/>
              </w:rPr>
              <w:t>Formal</w:t>
            </w:r>
            <w:r w:rsidRPr="00124C67">
              <w:rPr>
                <w:rFonts w:eastAsia="Times New Roman"/>
                <w:color w:val="000000"/>
                <w:lang w:val="es-AR"/>
              </w:rPr>
              <w:t xml:space="preserve"> </w:t>
            </w:r>
            <w:proofErr w:type="spellStart"/>
            <w:r w:rsidRPr="00124C67">
              <w:rPr>
                <w:rFonts w:eastAsia="Times New Roman"/>
                <w:color w:val="000000"/>
                <w:lang w:val="es-AR"/>
              </w:rPr>
              <w:t>wage</w:t>
            </w:r>
            <w:proofErr w:type="spellEnd"/>
            <w:r w:rsidRPr="00124C67">
              <w:rPr>
                <w:rFonts w:eastAsia="Times New Roman"/>
                <w:color w:val="000000"/>
                <w:lang w:val="es-AR"/>
              </w:rPr>
              <w:t xml:space="preserve"> </w:t>
            </w:r>
            <w:proofErr w:type="spellStart"/>
            <w:r w:rsidRPr="00124C67">
              <w:rPr>
                <w:rFonts w:eastAsia="Times New Roman"/>
                <w:color w:val="000000"/>
                <w:lang w:val="es-AR"/>
              </w:rPr>
              <w:t>worker</w:t>
            </w:r>
            <w:proofErr w:type="spellEnd"/>
          </w:p>
        </w:tc>
        <w:tc>
          <w:tcPr>
            <w:tcW w:w="1281" w:type="dxa"/>
            <w:tcBorders>
              <w:top w:val="nil"/>
              <w:left w:val="nil"/>
              <w:bottom w:val="nil"/>
              <w:right w:val="nil"/>
            </w:tcBorders>
            <w:shd w:val="clear" w:color="auto" w:fill="auto"/>
            <w:noWrap/>
            <w:hideMark/>
          </w:tcPr>
          <w:p w14:paraId="0FE1864B" w14:textId="29F666B0" w:rsidR="00D20955" w:rsidRPr="00124C67" w:rsidRDefault="00D20955" w:rsidP="00D20955">
            <w:pPr>
              <w:spacing w:after="0"/>
              <w:jc w:val="center"/>
              <w:rPr>
                <w:rFonts w:eastAsia="Times New Roman"/>
                <w:color w:val="000000"/>
                <w:lang w:val="es-AR"/>
              </w:rPr>
            </w:pPr>
            <w:r w:rsidRPr="00121CBC">
              <w:t>-0.10</w:t>
            </w:r>
          </w:p>
        </w:tc>
        <w:tc>
          <w:tcPr>
            <w:tcW w:w="927" w:type="dxa"/>
            <w:tcBorders>
              <w:top w:val="nil"/>
              <w:left w:val="nil"/>
              <w:bottom w:val="nil"/>
              <w:right w:val="nil"/>
            </w:tcBorders>
            <w:shd w:val="clear" w:color="auto" w:fill="auto"/>
            <w:noWrap/>
            <w:hideMark/>
          </w:tcPr>
          <w:p w14:paraId="59E99475" w14:textId="3E4BA9FF"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70F12298" w14:textId="6A027FFA" w:rsidR="00D20955" w:rsidRPr="00124C67" w:rsidRDefault="00D20955" w:rsidP="00D20955">
            <w:pPr>
              <w:spacing w:after="0"/>
              <w:jc w:val="center"/>
              <w:rPr>
                <w:rFonts w:eastAsia="Times New Roman"/>
                <w:color w:val="000000"/>
                <w:lang w:val="es-AR"/>
              </w:rPr>
            </w:pPr>
            <w:r w:rsidRPr="00121CBC">
              <w:t>-3.40</w:t>
            </w:r>
          </w:p>
        </w:tc>
        <w:tc>
          <w:tcPr>
            <w:tcW w:w="707" w:type="dxa"/>
            <w:tcBorders>
              <w:top w:val="nil"/>
              <w:left w:val="nil"/>
              <w:bottom w:val="nil"/>
              <w:right w:val="nil"/>
            </w:tcBorders>
            <w:shd w:val="clear" w:color="auto" w:fill="auto"/>
            <w:noWrap/>
            <w:hideMark/>
          </w:tcPr>
          <w:p w14:paraId="6DC9161B" w14:textId="4D1C3CFE" w:rsidR="00D20955" w:rsidRPr="00124C67" w:rsidRDefault="00D20955" w:rsidP="00D20955">
            <w:pPr>
              <w:spacing w:after="0"/>
              <w:jc w:val="center"/>
              <w:rPr>
                <w:rFonts w:eastAsia="Times New Roman"/>
                <w:color w:val="000000"/>
                <w:lang w:val="es-AR"/>
              </w:rPr>
            </w:pPr>
            <w:r w:rsidRPr="00121CBC">
              <w:t>0.00</w:t>
            </w:r>
          </w:p>
        </w:tc>
        <w:tc>
          <w:tcPr>
            <w:tcW w:w="707" w:type="dxa"/>
            <w:tcBorders>
              <w:top w:val="nil"/>
              <w:left w:val="nil"/>
              <w:bottom w:val="nil"/>
              <w:right w:val="nil"/>
            </w:tcBorders>
            <w:shd w:val="clear" w:color="auto" w:fill="auto"/>
            <w:noWrap/>
            <w:hideMark/>
          </w:tcPr>
          <w:p w14:paraId="5661F16F" w14:textId="32224F73" w:rsidR="00D20955" w:rsidRPr="00124C67" w:rsidRDefault="00D20955" w:rsidP="00D20955">
            <w:pPr>
              <w:spacing w:after="0"/>
              <w:jc w:val="center"/>
              <w:rPr>
                <w:rFonts w:eastAsia="Times New Roman"/>
                <w:color w:val="000000"/>
                <w:lang w:val="es-AR"/>
              </w:rPr>
            </w:pPr>
            <w:r w:rsidRPr="00121CBC">
              <w:t>-0.15</w:t>
            </w:r>
          </w:p>
        </w:tc>
        <w:tc>
          <w:tcPr>
            <w:tcW w:w="1120" w:type="dxa"/>
            <w:tcBorders>
              <w:top w:val="nil"/>
              <w:left w:val="nil"/>
              <w:bottom w:val="nil"/>
              <w:right w:val="nil"/>
            </w:tcBorders>
            <w:shd w:val="clear" w:color="auto" w:fill="auto"/>
            <w:noWrap/>
            <w:hideMark/>
          </w:tcPr>
          <w:p w14:paraId="06781142" w14:textId="0E78E6D1" w:rsidR="00D20955" w:rsidRPr="00124C67" w:rsidRDefault="00D20955" w:rsidP="00D20955">
            <w:pPr>
              <w:spacing w:after="0"/>
              <w:jc w:val="center"/>
              <w:rPr>
                <w:rFonts w:eastAsia="Times New Roman"/>
                <w:color w:val="000000"/>
                <w:lang w:val="es-AR"/>
              </w:rPr>
            </w:pPr>
            <w:r w:rsidRPr="00121CBC">
              <w:t>-0.05</w:t>
            </w:r>
          </w:p>
        </w:tc>
      </w:tr>
      <w:tr w:rsidR="00D20955" w:rsidRPr="00124C67" w14:paraId="497D4B4A" w14:textId="77777777" w:rsidTr="002F0A15">
        <w:trPr>
          <w:trHeight w:val="288"/>
        </w:trPr>
        <w:tc>
          <w:tcPr>
            <w:tcW w:w="3969" w:type="dxa"/>
            <w:tcBorders>
              <w:top w:val="nil"/>
              <w:left w:val="nil"/>
              <w:bottom w:val="nil"/>
              <w:right w:val="nil"/>
            </w:tcBorders>
            <w:shd w:val="clear" w:color="auto" w:fill="auto"/>
            <w:noWrap/>
            <w:vAlign w:val="center"/>
            <w:hideMark/>
          </w:tcPr>
          <w:p w14:paraId="36E26D0B"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Independent</w:t>
            </w:r>
            <w:proofErr w:type="spellEnd"/>
            <w:r w:rsidRPr="00124C67">
              <w:rPr>
                <w:rFonts w:eastAsia="Times New Roman"/>
                <w:color w:val="000000"/>
                <w:lang w:val="es-AR"/>
              </w:rPr>
              <w:t xml:space="preserve"> </w:t>
            </w:r>
            <w:proofErr w:type="spellStart"/>
            <w:r w:rsidRPr="00124C67">
              <w:rPr>
                <w:rFonts w:eastAsia="Times New Roman"/>
                <w:color w:val="000000"/>
                <w:lang w:val="es-AR"/>
              </w:rPr>
              <w:t>worker</w:t>
            </w:r>
            <w:proofErr w:type="spellEnd"/>
          </w:p>
        </w:tc>
        <w:tc>
          <w:tcPr>
            <w:tcW w:w="1281" w:type="dxa"/>
            <w:tcBorders>
              <w:top w:val="nil"/>
              <w:left w:val="nil"/>
              <w:bottom w:val="nil"/>
              <w:right w:val="nil"/>
            </w:tcBorders>
            <w:shd w:val="clear" w:color="auto" w:fill="auto"/>
            <w:noWrap/>
            <w:hideMark/>
          </w:tcPr>
          <w:p w14:paraId="277E0F52" w14:textId="3A453718" w:rsidR="00D20955" w:rsidRPr="00124C67" w:rsidRDefault="00D20955" w:rsidP="00D20955">
            <w:pPr>
              <w:spacing w:after="0"/>
              <w:jc w:val="center"/>
              <w:rPr>
                <w:rFonts w:eastAsia="Times New Roman"/>
                <w:color w:val="000000"/>
                <w:lang w:val="es-AR"/>
              </w:rPr>
            </w:pPr>
            <w:r w:rsidRPr="00121CBC">
              <w:t>0.07</w:t>
            </w:r>
          </w:p>
        </w:tc>
        <w:tc>
          <w:tcPr>
            <w:tcW w:w="927" w:type="dxa"/>
            <w:tcBorders>
              <w:top w:val="nil"/>
              <w:left w:val="nil"/>
              <w:bottom w:val="nil"/>
              <w:right w:val="nil"/>
            </w:tcBorders>
            <w:shd w:val="clear" w:color="auto" w:fill="auto"/>
            <w:noWrap/>
            <w:hideMark/>
          </w:tcPr>
          <w:p w14:paraId="2A1E8BD7" w14:textId="40D03D17"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70E782C8" w14:textId="006EBE38" w:rsidR="00D20955" w:rsidRPr="00124C67" w:rsidRDefault="00D20955" w:rsidP="00D20955">
            <w:pPr>
              <w:spacing w:after="0"/>
              <w:jc w:val="center"/>
              <w:rPr>
                <w:rFonts w:eastAsia="Times New Roman"/>
                <w:color w:val="000000"/>
                <w:lang w:val="es-AR"/>
              </w:rPr>
            </w:pPr>
            <w:r w:rsidRPr="00121CBC">
              <w:t>2.20</w:t>
            </w:r>
          </w:p>
        </w:tc>
        <w:tc>
          <w:tcPr>
            <w:tcW w:w="707" w:type="dxa"/>
            <w:tcBorders>
              <w:top w:val="nil"/>
              <w:left w:val="nil"/>
              <w:bottom w:val="nil"/>
              <w:right w:val="nil"/>
            </w:tcBorders>
            <w:shd w:val="clear" w:color="auto" w:fill="auto"/>
            <w:noWrap/>
            <w:hideMark/>
          </w:tcPr>
          <w:p w14:paraId="7C911E06" w14:textId="6BB5B2C6" w:rsidR="00D20955" w:rsidRPr="00124C67" w:rsidRDefault="00D20955" w:rsidP="00D20955">
            <w:pPr>
              <w:spacing w:after="0"/>
              <w:jc w:val="center"/>
              <w:rPr>
                <w:rFonts w:eastAsia="Times New Roman"/>
                <w:color w:val="000000"/>
                <w:lang w:val="es-AR"/>
              </w:rPr>
            </w:pPr>
            <w:r w:rsidRPr="00121CBC">
              <w:t>0.03</w:t>
            </w:r>
          </w:p>
        </w:tc>
        <w:tc>
          <w:tcPr>
            <w:tcW w:w="707" w:type="dxa"/>
            <w:tcBorders>
              <w:top w:val="nil"/>
              <w:left w:val="nil"/>
              <w:bottom w:val="nil"/>
              <w:right w:val="nil"/>
            </w:tcBorders>
            <w:shd w:val="clear" w:color="auto" w:fill="auto"/>
            <w:noWrap/>
            <w:hideMark/>
          </w:tcPr>
          <w:p w14:paraId="6639D79F" w14:textId="51880B15" w:rsidR="00D20955" w:rsidRPr="00124C67" w:rsidRDefault="00D20955" w:rsidP="00D20955">
            <w:pPr>
              <w:spacing w:after="0"/>
              <w:jc w:val="center"/>
              <w:rPr>
                <w:rFonts w:eastAsia="Times New Roman"/>
                <w:color w:val="000000"/>
                <w:lang w:val="es-AR"/>
              </w:rPr>
            </w:pPr>
            <w:r w:rsidRPr="00121CBC">
              <w:t>0.02</w:t>
            </w:r>
          </w:p>
        </w:tc>
        <w:tc>
          <w:tcPr>
            <w:tcW w:w="1120" w:type="dxa"/>
            <w:tcBorders>
              <w:top w:val="nil"/>
              <w:left w:val="nil"/>
              <w:bottom w:val="nil"/>
              <w:right w:val="nil"/>
            </w:tcBorders>
            <w:shd w:val="clear" w:color="auto" w:fill="auto"/>
            <w:noWrap/>
            <w:hideMark/>
          </w:tcPr>
          <w:p w14:paraId="5411C9F3" w14:textId="78B53364" w:rsidR="00D20955" w:rsidRPr="00124C67" w:rsidRDefault="00D20955" w:rsidP="00D20955">
            <w:pPr>
              <w:spacing w:after="0"/>
              <w:jc w:val="center"/>
              <w:rPr>
                <w:rFonts w:eastAsia="Times New Roman"/>
                <w:color w:val="000000"/>
                <w:lang w:val="es-AR"/>
              </w:rPr>
            </w:pPr>
            <w:r w:rsidRPr="00121CBC">
              <w:t>0.12</w:t>
            </w:r>
          </w:p>
        </w:tc>
      </w:tr>
      <w:tr w:rsidR="00D20955" w:rsidRPr="00BF5447" w14:paraId="2B80D83F" w14:textId="77777777" w:rsidTr="002F0A15">
        <w:trPr>
          <w:trHeight w:val="576"/>
        </w:trPr>
        <w:tc>
          <w:tcPr>
            <w:tcW w:w="3969" w:type="dxa"/>
            <w:tcBorders>
              <w:top w:val="nil"/>
              <w:left w:val="nil"/>
              <w:bottom w:val="nil"/>
              <w:right w:val="nil"/>
            </w:tcBorders>
            <w:shd w:val="clear" w:color="auto" w:fill="auto"/>
            <w:vAlign w:val="center"/>
            <w:hideMark/>
          </w:tcPr>
          <w:p w14:paraId="66BE31D1" w14:textId="77777777" w:rsidR="00D20955" w:rsidRPr="007D3DD1" w:rsidRDefault="00D20955" w:rsidP="00D20955">
            <w:pPr>
              <w:spacing w:after="0"/>
              <w:jc w:val="left"/>
              <w:rPr>
                <w:rFonts w:eastAsia="Times New Roman"/>
                <w:b/>
                <w:bCs/>
                <w:color w:val="000000"/>
                <w:lang w:val="en-US"/>
              </w:rPr>
            </w:pPr>
            <w:proofErr w:type="spellStart"/>
            <w:r w:rsidRPr="007D3DD1">
              <w:rPr>
                <w:rFonts w:eastAsia="Times New Roman"/>
                <w:b/>
                <w:bCs/>
                <w:color w:val="000000"/>
                <w:lang w:val="en-US"/>
              </w:rPr>
              <w:t>LaborContract</w:t>
            </w:r>
            <w:proofErr w:type="spellEnd"/>
            <w:r w:rsidRPr="007D3DD1">
              <w:rPr>
                <w:rFonts w:eastAsia="Times New Roman"/>
                <w:b/>
                <w:bCs/>
                <w:color w:val="000000"/>
                <w:lang w:val="en-US"/>
              </w:rPr>
              <w:t xml:space="preserve"> (base case: </w:t>
            </w:r>
            <w:r>
              <w:rPr>
                <w:rFonts w:eastAsia="Times New Roman"/>
                <w:b/>
                <w:bCs/>
                <w:color w:val="000000"/>
                <w:lang w:val="en-US"/>
              </w:rPr>
              <w:t>informal</w:t>
            </w:r>
            <w:r w:rsidRPr="007D3DD1">
              <w:rPr>
                <w:rFonts w:eastAsia="Times New Roman"/>
                <w:b/>
                <w:bCs/>
                <w:color w:val="000000"/>
                <w:lang w:val="en-US"/>
              </w:rPr>
              <w:t xml:space="preserve"> wage worker</w:t>
            </w:r>
            <w:r>
              <w:rPr>
                <w:rFonts w:eastAsia="Times New Roman"/>
                <w:b/>
                <w:bCs/>
                <w:color w:val="000000"/>
                <w:lang w:val="en-US"/>
              </w:rPr>
              <w:t>)</w:t>
            </w:r>
          </w:p>
        </w:tc>
        <w:tc>
          <w:tcPr>
            <w:tcW w:w="1281" w:type="dxa"/>
            <w:tcBorders>
              <w:top w:val="nil"/>
              <w:left w:val="nil"/>
              <w:bottom w:val="nil"/>
              <w:right w:val="nil"/>
            </w:tcBorders>
            <w:shd w:val="clear" w:color="auto" w:fill="auto"/>
            <w:noWrap/>
            <w:hideMark/>
          </w:tcPr>
          <w:p w14:paraId="298A1A42" w14:textId="77777777" w:rsidR="00D20955" w:rsidRPr="007D3DD1" w:rsidRDefault="00D20955" w:rsidP="00D20955">
            <w:pPr>
              <w:spacing w:after="0"/>
              <w:jc w:val="center"/>
              <w:rPr>
                <w:rFonts w:eastAsia="Times New Roman"/>
                <w:b/>
                <w:bCs/>
                <w:color w:val="000000"/>
                <w:lang w:val="en-US"/>
              </w:rPr>
            </w:pPr>
          </w:p>
        </w:tc>
        <w:tc>
          <w:tcPr>
            <w:tcW w:w="927" w:type="dxa"/>
            <w:tcBorders>
              <w:top w:val="nil"/>
              <w:left w:val="nil"/>
              <w:bottom w:val="nil"/>
              <w:right w:val="nil"/>
            </w:tcBorders>
            <w:shd w:val="clear" w:color="auto" w:fill="auto"/>
            <w:noWrap/>
            <w:hideMark/>
          </w:tcPr>
          <w:p w14:paraId="321E2F11"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901" w:type="dxa"/>
            <w:tcBorders>
              <w:top w:val="nil"/>
              <w:left w:val="nil"/>
              <w:bottom w:val="nil"/>
              <w:right w:val="nil"/>
            </w:tcBorders>
            <w:shd w:val="clear" w:color="auto" w:fill="auto"/>
            <w:noWrap/>
            <w:hideMark/>
          </w:tcPr>
          <w:p w14:paraId="4B0077E4"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707" w:type="dxa"/>
            <w:tcBorders>
              <w:top w:val="nil"/>
              <w:left w:val="nil"/>
              <w:bottom w:val="nil"/>
              <w:right w:val="nil"/>
            </w:tcBorders>
            <w:shd w:val="clear" w:color="auto" w:fill="auto"/>
            <w:noWrap/>
            <w:hideMark/>
          </w:tcPr>
          <w:p w14:paraId="6C044210"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707" w:type="dxa"/>
            <w:tcBorders>
              <w:top w:val="nil"/>
              <w:left w:val="nil"/>
              <w:bottom w:val="nil"/>
              <w:right w:val="nil"/>
            </w:tcBorders>
            <w:shd w:val="clear" w:color="auto" w:fill="auto"/>
            <w:noWrap/>
            <w:hideMark/>
          </w:tcPr>
          <w:p w14:paraId="7A6750A7"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hideMark/>
          </w:tcPr>
          <w:p w14:paraId="688E05C9" w14:textId="77777777" w:rsidR="00D20955" w:rsidRPr="007D3DD1" w:rsidRDefault="00D20955" w:rsidP="00D20955">
            <w:pPr>
              <w:spacing w:after="0"/>
              <w:jc w:val="center"/>
              <w:rPr>
                <w:rFonts w:ascii="Times New Roman" w:eastAsia="Times New Roman" w:hAnsi="Times New Roman" w:cs="Times New Roman"/>
                <w:sz w:val="20"/>
                <w:szCs w:val="20"/>
                <w:lang w:val="en-US"/>
              </w:rPr>
            </w:pPr>
          </w:p>
        </w:tc>
      </w:tr>
      <w:tr w:rsidR="00D20955" w:rsidRPr="00124C67" w14:paraId="0ED0012C" w14:textId="77777777" w:rsidTr="002F0A15">
        <w:trPr>
          <w:trHeight w:val="288"/>
        </w:trPr>
        <w:tc>
          <w:tcPr>
            <w:tcW w:w="3969" w:type="dxa"/>
            <w:tcBorders>
              <w:top w:val="nil"/>
              <w:left w:val="nil"/>
              <w:bottom w:val="nil"/>
              <w:right w:val="nil"/>
            </w:tcBorders>
            <w:shd w:val="clear" w:color="auto" w:fill="auto"/>
            <w:noWrap/>
            <w:vAlign w:val="center"/>
            <w:hideMark/>
          </w:tcPr>
          <w:p w14:paraId="08F4B5C4" w14:textId="77777777" w:rsidR="00D20955" w:rsidRPr="00124C67" w:rsidRDefault="00D20955" w:rsidP="00D20955">
            <w:pPr>
              <w:spacing w:after="0"/>
              <w:jc w:val="left"/>
              <w:rPr>
                <w:rFonts w:eastAsia="Times New Roman"/>
                <w:color w:val="000000"/>
                <w:lang w:val="es-AR"/>
              </w:rPr>
            </w:pPr>
            <w:r>
              <w:rPr>
                <w:rFonts w:eastAsia="Times New Roman"/>
                <w:color w:val="000000"/>
                <w:lang w:val="es-AR"/>
              </w:rPr>
              <w:t xml:space="preserve">Formal </w:t>
            </w:r>
            <w:proofErr w:type="spellStart"/>
            <w:r w:rsidRPr="00124C67">
              <w:rPr>
                <w:rFonts w:eastAsia="Times New Roman"/>
                <w:color w:val="000000"/>
                <w:lang w:val="es-AR"/>
              </w:rPr>
              <w:t>wage</w:t>
            </w:r>
            <w:proofErr w:type="spellEnd"/>
            <w:r w:rsidRPr="00124C67">
              <w:rPr>
                <w:rFonts w:eastAsia="Times New Roman"/>
                <w:color w:val="000000"/>
                <w:lang w:val="es-AR"/>
              </w:rPr>
              <w:t xml:space="preserve"> </w:t>
            </w:r>
            <w:proofErr w:type="spellStart"/>
            <w:r w:rsidRPr="00124C67">
              <w:rPr>
                <w:rFonts w:eastAsia="Times New Roman"/>
                <w:color w:val="000000"/>
                <w:lang w:val="es-AR"/>
              </w:rPr>
              <w:t>worker</w:t>
            </w:r>
            <w:proofErr w:type="spellEnd"/>
          </w:p>
        </w:tc>
        <w:tc>
          <w:tcPr>
            <w:tcW w:w="1281" w:type="dxa"/>
            <w:tcBorders>
              <w:top w:val="nil"/>
              <w:left w:val="nil"/>
              <w:bottom w:val="nil"/>
              <w:right w:val="nil"/>
            </w:tcBorders>
            <w:shd w:val="clear" w:color="auto" w:fill="auto"/>
            <w:noWrap/>
            <w:hideMark/>
          </w:tcPr>
          <w:p w14:paraId="2EEDE19E" w14:textId="362F83B0" w:rsidR="00D20955" w:rsidRPr="00124C67" w:rsidRDefault="00D20955" w:rsidP="00D20955">
            <w:pPr>
              <w:spacing w:after="0"/>
              <w:jc w:val="center"/>
              <w:rPr>
                <w:rFonts w:eastAsia="Times New Roman"/>
                <w:color w:val="000000"/>
                <w:lang w:val="es-AR"/>
              </w:rPr>
            </w:pPr>
            <w:r w:rsidRPr="00121CBC">
              <w:t>0.06</w:t>
            </w:r>
          </w:p>
        </w:tc>
        <w:tc>
          <w:tcPr>
            <w:tcW w:w="927" w:type="dxa"/>
            <w:tcBorders>
              <w:top w:val="nil"/>
              <w:left w:val="nil"/>
              <w:bottom w:val="nil"/>
              <w:right w:val="nil"/>
            </w:tcBorders>
            <w:shd w:val="clear" w:color="auto" w:fill="auto"/>
            <w:noWrap/>
            <w:hideMark/>
          </w:tcPr>
          <w:p w14:paraId="76F533D3" w14:textId="25BD214A" w:rsidR="00D20955" w:rsidRPr="00124C67" w:rsidRDefault="00D20955" w:rsidP="00D20955">
            <w:pPr>
              <w:spacing w:after="0"/>
              <w:jc w:val="center"/>
              <w:rPr>
                <w:rFonts w:eastAsia="Times New Roman"/>
                <w:color w:val="000000"/>
                <w:lang w:val="es-AR"/>
              </w:rPr>
            </w:pPr>
            <w:r w:rsidRPr="00121CBC">
              <w:t>0.03</w:t>
            </w:r>
          </w:p>
        </w:tc>
        <w:tc>
          <w:tcPr>
            <w:tcW w:w="901" w:type="dxa"/>
            <w:tcBorders>
              <w:top w:val="nil"/>
              <w:left w:val="nil"/>
              <w:bottom w:val="nil"/>
              <w:right w:val="nil"/>
            </w:tcBorders>
            <w:shd w:val="clear" w:color="auto" w:fill="auto"/>
            <w:noWrap/>
            <w:hideMark/>
          </w:tcPr>
          <w:p w14:paraId="37D22628" w14:textId="5CE4829A" w:rsidR="00D20955" w:rsidRPr="00124C67" w:rsidRDefault="00D20955" w:rsidP="00D20955">
            <w:pPr>
              <w:spacing w:after="0"/>
              <w:jc w:val="center"/>
              <w:rPr>
                <w:rFonts w:eastAsia="Times New Roman"/>
                <w:color w:val="000000"/>
                <w:lang w:val="es-AR"/>
              </w:rPr>
            </w:pPr>
            <w:r w:rsidRPr="00121CBC">
              <w:t>1.99</w:t>
            </w:r>
          </w:p>
        </w:tc>
        <w:tc>
          <w:tcPr>
            <w:tcW w:w="707" w:type="dxa"/>
            <w:tcBorders>
              <w:top w:val="nil"/>
              <w:left w:val="nil"/>
              <w:bottom w:val="nil"/>
              <w:right w:val="nil"/>
            </w:tcBorders>
            <w:shd w:val="clear" w:color="auto" w:fill="auto"/>
            <w:noWrap/>
            <w:hideMark/>
          </w:tcPr>
          <w:p w14:paraId="140E93CB" w14:textId="6E4B75DF" w:rsidR="00D20955" w:rsidRPr="00124C67" w:rsidRDefault="00D20955" w:rsidP="00D20955">
            <w:pPr>
              <w:spacing w:after="0"/>
              <w:jc w:val="center"/>
              <w:rPr>
                <w:rFonts w:eastAsia="Times New Roman"/>
                <w:color w:val="000000"/>
                <w:lang w:val="es-AR"/>
              </w:rPr>
            </w:pPr>
            <w:r w:rsidRPr="00121CBC">
              <w:t>0.05</w:t>
            </w:r>
          </w:p>
        </w:tc>
        <w:tc>
          <w:tcPr>
            <w:tcW w:w="707" w:type="dxa"/>
            <w:tcBorders>
              <w:top w:val="nil"/>
              <w:left w:val="nil"/>
              <w:bottom w:val="nil"/>
              <w:right w:val="nil"/>
            </w:tcBorders>
            <w:shd w:val="clear" w:color="auto" w:fill="auto"/>
            <w:noWrap/>
            <w:hideMark/>
          </w:tcPr>
          <w:p w14:paraId="0E487C42" w14:textId="739723CC" w:rsidR="00D20955" w:rsidRPr="00124C67" w:rsidRDefault="00D20955" w:rsidP="00D20955">
            <w:pPr>
              <w:spacing w:after="0"/>
              <w:jc w:val="center"/>
              <w:rPr>
                <w:rFonts w:eastAsia="Times New Roman"/>
                <w:color w:val="000000"/>
                <w:lang w:val="es-AR"/>
              </w:rPr>
            </w:pPr>
            <w:r w:rsidRPr="00121CBC">
              <w:t>0.01</w:t>
            </w:r>
          </w:p>
        </w:tc>
        <w:tc>
          <w:tcPr>
            <w:tcW w:w="1120" w:type="dxa"/>
            <w:tcBorders>
              <w:top w:val="nil"/>
              <w:left w:val="nil"/>
              <w:bottom w:val="nil"/>
              <w:right w:val="nil"/>
            </w:tcBorders>
            <w:shd w:val="clear" w:color="auto" w:fill="auto"/>
            <w:noWrap/>
            <w:hideMark/>
          </w:tcPr>
          <w:p w14:paraId="0DD3BB95" w14:textId="6453FCCE" w:rsidR="00D20955" w:rsidRPr="00124C67" w:rsidRDefault="00D20955" w:rsidP="00D20955">
            <w:pPr>
              <w:spacing w:after="0"/>
              <w:jc w:val="center"/>
              <w:rPr>
                <w:rFonts w:eastAsia="Times New Roman"/>
                <w:color w:val="000000"/>
                <w:lang w:val="es-AR"/>
              </w:rPr>
            </w:pPr>
            <w:r w:rsidRPr="00121CBC">
              <w:t>0.11</w:t>
            </w:r>
          </w:p>
        </w:tc>
      </w:tr>
      <w:tr w:rsidR="00D20955" w:rsidRPr="00124C67" w14:paraId="22F53567" w14:textId="77777777" w:rsidTr="002F0A15">
        <w:trPr>
          <w:trHeight w:val="288"/>
        </w:trPr>
        <w:tc>
          <w:tcPr>
            <w:tcW w:w="3969" w:type="dxa"/>
            <w:tcBorders>
              <w:top w:val="nil"/>
              <w:left w:val="nil"/>
              <w:bottom w:val="nil"/>
              <w:right w:val="nil"/>
            </w:tcBorders>
            <w:shd w:val="clear" w:color="auto" w:fill="auto"/>
            <w:noWrap/>
            <w:vAlign w:val="center"/>
            <w:hideMark/>
          </w:tcPr>
          <w:p w14:paraId="5CC9B7BE" w14:textId="77777777" w:rsidR="00D20955" w:rsidRPr="00124C67" w:rsidRDefault="00D20955" w:rsidP="00D20955">
            <w:pPr>
              <w:spacing w:after="0"/>
              <w:jc w:val="left"/>
              <w:rPr>
                <w:rFonts w:eastAsia="Times New Roman"/>
                <w:color w:val="000000"/>
                <w:lang w:val="es-AR"/>
              </w:rPr>
            </w:pPr>
            <w:proofErr w:type="spellStart"/>
            <w:r w:rsidRPr="00124C67">
              <w:rPr>
                <w:rFonts w:eastAsia="Times New Roman"/>
                <w:color w:val="000000"/>
                <w:lang w:val="es-AR"/>
              </w:rPr>
              <w:t>Independent</w:t>
            </w:r>
            <w:proofErr w:type="spellEnd"/>
            <w:r w:rsidRPr="00124C67">
              <w:rPr>
                <w:rFonts w:eastAsia="Times New Roman"/>
                <w:color w:val="000000"/>
                <w:lang w:val="es-AR"/>
              </w:rPr>
              <w:t xml:space="preserve"> </w:t>
            </w:r>
            <w:proofErr w:type="spellStart"/>
            <w:r w:rsidRPr="00124C67">
              <w:rPr>
                <w:rFonts w:eastAsia="Times New Roman"/>
                <w:color w:val="000000"/>
                <w:lang w:val="es-AR"/>
              </w:rPr>
              <w:t>worker</w:t>
            </w:r>
            <w:proofErr w:type="spellEnd"/>
          </w:p>
        </w:tc>
        <w:tc>
          <w:tcPr>
            <w:tcW w:w="1281" w:type="dxa"/>
            <w:tcBorders>
              <w:top w:val="nil"/>
              <w:left w:val="nil"/>
              <w:bottom w:val="nil"/>
              <w:right w:val="nil"/>
            </w:tcBorders>
            <w:shd w:val="clear" w:color="auto" w:fill="auto"/>
            <w:noWrap/>
            <w:hideMark/>
          </w:tcPr>
          <w:p w14:paraId="419AEE28" w14:textId="46B95FF4" w:rsidR="00D20955" w:rsidRPr="00124C67" w:rsidRDefault="00D20955" w:rsidP="00D20955">
            <w:pPr>
              <w:spacing w:after="0"/>
              <w:jc w:val="center"/>
              <w:rPr>
                <w:rFonts w:eastAsia="Times New Roman"/>
                <w:color w:val="000000"/>
                <w:lang w:val="es-AR"/>
              </w:rPr>
            </w:pPr>
            <w:r w:rsidRPr="00121CBC">
              <w:t>-0.11</w:t>
            </w:r>
          </w:p>
        </w:tc>
        <w:tc>
          <w:tcPr>
            <w:tcW w:w="927" w:type="dxa"/>
            <w:tcBorders>
              <w:top w:val="nil"/>
              <w:left w:val="nil"/>
              <w:bottom w:val="nil"/>
              <w:right w:val="nil"/>
            </w:tcBorders>
            <w:shd w:val="clear" w:color="auto" w:fill="auto"/>
            <w:noWrap/>
            <w:hideMark/>
          </w:tcPr>
          <w:p w14:paraId="6FAF5137" w14:textId="15693A43" w:rsidR="00D20955" w:rsidRPr="00124C67" w:rsidRDefault="00D20955" w:rsidP="00D20955">
            <w:pPr>
              <w:spacing w:after="0"/>
              <w:jc w:val="center"/>
              <w:rPr>
                <w:rFonts w:eastAsia="Times New Roman"/>
                <w:color w:val="000000"/>
                <w:lang w:val="es-AR"/>
              </w:rPr>
            </w:pPr>
            <w:r w:rsidRPr="00121CBC">
              <w:t>0.04</w:t>
            </w:r>
          </w:p>
        </w:tc>
        <w:tc>
          <w:tcPr>
            <w:tcW w:w="901" w:type="dxa"/>
            <w:tcBorders>
              <w:top w:val="nil"/>
              <w:left w:val="nil"/>
              <w:bottom w:val="nil"/>
              <w:right w:val="nil"/>
            </w:tcBorders>
            <w:shd w:val="clear" w:color="auto" w:fill="auto"/>
            <w:noWrap/>
            <w:hideMark/>
          </w:tcPr>
          <w:p w14:paraId="33CB9F45" w14:textId="1C2EC596" w:rsidR="00D20955" w:rsidRPr="00124C67" w:rsidRDefault="00D20955" w:rsidP="00D20955">
            <w:pPr>
              <w:spacing w:after="0"/>
              <w:jc w:val="center"/>
              <w:rPr>
                <w:rFonts w:eastAsia="Times New Roman"/>
                <w:color w:val="000000"/>
                <w:lang w:val="es-AR"/>
              </w:rPr>
            </w:pPr>
            <w:r w:rsidRPr="00121CBC">
              <w:t>-3.04</w:t>
            </w:r>
          </w:p>
        </w:tc>
        <w:tc>
          <w:tcPr>
            <w:tcW w:w="707" w:type="dxa"/>
            <w:tcBorders>
              <w:top w:val="nil"/>
              <w:left w:val="nil"/>
              <w:bottom w:val="nil"/>
              <w:right w:val="nil"/>
            </w:tcBorders>
            <w:shd w:val="clear" w:color="auto" w:fill="auto"/>
            <w:noWrap/>
            <w:hideMark/>
          </w:tcPr>
          <w:p w14:paraId="25A9F050" w14:textId="54665B08" w:rsidR="00D20955" w:rsidRPr="00124C67" w:rsidRDefault="00D20955" w:rsidP="00D20955">
            <w:pPr>
              <w:spacing w:after="0"/>
              <w:jc w:val="center"/>
              <w:rPr>
                <w:rFonts w:eastAsia="Times New Roman"/>
                <w:color w:val="000000"/>
                <w:lang w:val="es-AR"/>
              </w:rPr>
            </w:pPr>
            <w:r w:rsidRPr="00121CBC">
              <w:t>0.00</w:t>
            </w:r>
          </w:p>
        </w:tc>
        <w:tc>
          <w:tcPr>
            <w:tcW w:w="707" w:type="dxa"/>
            <w:tcBorders>
              <w:top w:val="nil"/>
              <w:left w:val="nil"/>
              <w:bottom w:val="nil"/>
              <w:right w:val="nil"/>
            </w:tcBorders>
            <w:shd w:val="clear" w:color="auto" w:fill="auto"/>
            <w:noWrap/>
            <w:hideMark/>
          </w:tcPr>
          <w:p w14:paraId="0374E32A" w14:textId="40E2D130" w:rsidR="00D20955" w:rsidRPr="00124C67" w:rsidRDefault="00D20955" w:rsidP="00D20955">
            <w:pPr>
              <w:spacing w:after="0"/>
              <w:jc w:val="center"/>
              <w:rPr>
                <w:rFonts w:eastAsia="Times New Roman"/>
                <w:color w:val="000000"/>
                <w:lang w:val="es-AR"/>
              </w:rPr>
            </w:pPr>
            <w:r w:rsidRPr="00121CBC">
              <w:t>-0.17</w:t>
            </w:r>
          </w:p>
        </w:tc>
        <w:tc>
          <w:tcPr>
            <w:tcW w:w="1120" w:type="dxa"/>
            <w:tcBorders>
              <w:top w:val="nil"/>
              <w:left w:val="nil"/>
              <w:bottom w:val="nil"/>
              <w:right w:val="nil"/>
            </w:tcBorders>
            <w:shd w:val="clear" w:color="auto" w:fill="auto"/>
            <w:noWrap/>
            <w:hideMark/>
          </w:tcPr>
          <w:p w14:paraId="363B7B47" w14:textId="3E4DE585" w:rsidR="00D20955" w:rsidRPr="00124C67" w:rsidRDefault="00D20955" w:rsidP="00D20955">
            <w:pPr>
              <w:spacing w:after="0"/>
              <w:jc w:val="center"/>
              <w:rPr>
                <w:rFonts w:eastAsia="Times New Roman"/>
                <w:color w:val="000000"/>
                <w:lang w:val="es-AR"/>
              </w:rPr>
            </w:pPr>
            <w:r w:rsidRPr="00121CBC">
              <w:t>-0.05</w:t>
            </w:r>
          </w:p>
        </w:tc>
      </w:tr>
      <w:tr w:rsidR="00D20955" w:rsidRPr="00124C67" w14:paraId="7AF1F68A" w14:textId="77777777" w:rsidTr="002F0A15">
        <w:trPr>
          <w:trHeight w:val="288"/>
        </w:trPr>
        <w:tc>
          <w:tcPr>
            <w:tcW w:w="3969" w:type="dxa"/>
            <w:tcBorders>
              <w:top w:val="single" w:sz="4" w:space="0" w:color="auto"/>
              <w:left w:val="nil"/>
              <w:bottom w:val="nil"/>
              <w:right w:val="nil"/>
            </w:tcBorders>
            <w:shd w:val="clear" w:color="auto" w:fill="auto"/>
            <w:noWrap/>
            <w:vAlign w:val="center"/>
            <w:hideMark/>
          </w:tcPr>
          <w:p w14:paraId="340E6565" w14:textId="77777777" w:rsidR="00D20955" w:rsidRPr="00124C67" w:rsidRDefault="00D20955" w:rsidP="00D20955">
            <w:pPr>
              <w:spacing w:after="0"/>
              <w:jc w:val="left"/>
              <w:rPr>
                <w:rFonts w:eastAsia="Times New Roman"/>
                <w:color w:val="000000"/>
                <w:lang w:val="es-AR"/>
              </w:rPr>
            </w:pPr>
            <w:r w:rsidRPr="00124C67">
              <w:rPr>
                <w:rFonts w:eastAsia="Times New Roman"/>
                <w:color w:val="000000"/>
                <w:lang w:val="es-AR"/>
              </w:rPr>
              <w:t>R2</w:t>
            </w:r>
          </w:p>
        </w:tc>
        <w:tc>
          <w:tcPr>
            <w:tcW w:w="1281" w:type="dxa"/>
            <w:tcBorders>
              <w:top w:val="single" w:sz="4" w:space="0" w:color="auto"/>
              <w:left w:val="nil"/>
              <w:bottom w:val="nil"/>
              <w:right w:val="nil"/>
            </w:tcBorders>
            <w:shd w:val="clear" w:color="auto" w:fill="auto"/>
            <w:noWrap/>
            <w:hideMark/>
          </w:tcPr>
          <w:p w14:paraId="27549747" w14:textId="1BB74746" w:rsidR="00D20955" w:rsidRPr="00124C67" w:rsidRDefault="00D20955" w:rsidP="00D20955">
            <w:pPr>
              <w:spacing w:after="0"/>
              <w:jc w:val="center"/>
              <w:rPr>
                <w:rFonts w:eastAsia="Times New Roman"/>
                <w:color w:val="000000"/>
                <w:lang w:val="es-AR"/>
              </w:rPr>
            </w:pPr>
            <w:r w:rsidRPr="00121CBC">
              <w:t>0.01</w:t>
            </w:r>
          </w:p>
        </w:tc>
        <w:tc>
          <w:tcPr>
            <w:tcW w:w="927" w:type="dxa"/>
            <w:tcBorders>
              <w:top w:val="single" w:sz="4" w:space="0" w:color="auto"/>
              <w:left w:val="nil"/>
              <w:bottom w:val="nil"/>
              <w:right w:val="nil"/>
            </w:tcBorders>
            <w:shd w:val="clear" w:color="auto" w:fill="auto"/>
            <w:noWrap/>
            <w:hideMark/>
          </w:tcPr>
          <w:p w14:paraId="733C527C" w14:textId="731E5622" w:rsidR="00D20955" w:rsidRPr="00124C67" w:rsidRDefault="00D20955" w:rsidP="00D20955">
            <w:pPr>
              <w:spacing w:after="0"/>
              <w:jc w:val="center"/>
              <w:rPr>
                <w:rFonts w:eastAsia="Times New Roman"/>
                <w:color w:val="000000"/>
                <w:lang w:val="es-AR"/>
              </w:rPr>
            </w:pPr>
            <w:r w:rsidRPr="00121CBC">
              <w:t>#N/A</w:t>
            </w:r>
          </w:p>
        </w:tc>
        <w:tc>
          <w:tcPr>
            <w:tcW w:w="901" w:type="dxa"/>
            <w:tcBorders>
              <w:top w:val="single" w:sz="4" w:space="0" w:color="auto"/>
              <w:left w:val="nil"/>
              <w:bottom w:val="nil"/>
              <w:right w:val="nil"/>
            </w:tcBorders>
            <w:shd w:val="clear" w:color="auto" w:fill="auto"/>
            <w:noWrap/>
            <w:hideMark/>
          </w:tcPr>
          <w:p w14:paraId="6C355B20" w14:textId="1329D09C" w:rsidR="00D20955" w:rsidRPr="00124C67" w:rsidRDefault="00D20955" w:rsidP="00D20955">
            <w:pPr>
              <w:spacing w:after="0"/>
              <w:jc w:val="center"/>
              <w:rPr>
                <w:rFonts w:eastAsia="Times New Roman"/>
                <w:color w:val="000000"/>
                <w:lang w:val="es-AR"/>
              </w:rPr>
            </w:pPr>
            <w:r w:rsidRPr="00121CBC">
              <w:t>#N/A</w:t>
            </w:r>
          </w:p>
        </w:tc>
        <w:tc>
          <w:tcPr>
            <w:tcW w:w="707" w:type="dxa"/>
            <w:tcBorders>
              <w:top w:val="single" w:sz="4" w:space="0" w:color="auto"/>
              <w:left w:val="nil"/>
              <w:bottom w:val="nil"/>
              <w:right w:val="nil"/>
            </w:tcBorders>
            <w:shd w:val="clear" w:color="auto" w:fill="auto"/>
            <w:noWrap/>
            <w:hideMark/>
          </w:tcPr>
          <w:p w14:paraId="55F5D309" w14:textId="6FE870AD" w:rsidR="00D20955" w:rsidRPr="00124C67" w:rsidRDefault="00D20955" w:rsidP="00D20955">
            <w:pPr>
              <w:spacing w:after="0"/>
              <w:jc w:val="center"/>
              <w:rPr>
                <w:rFonts w:eastAsia="Times New Roman"/>
                <w:color w:val="000000"/>
                <w:lang w:val="es-AR"/>
              </w:rPr>
            </w:pPr>
            <w:r w:rsidRPr="00121CBC">
              <w:t>#N/A</w:t>
            </w:r>
          </w:p>
        </w:tc>
        <w:tc>
          <w:tcPr>
            <w:tcW w:w="707" w:type="dxa"/>
            <w:tcBorders>
              <w:top w:val="single" w:sz="4" w:space="0" w:color="auto"/>
              <w:left w:val="nil"/>
              <w:bottom w:val="nil"/>
              <w:right w:val="nil"/>
            </w:tcBorders>
            <w:shd w:val="clear" w:color="auto" w:fill="auto"/>
            <w:noWrap/>
            <w:hideMark/>
          </w:tcPr>
          <w:p w14:paraId="52ADD636" w14:textId="46321D3F" w:rsidR="00D20955" w:rsidRPr="00124C67" w:rsidRDefault="00D20955" w:rsidP="00D20955">
            <w:pPr>
              <w:spacing w:after="0"/>
              <w:jc w:val="center"/>
              <w:rPr>
                <w:rFonts w:eastAsia="Times New Roman"/>
                <w:color w:val="000000"/>
                <w:lang w:val="es-AR"/>
              </w:rPr>
            </w:pPr>
            <w:r w:rsidRPr="00121CBC">
              <w:t>#N/A</w:t>
            </w:r>
          </w:p>
        </w:tc>
        <w:tc>
          <w:tcPr>
            <w:tcW w:w="1120" w:type="dxa"/>
            <w:tcBorders>
              <w:top w:val="single" w:sz="4" w:space="0" w:color="auto"/>
              <w:left w:val="nil"/>
              <w:bottom w:val="nil"/>
              <w:right w:val="nil"/>
            </w:tcBorders>
            <w:shd w:val="clear" w:color="auto" w:fill="auto"/>
            <w:noWrap/>
            <w:hideMark/>
          </w:tcPr>
          <w:p w14:paraId="71FFBC91" w14:textId="0294A603" w:rsidR="00D20955" w:rsidRPr="00124C67" w:rsidRDefault="00D20955" w:rsidP="00D20955">
            <w:pPr>
              <w:spacing w:after="0"/>
              <w:jc w:val="center"/>
              <w:rPr>
                <w:rFonts w:eastAsia="Times New Roman"/>
                <w:color w:val="000000"/>
                <w:lang w:val="es-AR"/>
              </w:rPr>
            </w:pPr>
            <w:r w:rsidRPr="00121CBC">
              <w:t>#N/A</w:t>
            </w:r>
          </w:p>
        </w:tc>
      </w:tr>
      <w:tr w:rsidR="00D20955" w:rsidRPr="00124C67" w14:paraId="2050AD15" w14:textId="77777777" w:rsidTr="002F0A15">
        <w:trPr>
          <w:trHeight w:val="288"/>
        </w:trPr>
        <w:tc>
          <w:tcPr>
            <w:tcW w:w="3969" w:type="dxa"/>
            <w:tcBorders>
              <w:top w:val="nil"/>
              <w:left w:val="nil"/>
              <w:bottom w:val="single" w:sz="4" w:space="0" w:color="auto"/>
              <w:right w:val="nil"/>
            </w:tcBorders>
            <w:shd w:val="clear" w:color="auto" w:fill="auto"/>
            <w:noWrap/>
            <w:vAlign w:val="center"/>
            <w:hideMark/>
          </w:tcPr>
          <w:p w14:paraId="2F8C13AE" w14:textId="77777777" w:rsidR="00D20955" w:rsidRPr="00124C67" w:rsidRDefault="00D20955" w:rsidP="00D20955">
            <w:pPr>
              <w:spacing w:after="0"/>
              <w:jc w:val="left"/>
              <w:rPr>
                <w:rFonts w:eastAsia="Times New Roman"/>
                <w:color w:val="000000"/>
                <w:lang w:val="es-AR"/>
              </w:rPr>
            </w:pPr>
            <w:r w:rsidRPr="00124C67">
              <w:rPr>
                <w:rFonts w:eastAsia="Times New Roman"/>
                <w:color w:val="000000"/>
                <w:lang w:val="es-AR"/>
              </w:rPr>
              <w:t>n</w:t>
            </w:r>
          </w:p>
        </w:tc>
        <w:tc>
          <w:tcPr>
            <w:tcW w:w="1281" w:type="dxa"/>
            <w:tcBorders>
              <w:top w:val="nil"/>
              <w:left w:val="nil"/>
              <w:bottom w:val="single" w:sz="4" w:space="0" w:color="auto"/>
              <w:right w:val="nil"/>
            </w:tcBorders>
            <w:shd w:val="clear" w:color="auto" w:fill="auto"/>
            <w:noWrap/>
            <w:hideMark/>
          </w:tcPr>
          <w:p w14:paraId="2BDBC451" w14:textId="00E8DAD4" w:rsidR="00D20955" w:rsidRPr="00124C67" w:rsidRDefault="00D20955" w:rsidP="00D20955">
            <w:pPr>
              <w:spacing w:after="0"/>
              <w:jc w:val="center"/>
              <w:rPr>
                <w:rFonts w:eastAsia="Times New Roman"/>
                <w:color w:val="000000"/>
                <w:lang w:val="es-AR"/>
              </w:rPr>
            </w:pPr>
            <w:r w:rsidRPr="00121CBC">
              <w:t>4896.00</w:t>
            </w:r>
          </w:p>
        </w:tc>
        <w:tc>
          <w:tcPr>
            <w:tcW w:w="927" w:type="dxa"/>
            <w:tcBorders>
              <w:top w:val="nil"/>
              <w:left w:val="nil"/>
              <w:bottom w:val="single" w:sz="4" w:space="0" w:color="auto"/>
              <w:right w:val="nil"/>
            </w:tcBorders>
            <w:shd w:val="clear" w:color="auto" w:fill="auto"/>
            <w:noWrap/>
            <w:hideMark/>
          </w:tcPr>
          <w:p w14:paraId="2907238E" w14:textId="5B85E24E" w:rsidR="00D20955" w:rsidRPr="00124C67" w:rsidRDefault="00D20955" w:rsidP="00D20955">
            <w:pPr>
              <w:spacing w:after="0"/>
              <w:jc w:val="center"/>
              <w:rPr>
                <w:rFonts w:eastAsia="Times New Roman"/>
                <w:color w:val="000000"/>
                <w:lang w:val="es-AR"/>
              </w:rPr>
            </w:pPr>
            <w:r w:rsidRPr="00121CBC">
              <w:t>#N/A</w:t>
            </w:r>
          </w:p>
        </w:tc>
        <w:tc>
          <w:tcPr>
            <w:tcW w:w="901" w:type="dxa"/>
            <w:tcBorders>
              <w:top w:val="nil"/>
              <w:left w:val="nil"/>
              <w:bottom w:val="single" w:sz="4" w:space="0" w:color="auto"/>
              <w:right w:val="nil"/>
            </w:tcBorders>
            <w:shd w:val="clear" w:color="auto" w:fill="auto"/>
            <w:noWrap/>
            <w:hideMark/>
          </w:tcPr>
          <w:p w14:paraId="11EBC70B" w14:textId="6BAF8619" w:rsidR="00D20955" w:rsidRPr="00124C67" w:rsidRDefault="00D20955" w:rsidP="00D20955">
            <w:pPr>
              <w:spacing w:after="0"/>
              <w:jc w:val="center"/>
              <w:rPr>
                <w:rFonts w:eastAsia="Times New Roman"/>
                <w:color w:val="000000"/>
                <w:lang w:val="es-AR"/>
              </w:rPr>
            </w:pPr>
            <w:r w:rsidRPr="00121CBC">
              <w:t>#N/A</w:t>
            </w:r>
          </w:p>
        </w:tc>
        <w:tc>
          <w:tcPr>
            <w:tcW w:w="707" w:type="dxa"/>
            <w:tcBorders>
              <w:top w:val="nil"/>
              <w:left w:val="nil"/>
              <w:bottom w:val="single" w:sz="4" w:space="0" w:color="auto"/>
              <w:right w:val="nil"/>
            </w:tcBorders>
            <w:shd w:val="clear" w:color="auto" w:fill="auto"/>
            <w:noWrap/>
            <w:hideMark/>
          </w:tcPr>
          <w:p w14:paraId="1D3FBD47" w14:textId="080C0971" w:rsidR="00D20955" w:rsidRPr="00124C67" w:rsidRDefault="00D20955" w:rsidP="00D20955">
            <w:pPr>
              <w:spacing w:after="0"/>
              <w:jc w:val="center"/>
              <w:rPr>
                <w:rFonts w:eastAsia="Times New Roman"/>
                <w:color w:val="000000"/>
                <w:lang w:val="es-AR"/>
              </w:rPr>
            </w:pPr>
            <w:r w:rsidRPr="00121CBC">
              <w:t>#N/A</w:t>
            </w:r>
          </w:p>
        </w:tc>
        <w:tc>
          <w:tcPr>
            <w:tcW w:w="707" w:type="dxa"/>
            <w:tcBorders>
              <w:top w:val="nil"/>
              <w:left w:val="nil"/>
              <w:bottom w:val="single" w:sz="4" w:space="0" w:color="auto"/>
              <w:right w:val="nil"/>
            </w:tcBorders>
            <w:shd w:val="clear" w:color="auto" w:fill="auto"/>
            <w:noWrap/>
            <w:hideMark/>
          </w:tcPr>
          <w:p w14:paraId="314CFCD3" w14:textId="466213B5" w:rsidR="00D20955" w:rsidRPr="00124C67" w:rsidRDefault="00D20955" w:rsidP="00D20955">
            <w:pPr>
              <w:spacing w:after="0"/>
              <w:jc w:val="center"/>
              <w:rPr>
                <w:rFonts w:eastAsia="Times New Roman"/>
                <w:color w:val="000000"/>
                <w:lang w:val="es-AR"/>
              </w:rPr>
            </w:pPr>
            <w:r w:rsidRPr="00121CBC">
              <w:t>#N/A</w:t>
            </w:r>
          </w:p>
        </w:tc>
        <w:tc>
          <w:tcPr>
            <w:tcW w:w="1120" w:type="dxa"/>
            <w:tcBorders>
              <w:top w:val="nil"/>
              <w:left w:val="nil"/>
              <w:bottom w:val="single" w:sz="4" w:space="0" w:color="auto"/>
              <w:right w:val="nil"/>
            </w:tcBorders>
            <w:shd w:val="clear" w:color="auto" w:fill="auto"/>
            <w:noWrap/>
            <w:hideMark/>
          </w:tcPr>
          <w:p w14:paraId="718BEEAF" w14:textId="3DAFEF86" w:rsidR="00D20955" w:rsidRPr="00124C67" w:rsidRDefault="00D20955" w:rsidP="00D20955">
            <w:pPr>
              <w:spacing w:after="0"/>
              <w:jc w:val="center"/>
              <w:rPr>
                <w:rFonts w:eastAsia="Times New Roman"/>
                <w:color w:val="000000"/>
                <w:lang w:val="es-AR"/>
              </w:rPr>
            </w:pPr>
            <w:r w:rsidRPr="00121CBC">
              <w:t>#N/A</w:t>
            </w:r>
          </w:p>
        </w:tc>
      </w:tr>
    </w:tbl>
    <w:p w14:paraId="520CBBB2" w14:textId="6974DB2F" w:rsidR="00D20955" w:rsidRDefault="00D20955" w:rsidP="00D20955">
      <w:pPr>
        <w:pBdr>
          <w:top w:val="nil"/>
          <w:left w:val="nil"/>
          <w:bottom w:val="nil"/>
          <w:right w:val="nil"/>
          <w:between w:val="nil"/>
        </w:pBdr>
        <w:spacing w:after="0"/>
        <w:rPr>
          <w:lang w:val="en-US"/>
        </w:rPr>
      </w:pPr>
      <w:r w:rsidRPr="007D3DD1">
        <w:rPr>
          <w:b/>
          <w:bCs/>
          <w:lang w:val="en"/>
        </w:rPr>
        <w:t xml:space="preserve">Table </w:t>
      </w:r>
      <w:r>
        <w:rPr>
          <w:b/>
          <w:bCs/>
          <w:lang w:val="en"/>
        </w:rPr>
        <w:t>A2.</w:t>
      </w:r>
      <w:r w:rsidR="002F0A15">
        <w:rPr>
          <w:b/>
          <w:bCs/>
          <w:lang w:val="en"/>
        </w:rPr>
        <w:t>3</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xml:space="preserve">** p value less than 5%, *** p value less than 1%. </w:t>
      </w:r>
      <w:r w:rsidR="00391A4A">
        <w:rPr>
          <w:lang w:val="en-US"/>
        </w:rPr>
        <w:t>Industry and occupation similarity have been build based on all job transitions that went through a period of unemployment. The sample in this regression is the full sample.</w:t>
      </w:r>
    </w:p>
    <w:p w14:paraId="0954FAE1" w14:textId="1C294B4E" w:rsidR="005E13CB" w:rsidRDefault="005E13CB" w:rsidP="00D20955">
      <w:pPr>
        <w:pBdr>
          <w:top w:val="nil"/>
          <w:left w:val="nil"/>
          <w:bottom w:val="nil"/>
          <w:right w:val="nil"/>
          <w:between w:val="nil"/>
        </w:pBdr>
        <w:spacing w:after="0"/>
        <w:rPr>
          <w:lang w:val="en-US"/>
        </w:rPr>
      </w:pPr>
    </w:p>
    <w:p w14:paraId="773AA056" w14:textId="77777777" w:rsidR="005E13CB" w:rsidRDefault="005E13CB" w:rsidP="00D20955">
      <w:pPr>
        <w:pBdr>
          <w:top w:val="nil"/>
          <w:left w:val="nil"/>
          <w:bottom w:val="nil"/>
          <w:right w:val="nil"/>
          <w:between w:val="nil"/>
        </w:pBdr>
        <w:spacing w:after="0"/>
        <w:rPr>
          <w:lang w:val="en-US"/>
        </w:rPr>
      </w:pPr>
    </w:p>
    <w:tbl>
      <w:tblPr>
        <w:tblW w:w="8972" w:type="dxa"/>
        <w:tblCellMar>
          <w:left w:w="70" w:type="dxa"/>
          <w:right w:w="70" w:type="dxa"/>
        </w:tblCellMar>
        <w:tblLook w:val="04A0" w:firstRow="1" w:lastRow="0" w:firstColumn="1" w:lastColumn="0" w:noHBand="0" w:noVBand="1"/>
      </w:tblPr>
      <w:tblGrid>
        <w:gridCol w:w="3936"/>
        <w:gridCol w:w="965"/>
        <w:gridCol w:w="865"/>
        <w:gridCol w:w="841"/>
        <w:gridCol w:w="660"/>
        <w:gridCol w:w="660"/>
        <w:gridCol w:w="1045"/>
      </w:tblGrid>
      <w:tr w:rsidR="002F0A15" w:rsidRPr="00124C67" w14:paraId="0094B038" w14:textId="77777777" w:rsidTr="00836669">
        <w:trPr>
          <w:trHeight w:val="279"/>
        </w:trPr>
        <w:tc>
          <w:tcPr>
            <w:tcW w:w="3936" w:type="dxa"/>
            <w:tcBorders>
              <w:top w:val="single" w:sz="4" w:space="0" w:color="auto"/>
              <w:left w:val="nil"/>
              <w:bottom w:val="single" w:sz="4" w:space="0" w:color="auto"/>
              <w:right w:val="nil"/>
            </w:tcBorders>
            <w:shd w:val="clear" w:color="auto" w:fill="auto"/>
            <w:noWrap/>
            <w:vAlign w:val="center"/>
            <w:hideMark/>
          </w:tcPr>
          <w:p w14:paraId="24F394EE" w14:textId="77777777" w:rsidR="002F0A15" w:rsidRPr="00CB49D7" w:rsidRDefault="002F0A15"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Dep</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var</w:t>
            </w:r>
            <w:proofErr w:type="spellEnd"/>
          </w:p>
          <w:p w14:paraId="2FA5429B" w14:textId="77777777" w:rsidR="002F0A15" w:rsidRPr="00CB49D7" w:rsidRDefault="002F0A15"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QuarterlyChangeRealHourlyWage</w:t>
            </w:r>
            <w:proofErr w:type="spellEnd"/>
          </w:p>
        </w:tc>
        <w:tc>
          <w:tcPr>
            <w:tcW w:w="965" w:type="dxa"/>
            <w:tcBorders>
              <w:top w:val="single" w:sz="4" w:space="0" w:color="auto"/>
              <w:left w:val="nil"/>
              <w:bottom w:val="single" w:sz="4" w:space="0" w:color="auto"/>
              <w:right w:val="nil"/>
            </w:tcBorders>
            <w:shd w:val="clear" w:color="auto" w:fill="auto"/>
            <w:noWrap/>
            <w:vAlign w:val="center"/>
            <w:hideMark/>
          </w:tcPr>
          <w:p w14:paraId="71F90D78" w14:textId="77777777" w:rsidR="002F0A15" w:rsidRPr="00CB49D7" w:rsidRDefault="002F0A15"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estimate</w:t>
            </w:r>
            <w:proofErr w:type="spellEnd"/>
          </w:p>
        </w:tc>
        <w:tc>
          <w:tcPr>
            <w:tcW w:w="865" w:type="dxa"/>
            <w:tcBorders>
              <w:top w:val="single" w:sz="4" w:space="0" w:color="auto"/>
              <w:left w:val="nil"/>
              <w:bottom w:val="single" w:sz="4" w:space="0" w:color="auto"/>
              <w:right w:val="nil"/>
            </w:tcBorders>
            <w:shd w:val="clear" w:color="auto" w:fill="auto"/>
            <w:noWrap/>
            <w:vAlign w:val="center"/>
            <w:hideMark/>
          </w:tcPr>
          <w:p w14:paraId="7A86BAA3" w14:textId="77777777" w:rsidR="002F0A15" w:rsidRPr="00CB49D7" w:rsidRDefault="002F0A15" w:rsidP="00836669">
            <w:pPr>
              <w:spacing w:after="0"/>
              <w:jc w:val="center"/>
              <w:rPr>
                <w:rFonts w:eastAsia="Times New Roman"/>
                <w:color w:val="000000"/>
                <w:sz w:val="20"/>
                <w:szCs w:val="20"/>
                <w:lang w:val="es-AR"/>
              </w:rPr>
            </w:pPr>
            <w:proofErr w:type="spellStart"/>
            <w:proofErr w:type="gramStart"/>
            <w:r w:rsidRPr="00CB49D7">
              <w:rPr>
                <w:rFonts w:eastAsia="Times New Roman"/>
                <w:color w:val="000000"/>
                <w:sz w:val="20"/>
                <w:szCs w:val="20"/>
                <w:lang w:val="es-AR"/>
              </w:rPr>
              <w:t>std.error</w:t>
            </w:r>
            <w:proofErr w:type="spellEnd"/>
            <w:proofErr w:type="gramEnd"/>
          </w:p>
        </w:tc>
        <w:tc>
          <w:tcPr>
            <w:tcW w:w="841" w:type="dxa"/>
            <w:tcBorders>
              <w:top w:val="single" w:sz="4" w:space="0" w:color="auto"/>
              <w:left w:val="nil"/>
              <w:bottom w:val="single" w:sz="4" w:space="0" w:color="auto"/>
              <w:right w:val="nil"/>
            </w:tcBorders>
            <w:shd w:val="clear" w:color="auto" w:fill="auto"/>
            <w:noWrap/>
            <w:vAlign w:val="center"/>
            <w:hideMark/>
          </w:tcPr>
          <w:p w14:paraId="1DB2FDC5" w14:textId="77777777" w:rsidR="002F0A15" w:rsidRPr="00CB49D7" w:rsidRDefault="002F0A15"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p.value</w:t>
            </w:r>
            <w:proofErr w:type="spellEnd"/>
          </w:p>
        </w:tc>
        <w:tc>
          <w:tcPr>
            <w:tcW w:w="660" w:type="dxa"/>
            <w:tcBorders>
              <w:top w:val="single" w:sz="4" w:space="0" w:color="auto"/>
              <w:left w:val="nil"/>
              <w:bottom w:val="single" w:sz="4" w:space="0" w:color="auto"/>
              <w:right w:val="nil"/>
            </w:tcBorders>
            <w:shd w:val="clear" w:color="auto" w:fill="auto"/>
            <w:noWrap/>
            <w:vAlign w:val="center"/>
            <w:hideMark/>
          </w:tcPr>
          <w:p w14:paraId="76BE4076" w14:textId="77777777" w:rsidR="002F0A15" w:rsidRPr="00CB49D7" w:rsidRDefault="002F0A15" w:rsidP="00836669">
            <w:pPr>
              <w:spacing w:after="0"/>
              <w:jc w:val="center"/>
              <w:rPr>
                <w:rFonts w:eastAsia="Times New Roman"/>
                <w:color w:val="000000"/>
                <w:sz w:val="20"/>
                <w:szCs w:val="20"/>
                <w:lang w:val="es-AR"/>
              </w:rPr>
            </w:pPr>
            <w:r w:rsidRPr="00CB49D7">
              <w:rPr>
                <w:rFonts w:eastAsia="Times New Roman"/>
                <w:color w:val="000000"/>
                <w:sz w:val="20"/>
                <w:szCs w:val="20"/>
                <w:lang w:val="es-AR"/>
              </w:rPr>
              <w:t>Lb (CI 90%)</w:t>
            </w:r>
          </w:p>
        </w:tc>
        <w:tc>
          <w:tcPr>
            <w:tcW w:w="660" w:type="dxa"/>
            <w:tcBorders>
              <w:top w:val="single" w:sz="4" w:space="0" w:color="auto"/>
              <w:left w:val="nil"/>
              <w:bottom w:val="single" w:sz="4" w:space="0" w:color="auto"/>
              <w:right w:val="nil"/>
            </w:tcBorders>
            <w:shd w:val="clear" w:color="auto" w:fill="auto"/>
            <w:noWrap/>
            <w:vAlign w:val="center"/>
            <w:hideMark/>
          </w:tcPr>
          <w:p w14:paraId="7BBBDD29" w14:textId="77777777" w:rsidR="002F0A15" w:rsidRPr="00CB49D7" w:rsidRDefault="002F0A15"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Ub</w:t>
            </w:r>
            <w:proofErr w:type="spellEnd"/>
            <w:r w:rsidRPr="00CB49D7">
              <w:rPr>
                <w:rFonts w:eastAsia="Times New Roman"/>
                <w:color w:val="000000"/>
                <w:sz w:val="20"/>
                <w:szCs w:val="20"/>
                <w:lang w:val="es-AR"/>
              </w:rPr>
              <w:t xml:space="preserve"> (CI 90%)</w:t>
            </w:r>
          </w:p>
        </w:tc>
        <w:tc>
          <w:tcPr>
            <w:tcW w:w="1045" w:type="dxa"/>
            <w:tcBorders>
              <w:top w:val="single" w:sz="4" w:space="0" w:color="auto"/>
              <w:left w:val="nil"/>
              <w:bottom w:val="single" w:sz="4" w:space="0" w:color="auto"/>
              <w:right w:val="nil"/>
            </w:tcBorders>
            <w:shd w:val="clear" w:color="auto" w:fill="auto"/>
            <w:noWrap/>
            <w:vAlign w:val="center"/>
            <w:hideMark/>
          </w:tcPr>
          <w:p w14:paraId="7120561E" w14:textId="77777777" w:rsidR="002F0A15" w:rsidRPr="00CB49D7" w:rsidRDefault="002F0A15"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coefPvalue</w:t>
            </w:r>
            <w:proofErr w:type="spellEnd"/>
          </w:p>
        </w:tc>
      </w:tr>
      <w:tr w:rsidR="00CB49D7" w:rsidRPr="00124C67" w14:paraId="60F0E628" w14:textId="77777777" w:rsidTr="00836669">
        <w:trPr>
          <w:trHeight w:val="279"/>
        </w:trPr>
        <w:tc>
          <w:tcPr>
            <w:tcW w:w="3936" w:type="dxa"/>
            <w:tcBorders>
              <w:top w:val="nil"/>
              <w:left w:val="nil"/>
              <w:bottom w:val="nil"/>
              <w:right w:val="nil"/>
            </w:tcBorders>
            <w:shd w:val="clear" w:color="auto" w:fill="auto"/>
            <w:noWrap/>
            <w:vAlign w:val="center"/>
            <w:hideMark/>
          </w:tcPr>
          <w:p w14:paraId="6338F66F" w14:textId="77777777" w:rsidR="00CB49D7" w:rsidRPr="00CB49D7" w:rsidRDefault="00CB49D7" w:rsidP="00CB49D7">
            <w:pPr>
              <w:spacing w:after="0"/>
              <w:jc w:val="left"/>
              <w:rPr>
                <w:rFonts w:eastAsia="Times New Roman"/>
                <w:color w:val="000000"/>
                <w:sz w:val="20"/>
                <w:szCs w:val="20"/>
                <w:lang w:val="es-AR"/>
              </w:rPr>
            </w:pPr>
            <w:r w:rsidRPr="00CB49D7">
              <w:rPr>
                <w:rFonts w:eastAsia="Times New Roman"/>
                <w:color w:val="000000"/>
                <w:sz w:val="20"/>
                <w:szCs w:val="20"/>
                <w:lang w:val="es-AR"/>
              </w:rPr>
              <w:t>(</w:t>
            </w:r>
            <w:proofErr w:type="spellStart"/>
            <w:r w:rsidRPr="00CB49D7">
              <w:rPr>
                <w:rFonts w:eastAsia="Times New Roman"/>
                <w:color w:val="000000"/>
                <w:sz w:val="20"/>
                <w:szCs w:val="20"/>
                <w:lang w:val="es-AR"/>
              </w:rPr>
              <w:t>Intercept</w:t>
            </w:r>
            <w:proofErr w:type="spellEnd"/>
            <w:r w:rsidRPr="00CB49D7">
              <w:rPr>
                <w:rFonts w:eastAsia="Times New Roman"/>
                <w:color w:val="000000"/>
                <w:sz w:val="20"/>
                <w:szCs w:val="20"/>
                <w:lang w:val="es-AR"/>
              </w:rPr>
              <w:t>)</w:t>
            </w:r>
          </w:p>
        </w:tc>
        <w:tc>
          <w:tcPr>
            <w:tcW w:w="965" w:type="dxa"/>
            <w:tcBorders>
              <w:top w:val="nil"/>
              <w:left w:val="nil"/>
              <w:bottom w:val="nil"/>
              <w:right w:val="nil"/>
            </w:tcBorders>
            <w:shd w:val="clear" w:color="auto" w:fill="auto"/>
            <w:noWrap/>
            <w:hideMark/>
          </w:tcPr>
          <w:p w14:paraId="1B52F2F8" w14:textId="5B9312A1" w:rsidR="00CB49D7" w:rsidRPr="00CB49D7" w:rsidRDefault="00CB49D7" w:rsidP="00CB49D7">
            <w:pPr>
              <w:spacing w:after="0"/>
              <w:jc w:val="center"/>
              <w:rPr>
                <w:rFonts w:eastAsia="Times New Roman"/>
                <w:color w:val="000000"/>
                <w:sz w:val="20"/>
                <w:szCs w:val="20"/>
                <w:lang w:val="es-AR"/>
              </w:rPr>
            </w:pPr>
            <w:r w:rsidRPr="00CB49D7">
              <w:rPr>
                <w:sz w:val="20"/>
                <w:szCs w:val="20"/>
              </w:rPr>
              <w:t>0.48</w:t>
            </w:r>
          </w:p>
        </w:tc>
        <w:tc>
          <w:tcPr>
            <w:tcW w:w="865" w:type="dxa"/>
            <w:tcBorders>
              <w:top w:val="nil"/>
              <w:left w:val="nil"/>
              <w:bottom w:val="nil"/>
              <w:right w:val="nil"/>
            </w:tcBorders>
            <w:shd w:val="clear" w:color="auto" w:fill="auto"/>
            <w:noWrap/>
            <w:hideMark/>
          </w:tcPr>
          <w:p w14:paraId="583FCF96" w14:textId="5F756485" w:rsidR="00CB49D7" w:rsidRPr="00CB49D7" w:rsidRDefault="00CB49D7" w:rsidP="00CB49D7">
            <w:pPr>
              <w:spacing w:after="0"/>
              <w:jc w:val="center"/>
              <w:rPr>
                <w:rFonts w:eastAsia="Times New Roman"/>
                <w:color w:val="000000"/>
                <w:sz w:val="20"/>
                <w:szCs w:val="20"/>
                <w:lang w:val="es-AR"/>
              </w:rPr>
            </w:pPr>
            <w:r w:rsidRPr="00CB49D7">
              <w:rPr>
                <w:sz w:val="20"/>
                <w:szCs w:val="20"/>
              </w:rPr>
              <w:t>0.18</w:t>
            </w:r>
          </w:p>
        </w:tc>
        <w:tc>
          <w:tcPr>
            <w:tcW w:w="841" w:type="dxa"/>
            <w:tcBorders>
              <w:top w:val="nil"/>
              <w:left w:val="nil"/>
              <w:bottom w:val="nil"/>
              <w:right w:val="nil"/>
            </w:tcBorders>
            <w:shd w:val="clear" w:color="auto" w:fill="auto"/>
            <w:noWrap/>
            <w:hideMark/>
          </w:tcPr>
          <w:p w14:paraId="230B8FE0" w14:textId="0F90C65A" w:rsidR="00CB49D7" w:rsidRPr="00CB49D7" w:rsidRDefault="00CB49D7" w:rsidP="00CB49D7">
            <w:pPr>
              <w:spacing w:after="0"/>
              <w:jc w:val="center"/>
              <w:rPr>
                <w:rFonts w:eastAsia="Times New Roman"/>
                <w:color w:val="000000"/>
                <w:sz w:val="20"/>
                <w:szCs w:val="20"/>
                <w:lang w:val="es-AR"/>
              </w:rPr>
            </w:pPr>
            <w:r w:rsidRPr="00CB49D7">
              <w:rPr>
                <w:sz w:val="20"/>
                <w:szCs w:val="20"/>
              </w:rPr>
              <w:t>2.66</w:t>
            </w:r>
          </w:p>
        </w:tc>
        <w:tc>
          <w:tcPr>
            <w:tcW w:w="660" w:type="dxa"/>
            <w:tcBorders>
              <w:top w:val="nil"/>
              <w:left w:val="nil"/>
              <w:bottom w:val="nil"/>
              <w:right w:val="nil"/>
            </w:tcBorders>
            <w:shd w:val="clear" w:color="auto" w:fill="auto"/>
            <w:noWrap/>
            <w:hideMark/>
          </w:tcPr>
          <w:p w14:paraId="0D9B4AD0" w14:textId="2A9BFAA7" w:rsidR="00CB49D7" w:rsidRPr="00CB49D7" w:rsidRDefault="00CB49D7" w:rsidP="00CB49D7">
            <w:pPr>
              <w:spacing w:after="0"/>
              <w:jc w:val="center"/>
              <w:rPr>
                <w:rFonts w:eastAsia="Times New Roman"/>
                <w:color w:val="000000"/>
                <w:sz w:val="20"/>
                <w:szCs w:val="20"/>
                <w:lang w:val="es-AR"/>
              </w:rPr>
            </w:pPr>
            <w:r w:rsidRPr="00CB49D7">
              <w:rPr>
                <w:sz w:val="20"/>
                <w:szCs w:val="20"/>
              </w:rPr>
              <w:t>0.01</w:t>
            </w:r>
          </w:p>
        </w:tc>
        <w:tc>
          <w:tcPr>
            <w:tcW w:w="660" w:type="dxa"/>
            <w:tcBorders>
              <w:top w:val="nil"/>
              <w:left w:val="nil"/>
              <w:bottom w:val="nil"/>
              <w:right w:val="nil"/>
            </w:tcBorders>
            <w:shd w:val="clear" w:color="auto" w:fill="auto"/>
            <w:noWrap/>
            <w:hideMark/>
          </w:tcPr>
          <w:p w14:paraId="1991B726" w14:textId="341B913A" w:rsidR="00CB49D7" w:rsidRPr="00CB49D7" w:rsidRDefault="00CB49D7" w:rsidP="00CB49D7">
            <w:pPr>
              <w:spacing w:after="0"/>
              <w:jc w:val="center"/>
              <w:rPr>
                <w:rFonts w:eastAsia="Times New Roman"/>
                <w:color w:val="000000"/>
                <w:sz w:val="20"/>
                <w:szCs w:val="20"/>
                <w:lang w:val="es-AR"/>
              </w:rPr>
            </w:pPr>
            <w:r w:rsidRPr="00CB49D7">
              <w:rPr>
                <w:sz w:val="20"/>
                <w:szCs w:val="20"/>
              </w:rPr>
              <w:t>0.19</w:t>
            </w:r>
          </w:p>
        </w:tc>
        <w:tc>
          <w:tcPr>
            <w:tcW w:w="1045" w:type="dxa"/>
            <w:tcBorders>
              <w:top w:val="nil"/>
              <w:left w:val="nil"/>
              <w:bottom w:val="nil"/>
              <w:right w:val="nil"/>
            </w:tcBorders>
            <w:shd w:val="clear" w:color="auto" w:fill="auto"/>
            <w:noWrap/>
            <w:hideMark/>
          </w:tcPr>
          <w:p w14:paraId="062BFF61" w14:textId="13F1FCB2" w:rsidR="00CB49D7" w:rsidRPr="00CB49D7" w:rsidRDefault="00CB49D7" w:rsidP="00CB49D7">
            <w:pPr>
              <w:spacing w:after="0"/>
              <w:jc w:val="center"/>
              <w:rPr>
                <w:rFonts w:eastAsia="Times New Roman"/>
                <w:color w:val="000000"/>
                <w:sz w:val="20"/>
                <w:szCs w:val="20"/>
                <w:lang w:val="es-AR"/>
              </w:rPr>
            </w:pPr>
            <w:r w:rsidRPr="00CB49D7">
              <w:rPr>
                <w:sz w:val="20"/>
                <w:szCs w:val="20"/>
              </w:rPr>
              <w:t>0.78</w:t>
            </w:r>
          </w:p>
        </w:tc>
      </w:tr>
      <w:tr w:rsidR="00CB49D7" w:rsidRPr="00124C67" w14:paraId="446A6155" w14:textId="77777777" w:rsidTr="00836669">
        <w:trPr>
          <w:trHeight w:val="279"/>
        </w:trPr>
        <w:tc>
          <w:tcPr>
            <w:tcW w:w="3936" w:type="dxa"/>
            <w:tcBorders>
              <w:top w:val="nil"/>
              <w:left w:val="nil"/>
              <w:bottom w:val="nil"/>
              <w:right w:val="nil"/>
            </w:tcBorders>
            <w:shd w:val="clear" w:color="auto" w:fill="auto"/>
            <w:noWrap/>
            <w:vAlign w:val="center"/>
            <w:hideMark/>
          </w:tcPr>
          <w:p w14:paraId="14BA7609" w14:textId="77777777" w:rsidR="00CB49D7" w:rsidRPr="00CB49D7" w:rsidRDefault="00CB49D7" w:rsidP="00CB49D7">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RijOccupation</w:t>
            </w:r>
            <w:proofErr w:type="spellEnd"/>
          </w:p>
        </w:tc>
        <w:tc>
          <w:tcPr>
            <w:tcW w:w="965" w:type="dxa"/>
            <w:tcBorders>
              <w:top w:val="nil"/>
              <w:left w:val="nil"/>
              <w:bottom w:val="nil"/>
              <w:right w:val="nil"/>
            </w:tcBorders>
            <w:shd w:val="clear" w:color="auto" w:fill="auto"/>
            <w:noWrap/>
            <w:hideMark/>
          </w:tcPr>
          <w:p w14:paraId="504EE127" w14:textId="24DBD08E"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65" w:type="dxa"/>
            <w:tcBorders>
              <w:top w:val="nil"/>
              <w:left w:val="nil"/>
              <w:bottom w:val="nil"/>
              <w:right w:val="nil"/>
            </w:tcBorders>
            <w:shd w:val="clear" w:color="auto" w:fill="auto"/>
            <w:noWrap/>
            <w:hideMark/>
          </w:tcPr>
          <w:p w14:paraId="7D20839C" w14:textId="6BBE4BBF" w:rsidR="00CB49D7" w:rsidRPr="00CB49D7" w:rsidRDefault="00CB49D7" w:rsidP="00CB49D7">
            <w:pPr>
              <w:spacing w:after="0"/>
              <w:jc w:val="center"/>
              <w:rPr>
                <w:rFonts w:eastAsia="Times New Roman"/>
                <w:color w:val="000000"/>
                <w:sz w:val="20"/>
                <w:szCs w:val="20"/>
                <w:lang w:val="es-AR"/>
              </w:rPr>
            </w:pPr>
            <w:r w:rsidRPr="00CB49D7">
              <w:rPr>
                <w:sz w:val="20"/>
                <w:szCs w:val="20"/>
              </w:rPr>
              <w:t>0.06</w:t>
            </w:r>
          </w:p>
        </w:tc>
        <w:tc>
          <w:tcPr>
            <w:tcW w:w="841" w:type="dxa"/>
            <w:tcBorders>
              <w:top w:val="nil"/>
              <w:left w:val="nil"/>
              <w:bottom w:val="nil"/>
              <w:right w:val="nil"/>
            </w:tcBorders>
            <w:shd w:val="clear" w:color="auto" w:fill="auto"/>
            <w:noWrap/>
            <w:hideMark/>
          </w:tcPr>
          <w:p w14:paraId="6365EDD5" w14:textId="320E73BE" w:rsidR="00CB49D7" w:rsidRPr="00CB49D7" w:rsidRDefault="00CB49D7" w:rsidP="00CB49D7">
            <w:pPr>
              <w:spacing w:after="0"/>
              <w:jc w:val="center"/>
              <w:rPr>
                <w:rFonts w:eastAsia="Times New Roman"/>
                <w:color w:val="000000"/>
                <w:sz w:val="20"/>
                <w:szCs w:val="20"/>
                <w:lang w:val="es-AR"/>
              </w:rPr>
            </w:pPr>
            <w:r w:rsidRPr="00CB49D7">
              <w:rPr>
                <w:sz w:val="20"/>
                <w:szCs w:val="20"/>
              </w:rPr>
              <w:t>0.81</w:t>
            </w:r>
          </w:p>
        </w:tc>
        <w:tc>
          <w:tcPr>
            <w:tcW w:w="660" w:type="dxa"/>
            <w:tcBorders>
              <w:top w:val="nil"/>
              <w:left w:val="nil"/>
              <w:bottom w:val="nil"/>
              <w:right w:val="nil"/>
            </w:tcBorders>
            <w:shd w:val="clear" w:color="auto" w:fill="auto"/>
            <w:noWrap/>
            <w:hideMark/>
          </w:tcPr>
          <w:p w14:paraId="5861EF73" w14:textId="60B303EC" w:rsidR="00CB49D7" w:rsidRPr="00CB49D7" w:rsidRDefault="00CB49D7" w:rsidP="00CB49D7">
            <w:pPr>
              <w:spacing w:after="0"/>
              <w:jc w:val="center"/>
              <w:rPr>
                <w:rFonts w:eastAsia="Times New Roman"/>
                <w:color w:val="000000"/>
                <w:sz w:val="20"/>
                <w:szCs w:val="20"/>
                <w:lang w:val="es-AR"/>
              </w:rPr>
            </w:pPr>
            <w:r w:rsidRPr="00CB49D7">
              <w:rPr>
                <w:sz w:val="20"/>
                <w:szCs w:val="20"/>
              </w:rPr>
              <w:t>0.42</w:t>
            </w:r>
          </w:p>
        </w:tc>
        <w:tc>
          <w:tcPr>
            <w:tcW w:w="660" w:type="dxa"/>
            <w:tcBorders>
              <w:top w:val="nil"/>
              <w:left w:val="nil"/>
              <w:bottom w:val="nil"/>
              <w:right w:val="nil"/>
            </w:tcBorders>
            <w:shd w:val="clear" w:color="auto" w:fill="auto"/>
            <w:noWrap/>
            <w:hideMark/>
          </w:tcPr>
          <w:p w14:paraId="402BFE45" w14:textId="7758A647"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1045" w:type="dxa"/>
            <w:tcBorders>
              <w:top w:val="nil"/>
              <w:left w:val="nil"/>
              <w:bottom w:val="nil"/>
              <w:right w:val="nil"/>
            </w:tcBorders>
            <w:shd w:val="clear" w:color="auto" w:fill="auto"/>
            <w:noWrap/>
            <w:hideMark/>
          </w:tcPr>
          <w:p w14:paraId="72C681B1" w14:textId="7451EA55" w:rsidR="00CB49D7" w:rsidRPr="00CB49D7" w:rsidRDefault="00CB49D7" w:rsidP="00CB49D7">
            <w:pPr>
              <w:spacing w:after="0"/>
              <w:jc w:val="center"/>
              <w:rPr>
                <w:rFonts w:eastAsia="Times New Roman"/>
                <w:color w:val="000000"/>
                <w:sz w:val="20"/>
                <w:szCs w:val="20"/>
                <w:lang w:val="es-AR"/>
              </w:rPr>
            </w:pPr>
            <w:r w:rsidRPr="00CB49D7">
              <w:rPr>
                <w:sz w:val="20"/>
                <w:szCs w:val="20"/>
              </w:rPr>
              <w:t>0.15</w:t>
            </w:r>
          </w:p>
        </w:tc>
      </w:tr>
      <w:tr w:rsidR="00CB49D7" w:rsidRPr="00124C67" w14:paraId="435A8243" w14:textId="77777777" w:rsidTr="00836669">
        <w:trPr>
          <w:trHeight w:val="279"/>
        </w:trPr>
        <w:tc>
          <w:tcPr>
            <w:tcW w:w="3936" w:type="dxa"/>
            <w:tcBorders>
              <w:top w:val="nil"/>
              <w:left w:val="nil"/>
              <w:bottom w:val="nil"/>
              <w:right w:val="nil"/>
            </w:tcBorders>
            <w:shd w:val="clear" w:color="auto" w:fill="auto"/>
            <w:noWrap/>
            <w:vAlign w:val="center"/>
            <w:hideMark/>
          </w:tcPr>
          <w:p w14:paraId="4024C170" w14:textId="77777777" w:rsidR="00CB49D7" w:rsidRPr="00CB49D7" w:rsidRDefault="00CB49D7" w:rsidP="00CB49D7">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RijIndustry</w:t>
            </w:r>
            <w:proofErr w:type="spellEnd"/>
          </w:p>
        </w:tc>
        <w:tc>
          <w:tcPr>
            <w:tcW w:w="965" w:type="dxa"/>
            <w:tcBorders>
              <w:top w:val="nil"/>
              <w:left w:val="nil"/>
              <w:bottom w:val="nil"/>
              <w:right w:val="nil"/>
            </w:tcBorders>
            <w:shd w:val="clear" w:color="auto" w:fill="auto"/>
            <w:noWrap/>
            <w:hideMark/>
          </w:tcPr>
          <w:p w14:paraId="5D1DAB12" w14:textId="2714D6A0" w:rsidR="00CB49D7" w:rsidRPr="00CB49D7" w:rsidRDefault="00CB49D7" w:rsidP="00CB49D7">
            <w:pPr>
              <w:spacing w:after="0"/>
              <w:jc w:val="center"/>
              <w:rPr>
                <w:rFonts w:eastAsia="Times New Roman"/>
                <w:color w:val="000000"/>
                <w:sz w:val="20"/>
                <w:szCs w:val="20"/>
                <w:lang w:val="es-AR"/>
              </w:rPr>
            </w:pPr>
            <w:r w:rsidRPr="00CB49D7">
              <w:rPr>
                <w:sz w:val="20"/>
                <w:szCs w:val="20"/>
              </w:rPr>
              <w:t>-0.03</w:t>
            </w:r>
          </w:p>
        </w:tc>
        <w:tc>
          <w:tcPr>
            <w:tcW w:w="865" w:type="dxa"/>
            <w:tcBorders>
              <w:top w:val="nil"/>
              <w:left w:val="nil"/>
              <w:bottom w:val="nil"/>
              <w:right w:val="nil"/>
            </w:tcBorders>
            <w:shd w:val="clear" w:color="auto" w:fill="auto"/>
            <w:noWrap/>
            <w:hideMark/>
          </w:tcPr>
          <w:p w14:paraId="5638B305" w14:textId="2772C29B" w:rsidR="00CB49D7" w:rsidRPr="00CB49D7" w:rsidRDefault="00CB49D7" w:rsidP="00CB49D7">
            <w:pPr>
              <w:spacing w:after="0"/>
              <w:jc w:val="center"/>
              <w:rPr>
                <w:rFonts w:eastAsia="Times New Roman"/>
                <w:color w:val="000000"/>
                <w:sz w:val="20"/>
                <w:szCs w:val="20"/>
                <w:lang w:val="es-AR"/>
              </w:rPr>
            </w:pPr>
            <w:r w:rsidRPr="00CB49D7">
              <w:rPr>
                <w:sz w:val="20"/>
                <w:szCs w:val="20"/>
              </w:rPr>
              <w:t>0.06</w:t>
            </w:r>
          </w:p>
        </w:tc>
        <w:tc>
          <w:tcPr>
            <w:tcW w:w="841" w:type="dxa"/>
            <w:tcBorders>
              <w:top w:val="nil"/>
              <w:left w:val="nil"/>
              <w:bottom w:val="nil"/>
              <w:right w:val="nil"/>
            </w:tcBorders>
            <w:shd w:val="clear" w:color="auto" w:fill="auto"/>
            <w:noWrap/>
            <w:hideMark/>
          </w:tcPr>
          <w:p w14:paraId="5838ACB8" w14:textId="40F60AF0" w:rsidR="00CB49D7" w:rsidRPr="00CB49D7" w:rsidRDefault="00CB49D7" w:rsidP="00CB49D7">
            <w:pPr>
              <w:spacing w:after="0"/>
              <w:jc w:val="center"/>
              <w:rPr>
                <w:rFonts w:eastAsia="Times New Roman"/>
                <w:color w:val="000000"/>
                <w:sz w:val="20"/>
                <w:szCs w:val="20"/>
                <w:lang w:val="es-AR"/>
              </w:rPr>
            </w:pPr>
            <w:r w:rsidRPr="00CB49D7">
              <w:rPr>
                <w:sz w:val="20"/>
                <w:szCs w:val="20"/>
              </w:rPr>
              <w:t>-0.61</w:t>
            </w:r>
          </w:p>
        </w:tc>
        <w:tc>
          <w:tcPr>
            <w:tcW w:w="660" w:type="dxa"/>
            <w:tcBorders>
              <w:top w:val="nil"/>
              <w:left w:val="nil"/>
              <w:bottom w:val="nil"/>
              <w:right w:val="nil"/>
            </w:tcBorders>
            <w:shd w:val="clear" w:color="auto" w:fill="auto"/>
            <w:noWrap/>
            <w:hideMark/>
          </w:tcPr>
          <w:p w14:paraId="1146E9E3" w14:textId="547446D7" w:rsidR="00CB49D7" w:rsidRPr="00CB49D7" w:rsidRDefault="00CB49D7" w:rsidP="00CB49D7">
            <w:pPr>
              <w:spacing w:after="0"/>
              <w:jc w:val="center"/>
              <w:rPr>
                <w:rFonts w:eastAsia="Times New Roman"/>
                <w:color w:val="000000"/>
                <w:sz w:val="20"/>
                <w:szCs w:val="20"/>
                <w:lang w:val="es-AR"/>
              </w:rPr>
            </w:pPr>
            <w:r w:rsidRPr="00CB49D7">
              <w:rPr>
                <w:sz w:val="20"/>
                <w:szCs w:val="20"/>
              </w:rPr>
              <w:t>0.54</w:t>
            </w:r>
          </w:p>
        </w:tc>
        <w:tc>
          <w:tcPr>
            <w:tcW w:w="660" w:type="dxa"/>
            <w:tcBorders>
              <w:top w:val="nil"/>
              <w:left w:val="nil"/>
              <w:bottom w:val="nil"/>
              <w:right w:val="nil"/>
            </w:tcBorders>
            <w:shd w:val="clear" w:color="auto" w:fill="auto"/>
            <w:noWrap/>
            <w:hideMark/>
          </w:tcPr>
          <w:p w14:paraId="6887512D" w14:textId="0B967E05" w:rsidR="00CB49D7" w:rsidRPr="00CB49D7" w:rsidRDefault="00CB49D7" w:rsidP="00CB49D7">
            <w:pPr>
              <w:spacing w:after="0"/>
              <w:jc w:val="center"/>
              <w:rPr>
                <w:rFonts w:eastAsia="Times New Roman"/>
                <w:color w:val="000000"/>
                <w:sz w:val="20"/>
                <w:szCs w:val="20"/>
                <w:lang w:val="es-AR"/>
              </w:rPr>
            </w:pPr>
            <w:r w:rsidRPr="00CB49D7">
              <w:rPr>
                <w:sz w:val="20"/>
                <w:szCs w:val="20"/>
              </w:rPr>
              <w:t>-0.13</w:t>
            </w:r>
          </w:p>
        </w:tc>
        <w:tc>
          <w:tcPr>
            <w:tcW w:w="1045" w:type="dxa"/>
            <w:tcBorders>
              <w:top w:val="nil"/>
              <w:left w:val="nil"/>
              <w:bottom w:val="nil"/>
              <w:right w:val="nil"/>
            </w:tcBorders>
            <w:shd w:val="clear" w:color="auto" w:fill="auto"/>
            <w:noWrap/>
            <w:hideMark/>
          </w:tcPr>
          <w:p w14:paraId="2A420F87" w14:textId="271BA2D0" w:rsidR="00CB49D7" w:rsidRPr="00CB49D7" w:rsidRDefault="00CB49D7" w:rsidP="00CB49D7">
            <w:pPr>
              <w:spacing w:after="0"/>
              <w:jc w:val="center"/>
              <w:rPr>
                <w:rFonts w:eastAsia="Times New Roman"/>
                <w:color w:val="000000"/>
                <w:sz w:val="20"/>
                <w:szCs w:val="20"/>
                <w:lang w:val="es-AR"/>
              </w:rPr>
            </w:pPr>
            <w:r w:rsidRPr="00CB49D7">
              <w:rPr>
                <w:sz w:val="20"/>
                <w:szCs w:val="20"/>
              </w:rPr>
              <w:t>0.06</w:t>
            </w:r>
          </w:p>
        </w:tc>
      </w:tr>
      <w:tr w:rsidR="00CB49D7" w:rsidRPr="00124C67" w14:paraId="2CE7D897" w14:textId="77777777" w:rsidTr="00836669">
        <w:trPr>
          <w:trHeight w:val="279"/>
        </w:trPr>
        <w:tc>
          <w:tcPr>
            <w:tcW w:w="3936" w:type="dxa"/>
            <w:tcBorders>
              <w:top w:val="nil"/>
              <w:left w:val="nil"/>
              <w:bottom w:val="nil"/>
              <w:right w:val="nil"/>
            </w:tcBorders>
            <w:shd w:val="clear" w:color="auto" w:fill="auto"/>
            <w:noWrap/>
            <w:vAlign w:val="center"/>
            <w:hideMark/>
          </w:tcPr>
          <w:p w14:paraId="0244247A" w14:textId="77777777" w:rsidR="00CB49D7" w:rsidRPr="00CB49D7" w:rsidRDefault="00CB49D7" w:rsidP="00CB49D7">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IndustryAboveAvg_Lagged</w:t>
            </w:r>
            <w:proofErr w:type="spellEnd"/>
          </w:p>
        </w:tc>
        <w:tc>
          <w:tcPr>
            <w:tcW w:w="965" w:type="dxa"/>
            <w:tcBorders>
              <w:top w:val="nil"/>
              <w:left w:val="nil"/>
              <w:bottom w:val="nil"/>
              <w:right w:val="nil"/>
            </w:tcBorders>
            <w:shd w:val="clear" w:color="auto" w:fill="auto"/>
            <w:noWrap/>
            <w:hideMark/>
          </w:tcPr>
          <w:p w14:paraId="0B381186" w14:textId="793325F8" w:rsidR="00CB49D7" w:rsidRPr="00CB49D7" w:rsidRDefault="00CB49D7" w:rsidP="00CB49D7">
            <w:pPr>
              <w:spacing w:after="0"/>
              <w:jc w:val="center"/>
              <w:rPr>
                <w:rFonts w:eastAsia="Times New Roman"/>
                <w:color w:val="000000"/>
                <w:sz w:val="20"/>
                <w:szCs w:val="20"/>
                <w:lang w:val="es-AR"/>
              </w:rPr>
            </w:pPr>
            <w:r w:rsidRPr="00CB49D7">
              <w:rPr>
                <w:sz w:val="20"/>
                <w:szCs w:val="20"/>
              </w:rPr>
              <w:t>-0.08</w:t>
            </w:r>
          </w:p>
        </w:tc>
        <w:tc>
          <w:tcPr>
            <w:tcW w:w="865" w:type="dxa"/>
            <w:tcBorders>
              <w:top w:val="nil"/>
              <w:left w:val="nil"/>
              <w:bottom w:val="nil"/>
              <w:right w:val="nil"/>
            </w:tcBorders>
            <w:shd w:val="clear" w:color="auto" w:fill="auto"/>
            <w:noWrap/>
            <w:hideMark/>
          </w:tcPr>
          <w:p w14:paraId="0104F3D0" w14:textId="75C9FB8F"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41" w:type="dxa"/>
            <w:tcBorders>
              <w:top w:val="nil"/>
              <w:left w:val="nil"/>
              <w:bottom w:val="nil"/>
              <w:right w:val="nil"/>
            </w:tcBorders>
            <w:shd w:val="clear" w:color="auto" w:fill="auto"/>
            <w:noWrap/>
            <w:hideMark/>
          </w:tcPr>
          <w:p w14:paraId="360A2A87" w14:textId="71075BE9" w:rsidR="00CB49D7" w:rsidRPr="00CB49D7" w:rsidRDefault="00CB49D7" w:rsidP="00CB49D7">
            <w:pPr>
              <w:spacing w:after="0"/>
              <w:jc w:val="center"/>
              <w:rPr>
                <w:rFonts w:eastAsia="Times New Roman"/>
                <w:color w:val="000000"/>
                <w:sz w:val="20"/>
                <w:szCs w:val="20"/>
                <w:lang w:val="es-AR"/>
              </w:rPr>
            </w:pPr>
            <w:r w:rsidRPr="00CB49D7">
              <w:rPr>
                <w:sz w:val="20"/>
                <w:szCs w:val="20"/>
              </w:rPr>
              <w:t>-1.48</w:t>
            </w:r>
          </w:p>
        </w:tc>
        <w:tc>
          <w:tcPr>
            <w:tcW w:w="660" w:type="dxa"/>
            <w:tcBorders>
              <w:top w:val="nil"/>
              <w:left w:val="nil"/>
              <w:bottom w:val="nil"/>
              <w:right w:val="nil"/>
            </w:tcBorders>
            <w:shd w:val="clear" w:color="auto" w:fill="auto"/>
            <w:noWrap/>
            <w:hideMark/>
          </w:tcPr>
          <w:p w14:paraId="3F0E3B90" w14:textId="28EAFB4E" w:rsidR="00CB49D7" w:rsidRPr="00CB49D7" w:rsidRDefault="00CB49D7" w:rsidP="00CB49D7">
            <w:pPr>
              <w:spacing w:after="0"/>
              <w:jc w:val="center"/>
              <w:rPr>
                <w:rFonts w:eastAsia="Times New Roman"/>
                <w:color w:val="000000"/>
                <w:sz w:val="20"/>
                <w:szCs w:val="20"/>
                <w:lang w:val="es-AR"/>
              </w:rPr>
            </w:pPr>
            <w:r w:rsidRPr="00CB49D7">
              <w:rPr>
                <w:sz w:val="20"/>
                <w:szCs w:val="20"/>
              </w:rPr>
              <w:t>0.14</w:t>
            </w:r>
          </w:p>
        </w:tc>
        <w:tc>
          <w:tcPr>
            <w:tcW w:w="660" w:type="dxa"/>
            <w:tcBorders>
              <w:top w:val="nil"/>
              <w:left w:val="nil"/>
              <w:bottom w:val="nil"/>
              <w:right w:val="nil"/>
            </w:tcBorders>
            <w:shd w:val="clear" w:color="auto" w:fill="auto"/>
            <w:noWrap/>
            <w:hideMark/>
          </w:tcPr>
          <w:p w14:paraId="200FDC68" w14:textId="748A9015" w:rsidR="00CB49D7" w:rsidRPr="00CB49D7" w:rsidRDefault="00CB49D7" w:rsidP="00CB49D7">
            <w:pPr>
              <w:spacing w:after="0"/>
              <w:jc w:val="center"/>
              <w:rPr>
                <w:rFonts w:eastAsia="Times New Roman"/>
                <w:color w:val="000000"/>
                <w:sz w:val="20"/>
                <w:szCs w:val="20"/>
                <w:lang w:val="es-AR"/>
              </w:rPr>
            </w:pPr>
            <w:r w:rsidRPr="00CB49D7">
              <w:rPr>
                <w:sz w:val="20"/>
                <w:szCs w:val="20"/>
              </w:rPr>
              <w:t>-0.17</w:t>
            </w:r>
          </w:p>
        </w:tc>
        <w:tc>
          <w:tcPr>
            <w:tcW w:w="1045" w:type="dxa"/>
            <w:tcBorders>
              <w:top w:val="nil"/>
              <w:left w:val="nil"/>
              <w:bottom w:val="nil"/>
              <w:right w:val="nil"/>
            </w:tcBorders>
            <w:shd w:val="clear" w:color="auto" w:fill="auto"/>
            <w:noWrap/>
            <w:hideMark/>
          </w:tcPr>
          <w:p w14:paraId="1B873423" w14:textId="1141ADF6" w:rsidR="00CB49D7" w:rsidRPr="00CB49D7" w:rsidRDefault="00CB49D7" w:rsidP="00CB49D7">
            <w:pPr>
              <w:spacing w:after="0"/>
              <w:jc w:val="center"/>
              <w:rPr>
                <w:rFonts w:eastAsia="Times New Roman"/>
                <w:color w:val="000000"/>
                <w:sz w:val="20"/>
                <w:szCs w:val="20"/>
                <w:lang w:val="es-AR"/>
              </w:rPr>
            </w:pPr>
            <w:r w:rsidRPr="00CB49D7">
              <w:rPr>
                <w:sz w:val="20"/>
                <w:szCs w:val="20"/>
              </w:rPr>
              <w:t>0.01</w:t>
            </w:r>
          </w:p>
        </w:tc>
      </w:tr>
      <w:tr w:rsidR="00CB49D7" w:rsidRPr="00124C67" w14:paraId="3A378AC6" w14:textId="77777777" w:rsidTr="00836669">
        <w:trPr>
          <w:trHeight w:val="279"/>
        </w:trPr>
        <w:tc>
          <w:tcPr>
            <w:tcW w:w="3936" w:type="dxa"/>
            <w:tcBorders>
              <w:top w:val="nil"/>
              <w:left w:val="nil"/>
              <w:bottom w:val="nil"/>
              <w:right w:val="nil"/>
            </w:tcBorders>
            <w:shd w:val="clear" w:color="auto" w:fill="auto"/>
            <w:noWrap/>
            <w:vAlign w:val="center"/>
            <w:hideMark/>
          </w:tcPr>
          <w:p w14:paraId="556CE355" w14:textId="77777777" w:rsidR="00CB49D7" w:rsidRPr="00CB49D7" w:rsidRDefault="00CB49D7" w:rsidP="00CB49D7">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w:t>
            </w:r>
            <w:proofErr w:type="spellEnd"/>
          </w:p>
        </w:tc>
        <w:tc>
          <w:tcPr>
            <w:tcW w:w="965" w:type="dxa"/>
            <w:tcBorders>
              <w:top w:val="nil"/>
              <w:left w:val="nil"/>
              <w:bottom w:val="nil"/>
              <w:right w:val="nil"/>
            </w:tcBorders>
            <w:shd w:val="clear" w:color="auto" w:fill="auto"/>
            <w:noWrap/>
            <w:hideMark/>
          </w:tcPr>
          <w:p w14:paraId="4D5A22D9" w14:textId="75007ED2"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65" w:type="dxa"/>
            <w:tcBorders>
              <w:top w:val="nil"/>
              <w:left w:val="nil"/>
              <w:bottom w:val="nil"/>
              <w:right w:val="nil"/>
            </w:tcBorders>
            <w:shd w:val="clear" w:color="auto" w:fill="auto"/>
            <w:noWrap/>
            <w:hideMark/>
          </w:tcPr>
          <w:p w14:paraId="15F7B90C" w14:textId="4EB44E36"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41" w:type="dxa"/>
            <w:tcBorders>
              <w:top w:val="nil"/>
              <w:left w:val="nil"/>
              <w:bottom w:val="nil"/>
              <w:right w:val="nil"/>
            </w:tcBorders>
            <w:shd w:val="clear" w:color="auto" w:fill="auto"/>
            <w:noWrap/>
            <w:hideMark/>
          </w:tcPr>
          <w:p w14:paraId="5B82CF82" w14:textId="2AB52D83" w:rsidR="00CB49D7" w:rsidRPr="00CB49D7" w:rsidRDefault="00CB49D7" w:rsidP="00CB49D7">
            <w:pPr>
              <w:spacing w:after="0"/>
              <w:jc w:val="center"/>
              <w:rPr>
                <w:rFonts w:eastAsia="Times New Roman"/>
                <w:color w:val="000000"/>
                <w:sz w:val="20"/>
                <w:szCs w:val="20"/>
                <w:lang w:val="es-AR"/>
              </w:rPr>
            </w:pPr>
            <w:r w:rsidRPr="00CB49D7">
              <w:rPr>
                <w:sz w:val="20"/>
                <w:szCs w:val="20"/>
              </w:rPr>
              <w:t>0.86</w:t>
            </w:r>
          </w:p>
        </w:tc>
        <w:tc>
          <w:tcPr>
            <w:tcW w:w="660" w:type="dxa"/>
            <w:tcBorders>
              <w:top w:val="nil"/>
              <w:left w:val="nil"/>
              <w:bottom w:val="nil"/>
              <w:right w:val="nil"/>
            </w:tcBorders>
            <w:shd w:val="clear" w:color="auto" w:fill="auto"/>
            <w:noWrap/>
            <w:hideMark/>
          </w:tcPr>
          <w:p w14:paraId="445F9960" w14:textId="21CE3DDD" w:rsidR="00CB49D7" w:rsidRPr="00CB49D7" w:rsidRDefault="00CB49D7" w:rsidP="00CB49D7">
            <w:pPr>
              <w:spacing w:after="0"/>
              <w:jc w:val="center"/>
              <w:rPr>
                <w:rFonts w:eastAsia="Times New Roman"/>
                <w:color w:val="000000"/>
                <w:sz w:val="20"/>
                <w:szCs w:val="20"/>
                <w:lang w:val="es-AR"/>
              </w:rPr>
            </w:pPr>
            <w:r w:rsidRPr="00CB49D7">
              <w:rPr>
                <w:sz w:val="20"/>
                <w:szCs w:val="20"/>
              </w:rPr>
              <w:t>0.39</w:t>
            </w:r>
          </w:p>
        </w:tc>
        <w:tc>
          <w:tcPr>
            <w:tcW w:w="660" w:type="dxa"/>
            <w:tcBorders>
              <w:top w:val="nil"/>
              <w:left w:val="nil"/>
              <w:bottom w:val="nil"/>
              <w:right w:val="nil"/>
            </w:tcBorders>
            <w:shd w:val="clear" w:color="auto" w:fill="auto"/>
            <w:noWrap/>
            <w:hideMark/>
          </w:tcPr>
          <w:p w14:paraId="228BC7FA" w14:textId="1CF92C68" w:rsidR="00CB49D7" w:rsidRPr="00CB49D7" w:rsidRDefault="00CB49D7" w:rsidP="00CB49D7">
            <w:pPr>
              <w:spacing w:after="0"/>
              <w:jc w:val="center"/>
              <w:rPr>
                <w:rFonts w:eastAsia="Times New Roman"/>
                <w:color w:val="000000"/>
                <w:sz w:val="20"/>
                <w:szCs w:val="20"/>
                <w:lang w:val="es-AR"/>
              </w:rPr>
            </w:pPr>
            <w:r w:rsidRPr="00CB49D7">
              <w:rPr>
                <w:sz w:val="20"/>
                <w:szCs w:val="20"/>
              </w:rPr>
              <w:t>-0.04</w:t>
            </w:r>
          </w:p>
        </w:tc>
        <w:tc>
          <w:tcPr>
            <w:tcW w:w="1045" w:type="dxa"/>
            <w:tcBorders>
              <w:top w:val="nil"/>
              <w:left w:val="nil"/>
              <w:bottom w:val="nil"/>
              <w:right w:val="nil"/>
            </w:tcBorders>
            <w:shd w:val="clear" w:color="auto" w:fill="auto"/>
            <w:noWrap/>
            <w:hideMark/>
          </w:tcPr>
          <w:p w14:paraId="67837BF6" w14:textId="307B133A" w:rsidR="00CB49D7" w:rsidRPr="00CB49D7" w:rsidRDefault="00CB49D7" w:rsidP="00CB49D7">
            <w:pPr>
              <w:spacing w:after="0"/>
              <w:jc w:val="center"/>
              <w:rPr>
                <w:rFonts w:eastAsia="Times New Roman"/>
                <w:color w:val="000000"/>
                <w:sz w:val="20"/>
                <w:szCs w:val="20"/>
                <w:lang w:val="es-AR"/>
              </w:rPr>
            </w:pPr>
            <w:r w:rsidRPr="00CB49D7">
              <w:rPr>
                <w:sz w:val="20"/>
                <w:szCs w:val="20"/>
              </w:rPr>
              <w:t>0.13</w:t>
            </w:r>
          </w:p>
        </w:tc>
      </w:tr>
      <w:tr w:rsidR="00CB49D7" w:rsidRPr="00BF5447" w14:paraId="7CA8EB5E" w14:textId="77777777" w:rsidTr="00836669">
        <w:trPr>
          <w:trHeight w:val="558"/>
        </w:trPr>
        <w:tc>
          <w:tcPr>
            <w:tcW w:w="3936" w:type="dxa"/>
            <w:tcBorders>
              <w:top w:val="nil"/>
              <w:left w:val="nil"/>
              <w:bottom w:val="nil"/>
              <w:right w:val="nil"/>
            </w:tcBorders>
            <w:shd w:val="clear" w:color="auto" w:fill="auto"/>
            <w:vAlign w:val="center"/>
            <w:hideMark/>
          </w:tcPr>
          <w:p w14:paraId="7FD391D0" w14:textId="77777777" w:rsidR="00CB49D7" w:rsidRPr="00CB49D7" w:rsidRDefault="00CB49D7" w:rsidP="00CB49D7">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LaborContractLagged</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728DC821" w14:textId="77777777" w:rsidR="00CB49D7" w:rsidRPr="00CB49D7" w:rsidRDefault="00CB49D7" w:rsidP="00CB49D7">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444385A9"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6D6B7EFB"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4FF3542D"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44F118E4"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7054B4CC"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r>
      <w:tr w:rsidR="00CB49D7" w:rsidRPr="00124C67" w14:paraId="4DC73847" w14:textId="77777777" w:rsidTr="00836669">
        <w:trPr>
          <w:trHeight w:val="279"/>
        </w:trPr>
        <w:tc>
          <w:tcPr>
            <w:tcW w:w="3936" w:type="dxa"/>
            <w:tcBorders>
              <w:top w:val="nil"/>
              <w:left w:val="nil"/>
              <w:bottom w:val="nil"/>
              <w:right w:val="nil"/>
            </w:tcBorders>
            <w:shd w:val="clear" w:color="auto" w:fill="auto"/>
            <w:noWrap/>
            <w:vAlign w:val="center"/>
            <w:hideMark/>
          </w:tcPr>
          <w:p w14:paraId="775A7FB0" w14:textId="77777777" w:rsidR="00CB49D7" w:rsidRPr="00CB49D7" w:rsidRDefault="00CB49D7" w:rsidP="00CB49D7">
            <w:pPr>
              <w:spacing w:after="0"/>
              <w:jc w:val="left"/>
              <w:rPr>
                <w:rFonts w:eastAsia="Times New Roman"/>
                <w:color w:val="000000"/>
                <w:sz w:val="20"/>
                <w:szCs w:val="20"/>
                <w:lang w:val="es-AR"/>
              </w:rPr>
            </w:pPr>
            <w:r w:rsidRPr="00CB49D7">
              <w:rPr>
                <w:rFonts w:eastAsia="Times New Roman"/>
                <w:color w:val="000000"/>
                <w:sz w:val="20"/>
                <w:szCs w:val="20"/>
                <w:lang w:val="es-AR"/>
              </w:rPr>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65E17D98" w14:textId="3B78F3BC" w:rsidR="00CB49D7" w:rsidRPr="00CB49D7" w:rsidRDefault="00CB49D7" w:rsidP="00CB49D7">
            <w:pPr>
              <w:spacing w:after="0"/>
              <w:jc w:val="center"/>
              <w:rPr>
                <w:rFonts w:eastAsia="Times New Roman"/>
                <w:color w:val="000000"/>
                <w:sz w:val="20"/>
                <w:szCs w:val="20"/>
                <w:lang w:val="es-AR"/>
              </w:rPr>
            </w:pPr>
            <w:r w:rsidRPr="00CB49D7">
              <w:rPr>
                <w:sz w:val="20"/>
                <w:szCs w:val="20"/>
              </w:rPr>
              <w:t>-0.14</w:t>
            </w:r>
          </w:p>
        </w:tc>
        <w:tc>
          <w:tcPr>
            <w:tcW w:w="865" w:type="dxa"/>
            <w:tcBorders>
              <w:top w:val="nil"/>
              <w:left w:val="nil"/>
              <w:bottom w:val="nil"/>
              <w:right w:val="nil"/>
            </w:tcBorders>
            <w:shd w:val="clear" w:color="auto" w:fill="auto"/>
            <w:noWrap/>
            <w:hideMark/>
          </w:tcPr>
          <w:p w14:paraId="169C1766" w14:textId="5B887A62"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41" w:type="dxa"/>
            <w:tcBorders>
              <w:top w:val="nil"/>
              <w:left w:val="nil"/>
              <w:bottom w:val="nil"/>
              <w:right w:val="nil"/>
            </w:tcBorders>
            <w:shd w:val="clear" w:color="auto" w:fill="auto"/>
            <w:noWrap/>
            <w:hideMark/>
          </w:tcPr>
          <w:p w14:paraId="7D3A5C19" w14:textId="33B66CCE" w:rsidR="00CB49D7" w:rsidRPr="00CB49D7" w:rsidRDefault="00CB49D7" w:rsidP="00CB49D7">
            <w:pPr>
              <w:spacing w:after="0"/>
              <w:jc w:val="center"/>
              <w:rPr>
                <w:rFonts w:eastAsia="Times New Roman"/>
                <w:color w:val="000000"/>
                <w:sz w:val="20"/>
                <w:szCs w:val="20"/>
                <w:lang w:val="es-AR"/>
              </w:rPr>
            </w:pPr>
            <w:r w:rsidRPr="00CB49D7">
              <w:rPr>
                <w:sz w:val="20"/>
                <w:szCs w:val="20"/>
              </w:rPr>
              <w:t>-2.70</w:t>
            </w:r>
          </w:p>
        </w:tc>
        <w:tc>
          <w:tcPr>
            <w:tcW w:w="660" w:type="dxa"/>
            <w:tcBorders>
              <w:top w:val="nil"/>
              <w:left w:val="nil"/>
              <w:bottom w:val="nil"/>
              <w:right w:val="nil"/>
            </w:tcBorders>
            <w:shd w:val="clear" w:color="auto" w:fill="auto"/>
            <w:noWrap/>
            <w:hideMark/>
          </w:tcPr>
          <w:p w14:paraId="42EC2630" w14:textId="5338638E" w:rsidR="00CB49D7" w:rsidRPr="00CB49D7" w:rsidRDefault="00CB49D7" w:rsidP="00CB49D7">
            <w:pPr>
              <w:spacing w:after="0"/>
              <w:jc w:val="center"/>
              <w:rPr>
                <w:rFonts w:eastAsia="Times New Roman"/>
                <w:color w:val="000000"/>
                <w:sz w:val="20"/>
                <w:szCs w:val="20"/>
                <w:lang w:val="es-AR"/>
              </w:rPr>
            </w:pPr>
            <w:r w:rsidRPr="00CB49D7">
              <w:rPr>
                <w:sz w:val="20"/>
                <w:szCs w:val="20"/>
              </w:rPr>
              <w:t>0.01</w:t>
            </w:r>
          </w:p>
        </w:tc>
        <w:tc>
          <w:tcPr>
            <w:tcW w:w="660" w:type="dxa"/>
            <w:tcBorders>
              <w:top w:val="nil"/>
              <w:left w:val="nil"/>
              <w:bottom w:val="nil"/>
              <w:right w:val="nil"/>
            </w:tcBorders>
            <w:shd w:val="clear" w:color="auto" w:fill="auto"/>
            <w:noWrap/>
            <w:hideMark/>
          </w:tcPr>
          <w:p w14:paraId="7881EA0F" w14:textId="5BEB6919" w:rsidR="00CB49D7" w:rsidRPr="00CB49D7" w:rsidRDefault="00CB49D7" w:rsidP="00CB49D7">
            <w:pPr>
              <w:spacing w:after="0"/>
              <w:jc w:val="center"/>
              <w:rPr>
                <w:rFonts w:eastAsia="Times New Roman"/>
                <w:color w:val="000000"/>
                <w:sz w:val="20"/>
                <w:szCs w:val="20"/>
                <w:lang w:val="es-AR"/>
              </w:rPr>
            </w:pPr>
            <w:r w:rsidRPr="00CB49D7">
              <w:rPr>
                <w:sz w:val="20"/>
                <w:szCs w:val="20"/>
              </w:rPr>
              <w:t>-0.22</w:t>
            </w:r>
          </w:p>
        </w:tc>
        <w:tc>
          <w:tcPr>
            <w:tcW w:w="1045" w:type="dxa"/>
            <w:tcBorders>
              <w:top w:val="nil"/>
              <w:left w:val="nil"/>
              <w:bottom w:val="nil"/>
              <w:right w:val="nil"/>
            </w:tcBorders>
            <w:shd w:val="clear" w:color="auto" w:fill="auto"/>
            <w:noWrap/>
            <w:hideMark/>
          </w:tcPr>
          <w:p w14:paraId="2AFD2D7F" w14:textId="37020E52"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r>
      <w:tr w:rsidR="00CB49D7" w:rsidRPr="00124C67" w14:paraId="145F7D94" w14:textId="77777777" w:rsidTr="00836669">
        <w:trPr>
          <w:trHeight w:val="279"/>
        </w:trPr>
        <w:tc>
          <w:tcPr>
            <w:tcW w:w="3936" w:type="dxa"/>
            <w:tcBorders>
              <w:top w:val="nil"/>
              <w:left w:val="nil"/>
              <w:bottom w:val="nil"/>
              <w:right w:val="nil"/>
            </w:tcBorders>
            <w:shd w:val="clear" w:color="auto" w:fill="auto"/>
            <w:noWrap/>
            <w:vAlign w:val="center"/>
            <w:hideMark/>
          </w:tcPr>
          <w:p w14:paraId="6EC6DF25" w14:textId="77777777" w:rsidR="00CB49D7" w:rsidRPr="00CB49D7" w:rsidRDefault="00CB49D7" w:rsidP="00CB49D7">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Independent</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5E6B8919" w14:textId="532CC106"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65" w:type="dxa"/>
            <w:tcBorders>
              <w:top w:val="nil"/>
              <w:left w:val="nil"/>
              <w:bottom w:val="nil"/>
              <w:right w:val="nil"/>
            </w:tcBorders>
            <w:shd w:val="clear" w:color="auto" w:fill="auto"/>
            <w:noWrap/>
            <w:hideMark/>
          </w:tcPr>
          <w:p w14:paraId="5E776B42" w14:textId="53E47B31" w:rsidR="00CB49D7" w:rsidRPr="00CB49D7" w:rsidRDefault="00CB49D7" w:rsidP="00CB49D7">
            <w:pPr>
              <w:spacing w:after="0"/>
              <w:jc w:val="center"/>
              <w:rPr>
                <w:rFonts w:eastAsia="Times New Roman"/>
                <w:color w:val="000000"/>
                <w:sz w:val="20"/>
                <w:szCs w:val="20"/>
                <w:lang w:val="es-AR"/>
              </w:rPr>
            </w:pPr>
            <w:r w:rsidRPr="00CB49D7">
              <w:rPr>
                <w:sz w:val="20"/>
                <w:szCs w:val="20"/>
              </w:rPr>
              <w:t>0.06</w:t>
            </w:r>
          </w:p>
        </w:tc>
        <w:tc>
          <w:tcPr>
            <w:tcW w:w="841" w:type="dxa"/>
            <w:tcBorders>
              <w:top w:val="nil"/>
              <w:left w:val="nil"/>
              <w:bottom w:val="nil"/>
              <w:right w:val="nil"/>
            </w:tcBorders>
            <w:shd w:val="clear" w:color="auto" w:fill="auto"/>
            <w:noWrap/>
            <w:hideMark/>
          </w:tcPr>
          <w:p w14:paraId="265AA163" w14:textId="42E945C4" w:rsidR="00CB49D7" w:rsidRPr="00CB49D7" w:rsidRDefault="00CB49D7" w:rsidP="00CB49D7">
            <w:pPr>
              <w:spacing w:after="0"/>
              <w:jc w:val="center"/>
              <w:rPr>
                <w:rFonts w:eastAsia="Times New Roman"/>
                <w:color w:val="000000"/>
                <w:sz w:val="20"/>
                <w:szCs w:val="20"/>
                <w:lang w:val="es-AR"/>
              </w:rPr>
            </w:pPr>
            <w:r w:rsidRPr="00CB49D7">
              <w:rPr>
                <w:sz w:val="20"/>
                <w:szCs w:val="20"/>
              </w:rPr>
              <w:t>0.95</w:t>
            </w:r>
          </w:p>
        </w:tc>
        <w:tc>
          <w:tcPr>
            <w:tcW w:w="660" w:type="dxa"/>
            <w:tcBorders>
              <w:top w:val="nil"/>
              <w:left w:val="nil"/>
              <w:bottom w:val="nil"/>
              <w:right w:val="nil"/>
            </w:tcBorders>
            <w:shd w:val="clear" w:color="auto" w:fill="auto"/>
            <w:noWrap/>
            <w:hideMark/>
          </w:tcPr>
          <w:p w14:paraId="7DEE27B5" w14:textId="7C603DBB" w:rsidR="00CB49D7" w:rsidRPr="00CB49D7" w:rsidRDefault="00CB49D7" w:rsidP="00CB49D7">
            <w:pPr>
              <w:spacing w:after="0"/>
              <w:jc w:val="center"/>
              <w:rPr>
                <w:rFonts w:eastAsia="Times New Roman"/>
                <w:color w:val="000000"/>
                <w:sz w:val="20"/>
                <w:szCs w:val="20"/>
                <w:lang w:val="es-AR"/>
              </w:rPr>
            </w:pPr>
            <w:r w:rsidRPr="00CB49D7">
              <w:rPr>
                <w:sz w:val="20"/>
                <w:szCs w:val="20"/>
              </w:rPr>
              <w:t>0.34</w:t>
            </w:r>
          </w:p>
        </w:tc>
        <w:tc>
          <w:tcPr>
            <w:tcW w:w="660" w:type="dxa"/>
            <w:tcBorders>
              <w:top w:val="nil"/>
              <w:left w:val="nil"/>
              <w:bottom w:val="nil"/>
              <w:right w:val="nil"/>
            </w:tcBorders>
            <w:shd w:val="clear" w:color="auto" w:fill="auto"/>
            <w:noWrap/>
            <w:hideMark/>
          </w:tcPr>
          <w:p w14:paraId="3476354E" w14:textId="4639F1B0" w:rsidR="00CB49D7" w:rsidRPr="00CB49D7" w:rsidRDefault="00CB49D7" w:rsidP="00CB49D7">
            <w:pPr>
              <w:spacing w:after="0"/>
              <w:jc w:val="center"/>
              <w:rPr>
                <w:rFonts w:eastAsia="Times New Roman"/>
                <w:color w:val="000000"/>
                <w:sz w:val="20"/>
                <w:szCs w:val="20"/>
                <w:lang w:val="es-AR"/>
              </w:rPr>
            </w:pPr>
            <w:r w:rsidRPr="00CB49D7">
              <w:rPr>
                <w:sz w:val="20"/>
                <w:szCs w:val="20"/>
              </w:rPr>
              <w:t>-0.04</w:t>
            </w:r>
          </w:p>
        </w:tc>
        <w:tc>
          <w:tcPr>
            <w:tcW w:w="1045" w:type="dxa"/>
            <w:tcBorders>
              <w:top w:val="nil"/>
              <w:left w:val="nil"/>
              <w:bottom w:val="nil"/>
              <w:right w:val="nil"/>
            </w:tcBorders>
            <w:shd w:val="clear" w:color="auto" w:fill="auto"/>
            <w:noWrap/>
            <w:hideMark/>
          </w:tcPr>
          <w:p w14:paraId="35E7B034" w14:textId="043772E0" w:rsidR="00CB49D7" w:rsidRPr="00CB49D7" w:rsidRDefault="00CB49D7" w:rsidP="00CB49D7">
            <w:pPr>
              <w:spacing w:after="0"/>
              <w:jc w:val="center"/>
              <w:rPr>
                <w:rFonts w:eastAsia="Times New Roman"/>
                <w:color w:val="000000"/>
                <w:sz w:val="20"/>
                <w:szCs w:val="20"/>
                <w:lang w:val="es-AR"/>
              </w:rPr>
            </w:pPr>
            <w:r w:rsidRPr="00CB49D7">
              <w:rPr>
                <w:sz w:val="20"/>
                <w:szCs w:val="20"/>
              </w:rPr>
              <w:t>0.14</w:t>
            </w:r>
          </w:p>
        </w:tc>
      </w:tr>
      <w:tr w:rsidR="00CB49D7" w:rsidRPr="00BF5447" w14:paraId="5586B680" w14:textId="77777777" w:rsidTr="00836669">
        <w:trPr>
          <w:trHeight w:val="558"/>
        </w:trPr>
        <w:tc>
          <w:tcPr>
            <w:tcW w:w="3936" w:type="dxa"/>
            <w:tcBorders>
              <w:top w:val="nil"/>
              <w:left w:val="nil"/>
              <w:bottom w:val="nil"/>
              <w:right w:val="nil"/>
            </w:tcBorders>
            <w:shd w:val="clear" w:color="auto" w:fill="auto"/>
            <w:vAlign w:val="center"/>
            <w:hideMark/>
          </w:tcPr>
          <w:p w14:paraId="2E616392" w14:textId="77777777" w:rsidR="00CB49D7" w:rsidRPr="00CB49D7" w:rsidRDefault="00CB49D7" w:rsidP="00CB49D7">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6935927B" w14:textId="77777777" w:rsidR="00CB49D7" w:rsidRPr="00CB49D7" w:rsidRDefault="00CB49D7" w:rsidP="00CB49D7">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47416C99"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33F00359"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19BD380A"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0B1B8EC9"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3B415C82" w14:textId="77777777" w:rsidR="00CB49D7" w:rsidRPr="00CB49D7" w:rsidRDefault="00CB49D7" w:rsidP="00CB49D7">
            <w:pPr>
              <w:spacing w:after="0"/>
              <w:jc w:val="center"/>
              <w:rPr>
                <w:rFonts w:ascii="Times New Roman" w:eastAsia="Times New Roman" w:hAnsi="Times New Roman" w:cs="Times New Roman"/>
                <w:sz w:val="20"/>
                <w:szCs w:val="20"/>
                <w:lang w:val="en-US"/>
              </w:rPr>
            </w:pPr>
          </w:p>
        </w:tc>
      </w:tr>
      <w:tr w:rsidR="00CB49D7" w:rsidRPr="00124C67" w14:paraId="2D6EF6A0" w14:textId="77777777" w:rsidTr="00836669">
        <w:trPr>
          <w:trHeight w:val="279"/>
        </w:trPr>
        <w:tc>
          <w:tcPr>
            <w:tcW w:w="3936" w:type="dxa"/>
            <w:tcBorders>
              <w:top w:val="nil"/>
              <w:left w:val="nil"/>
              <w:bottom w:val="nil"/>
              <w:right w:val="nil"/>
            </w:tcBorders>
            <w:shd w:val="clear" w:color="auto" w:fill="auto"/>
            <w:noWrap/>
            <w:vAlign w:val="center"/>
            <w:hideMark/>
          </w:tcPr>
          <w:p w14:paraId="2C142D16" w14:textId="77777777" w:rsidR="00CB49D7" w:rsidRPr="00CB49D7" w:rsidRDefault="00CB49D7" w:rsidP="00CB49D7">
            <w:pPr>
              <w:spacing w:after="0"/>
              <w:jc w:val="left"/>
              <w:rPr>
                <w:rFonts w:eastAsia="Times New Roman"/>
                <w:color w:val="000000"/>
                <w:sz w:val="20"/>
                <w:szCs w:val="20"/>
                <w:lang w:val="es-AR"/>
              </w:rPr>
            </w:pPr>
            <w:r w:rsidRPr="00CB49D7">
              <w:rPr>
                <w:rFonts w:eastAsia="Times New Roman"/>
                <w:color w:val="000000"/>
                <w:sz w:val="20"/>
                <w:szCs w:val="20"/>
                <w:lang w:val="es-AR"/>
              </w:rPr>
              <w:lastRenderedPageBreak/>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1D125DA4" w14:textId="24486412" w:rsidR="00CB49D7" w:rsidRPr="00CB49D7" w:rsidRDefault="00CB49D7" w:rsidP="00CB49D7">
            <w:pPr>
              <w:spacing w:after="0"/>
              <w:jc w:val="center"/>
              <w:rPr>
                <w:rFonts w:eastAsia="Times New Roman"/>
                <w:color w:val="000000"/>
                <w:sz w:val="20"/>
                <w:szCs w:val="20"/>
                <w:lang w:val="es-AR"/>
              </w:rPr>
            </w:pPr>
            <w:r w:rsidRPr="00CB49D7">
              <w:rPr>
                <w:sz w:val="20"/>
                <w:szCs w:val="20"/>
              </w:rPr>
              <w:t>0.07</w:t>
            </w:r>
          </w:p>
        </w:tc>
        <w:tc>
          <w:tcPr>
            <w:tcW w:w="865" w:type="dxa"/>
            <w:tcBorders>
              <w:top w:val="nil"/>
              <w:left w:val="nil"/>
              <w:bottom w:val="nil"/>
              <w:right w:val="nil"/>
            </w:tcBorders>
            <w:shd w:val="clear" w:color="auto" w:fill="auto"/>
            <w:noWrap/>
            <w:hideMark/>
          </w:tcPr>
          <w:p w14:paraId="649F1C57" w14:textId="45094AE4" w:rsidR="00CB49D7" w:rsidRPr="00CB49D7" w:rsidRDefault="00CB49D7" w:rsidP="00CB49D7">
            <w:pPr>
              <w:spacing w:after="0"/>
              <w:jc w:val="center"/>
              <w:rPr>
                <w:rFonts w:eastAsia="Times New Roman"/>
                <w:color w:val="000000"/>
                <w:sz w:val="20"/>
                <w:szCs w:val="20"/>
                <w:lang w:val="es-AR"/>
              </w:rPr>
            </w:pPr>
            <w:r w:rsidRPr="00CB49D7">
              <w:rPr>
                <w:sz w:val="20"/>
                <w:szCs w:val="20"/>
              </w:rPr>
              <w:t>0.05</w:t>
            </w:r>
          </w:p>
        </w:tc>
        <w:tc>
          <w:tcPr>
            <w:tcW w:w="841" w:type="dxa"/>
            <w:tcBorders>
              <w:top w:val="nil"/>
              <w:left w:val="nil"/>
              <w:bottom w:val="nil"/>
              <w:right w:val="nil"/>
            </w:tcBorders>
            <w:shd w:val="clear" w:color="auto" w:fill="auto"/>
            <w:noWrap/>
            <w:hideMark/>
          </w:tcPr>
          <w:p w14:paraId="470F258C" w14:textId="3AD72A45" w:rsidR="00CB49D7" w:rsidRPr="00CB49D7" w:rsidRDefault="00CB49D7" w:rsidP="00CB49D7">
            <w:pPr>
              <w:spacing w:after="0"/>
              <w:jc w:val="center"/>
              <w:rPr>
                <w:rFonts w:eastAsia="Times New Roman"/>
                <w:color w:val="000000"/>
                <w:sz w:val="20"/>
                <w:szCs w:val="20"/>
                <w:lang w:val="es-AR"/>
              </w:rPr>
            </w:pPr>
            <w:r w:rsidRPr="00CB49D7">
              <w:rPr>
                <w:sz w:val="20"/>
                <w:szCs w:val="20"/>
              </w:rPr>
              <w:t>1.38</w:t>
            </w:r>
          </w:p>
        </w:tc>
        <w:tc>
          <w:tcPr>
            <w:tcW w:w="660" w:type="dxa"/>
            <w:tcBorders>
              <w:top w:val="nil"/>
              <w:left w:val="nil"/>
              <w:bottom w:val="nil"/>
              <w:right w:val="nil"/>
            </w:tcBorders>
            <w:shd w:val="clear" w:color="auto" w:fill="auto"/>
            <w:noWrap/>
            <w:hideMark/>
          </w:tcPr>
          <w:p w14:paraId="2B2053F0" w14:textId="44E4F484" w:rsidR="00CB49D7" w:rsidRPr="00CB49D7" w:rsidRDefault="00CB49D7" w:rsidP="00CB49D7">
            <w:pPr>
              <w:spacing w:after="0"/>
              <w:jc w:val="center"/>
              <w:rPr>
                <w:rFonts w:eastAsia="Times New Roman"/>
                <w:color w:val="000000"/>
                <w:sz w:val="20"/>
                <w:szCs w:val="20"/>
                <w:lang w:val="es-AR"/>
              </w:rPr>
            </w:pPr>
            <w:r w:rsidRPr="00CB49D7">
              <w:rPr>
                <w:sz w:val="20"/>
                <w:szCs w:val="20"/>
              </w:rPr>
              <w:t>0.17</w:t>
            </w:r>
          </w:p>
        </w:tc>
        <w:tc>
          <w:tcPr>
            <w:tcW w:w="660" w:type="dxa"/>
            <w:tcBorders>
              <w:top w:val="nil"/>
              <w:left w:val="nil"/>
              <w:bottom w:val="nil"/>
              <w:right w:val="nil"/>
            </w:tcBorders>
            <w:shd w:val="clear" w:color="auto" w:fill="auto"/>
            <w:noWrap/>
            <w:hideMark/>
          </w:tcPr>
          <w:p w14:paraId="1240DD21" w14:textId="7A3AC9C2" w:rsidR="00CB49D7" w:rsidRPr="00CB49D7" w:rsidRDefault="00CB49D7" w:rsidP="00CB49D7">
            <w:pPr>
              <w:spacing w:after="0"/>
              <w:jc w:val="center"/>
              <w:rPr>
                <w:rFonts w:eastAsia="Times New Roman"/>
                <w:color w:val="000000"/>
                <w:sz w:val="20"/>
                <w:szCs w:val="20"/>
                <w:lang w:val="es-AR"/>
              </w:rPr>
            </w:pPr>
            <w:r w:rsidRPr="00CB49D7">
              <w:rPr>
                <w:sz w:val="20"/>
                <w:szCs w:val="20"/>
              </w:rPr>
              <w:t>-0.01</w:t>
            </w:r>
          </w:p>
        </w:tc>
        <w:tc>
          <w:tcPr>
            <w:tcW w:w="1045" w:type="dxa"/>
            <w:tcBorders>
              <w:top w:val="nil"/>
              <w:left w:val="nil"/>
              <w:bottom w:val="nil"/>
              <w:right w:val="nil"/>
            </w:tcBorders>
            <w:shd w:val="clear" w:color="auto" w:fill="auto"/>
            <w:noWrap/>
            <w:hideMark/>
          </w:tcPr>
          <w:p w14:paraId="5D7004A4" w14:textId="0E5A77F1" w:rsidR="00CB49D7" w:rsidRPr="00CB49D7" w:rsidRDefault="00CB49D7" w:rsidP="00CB49D7">
            <w:pPr>
              <w:spacing w:after="0"/>
              <w:jc w:val="center"/>
              <w:rPr>
                <w:rFonts w:eastAsia="Times New Roman"/>
                <w:color w:val="000000"/>
                <w:sz w:val="20"/>
                <w:szCs w:val="20"/>
                <w:lang w:val="es-AR"/>
              </w:rPr>
            </w:pPr>
            <w:r w:rsidRPr="00CB49D7">
              <w:rPr>
                <w:sz w:val="20"/>
                <w:szCs w:val="20"/>
              </w:rPr>
              <w:t>0.15</w:t>
            </w:r>
          </w:p>
        </w:tc>
      </w:tr>
      <w:tr w:rsidR="00CB49D7" w:rsidRPr="00124C67" w14:paraId="306BB4B5" w14:textId="77777777" w:rsidTr="00836669">
        <w:trPr>
          <w:trHeight w:val="279"/>
        </w:trPr>
        <w:tc>
          <w:tcPr>
            <w:tcW w:w="3936" w:type="dxa"/>
            <w:tcBorders>
              <w:top w:val="single" w:sz="4" w:space="0" w:color="auto"/>
              <w:left w:val="nil"/>
              <w:bottom w:val="nil"/>
              <w:right w:val="nil"/>
            </w:tcBorders>
            <w:shd w:val="clear" w:color="auto" w:fill="auto"/>
            <w:noWrap/>
            <w:vAlign w:val="center"/>
            <w:hideMark/>
          </w:tcPr>
          <w:p w14:paraId="69EDF876" w14:textId="77777777" w:rsidR="00CB49D7" w:rsidRPr="00CB49D7" w:rsidRDefault="00CB49D7" w:rsidP="00CB49D7">
            <w:pPr>
              <w:spacing w:after="0"/>
              <w:jc w:val="left"/>
              <w:rPr>
                <w:rFonts w:eastAsia="Times New Roman"/>
                <w:color w:val="000000"/>
                <w:sz w:val="20"/>
                <w:szCs w:val="20"/>
                <w:lang w:val="es-AR"/>
              </w:rPr>
            </w:pPr>
            <w:r w:rsidRPr="00CB49D7">
              <w:rPr>
                <w:rFonts w:eastAsia="Times New Roman"/>
                <w:color w:val="000000"/>
                <w:sz w:val="20"/>
                <w:szCs w:val="20"/>
                <w:lang w:val="es-AR"/>
              </w:rPr>
              <w:t>R2</w:t>
            </w:r>
          </w:p>
        </w:tc>
        <w:tc>
          <w:tcPr>
            <w:tcW w:w="965" w:type="dxa"/>
            <w:tcBorders>
              <w:top w:val="single" w:sz="4" w:space="0" w:color="auto"/>
              <w:left w:val="nil"/>
              <w:bottom w:val="nil"/>
              <w:right w:val="nil"/>
            </w:tcBorders>
            <w:shd w:val="clear" w:color="auto" w:fill="auto"/>
            <w:noWrap/>
            <w:hideMark/>
          </w:tcPr>
          <w:p w14:paraId="6961B576" w14:textId="093A9FEA" w:rsidR="00CB49D7" w:rsidRPr="00CB49D7" w:rsidRDefault="00CB49D7" w:rsidP="00CB49D7">
            <w:pPr>
              <w:spacing w:after="0"/>
              <w:jc w:val="center"/>
              <w:rPr>
                <w:rFonts w:eastAsia="Times New Roman"/>
                <w:color w:val="000000"/>
                <w:sz w:val="20"/>
                <w:szCs w:val="20"/>
                <w:lang w:val="es-AR"/>
              </w:rPr>
            </w:pPr>
            <w:r w:rsidRPr="00CB49D7">
              <w:rPr>
                <w:sz w:val="20"/>
                <w:szCs w:val="20"/>
              </w:rPr>
              <w:t>0.01</w:t>
            </w:r>
          </w:p>
        </w:tc>
        <w:tc>
          <w:tcPr>
            <w:tcW w:w="865" w:type="dxa"/>
            <w:tcBorders>
              <w:top w:val="single" w:sz="4" w:space="0" w:color="auto"/>
              <w:left w:val="nil"/>
              <w:bottom w:val="nil"/>
              <w:right w:val="nil"/>
            </w:tcBorders>
            <w:shd w:val="clear" w:color="auto" w:fill="auto"/>
            <w:noWrap/>
            <w:hideMark/>
          </w:tcPr>
          <w:p w14:paraId="647B4D9A" w14:textId="29158610"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841" w:type="dxa"/>
            <w:tcBorders>
              <w:top w:val="single" w:sz="4" w:space="0" w:color="auto"/>
              <w:left w:val="nil"/>
              <w:bottom w:val="nil"/>
              <w:right w:val="nil"/>
            </w:tcBorders>
            <w:shd w:val="clear" w:color="auto" w:fill="auto"/>
            <w:noWrap/>
            <w:hideMark/>
          </w:tcPr>
          <w:p w14:paraId="695CEFB3" w14:textId="39C4D42D"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660" w:type="dxa"/>
            <w:tcBorders>
              <w:top w:val="single" w:sz="4" w:space="0" w:color="auto"/>
              <w:left w:val="nil"/>
              <w:bottom w:val="nil"/>
              <w:right w:val="nil"/>
            </w:tcBorders>
            <w:shd w:val="clear" w:color="auto" w:fill="auto"/>
            <w:noWrap/>
            <w:hideMark/>
          </w:tcPr>
          <w:p w14:paraId="2D648F4E" w14:textId="4F0C9D4F"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660" w:type="dxa"/>
            <w:tcBorders>
              <w:top w:val="single" w:sz="4" w:space="0" w:color="auto"/>
              <w:left w:val="nil"/>
              <w:bottom w:val="nil"/>
              <w:right w:val="nil"/>
            </w:tcBorders>
            <w:shd w:val="clear" w:color="auto" w:fill="auto"/>
            <w:noWrap/>
            <w:hideMark/>
          </w:tcPr>
          <w:p w14:paraId="05DA5EAF" w14:textId="31FBCD2C"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1045" w:type="dxa"/>
            <w:tcBorders>
              <w:top w:val="single" w:sz="4" w:space="0" w:color="auto"/>
              <w:left w:val="nil"/>
              <w:bottom w:val="nil"/>
              <w:right w:val="nil"/>
            </w:tcBorders>
            <w:shd w:val="clear" w:color="auto" w:fill="auto"/>
            <w:noWrap/>
            <w:hideMark/>
          </w:tcPr>
          <w:p w14:paraId="256F0DA8" w14:textId="23FAD2EC"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r>
      <w:tr w:rsidR="00CB49D7" w:rsidRPr="00124C67" w14:paraId="416E41AF" w14:textId="77777777" w:rsidTr="00836669">
        <w:trPr>
          <w:trHeight w:val="279"/>
        </w:trPr>
        <w:tc>
          <w:tcPr>
            <w:tcW w:w="3936" w:type="dxa"/>
            <w:tcBorders>
              <w:top w:val="nil"/>
              <w:left w:val="nil"/>
              <w:bottom w:val="single" w:sz="4" w:space="0" w:color="auto"/>
              <w:right w:val="nil"/>
            </w:tcBorders>
            <w:shd w:val="clear" w:color="auto" w:fill="auto"/>
            <w:noWrap/>
            <w:vAlign w:val="center"/>
            <w:hideMark/>
          </w:tcPr>
          <w:p w14:paraId="2F0052F4" w14:textId="77777777" w:rsidR="00CB49D7" w:rsidRPr="00CB49D7" w:rsidRDefault="00CB49D7" w:rsidP="00CB49D7">
            <w:pPr>
              <w:spacing w:after="0"/>
              <w:jc w:val="left"/>
              <w:rPr>
                <w:rFonts w:eastAsia="Times New Roman"/>
                <w:color w:val="000000"/>
                <w:sz w:val="20"/>
                <w:szCs w:val="20"/>
                <w:lang w:val="es-AR"/>
              </w:rPr>
            </w:pPr>
            <w:r w:rsidRPr="00CB49D7">
              <w:rPr>
                <w:rFonts w:eastAsia="Times New Roman"/>
                <w:color w:val="000000"/>
                <w:sz w:val="20"/>
                <w:szCs w:val="20"/>
                <w:lang w:val="es-AR"/>
              </w:rPr>
              <w:t>n</w:t>
            </w:r>
          </w:p>
        </w:tc>
        <w:tc>
          <w:tcPr>
            <w:tcW w:w="965" w:type="dxa"/>
            <w:tcBorders>
              <w:top w:val="nil"/>
              <w:left w:val="nil"/>
              <w:bottom w:val="single" w:sz="4" w:space="0" w:color="auto"/>
              <w:right w:val="nil"/>
            </w:tcBorders>
            <w:shd w:val="clear" w:color="auto" w:fill="auto"/>
            <w:noWrap/>
            <w:hideMark/>
          </w:tcPr>
          <w:p w14:paraId="3A7B3441" w14:textId="2D601F72" w:rsidR="00CB49D7" w:rsidRPr="00CB49D7" w:rsidRDefault="00CB49D7" w:rsidP="00CB49D7">
            <w:pPr>
              <w:spacing w:after="0"/>
              <w:jc w:val="center"/>
              <w:rPr>
                <w:rFonts w:eastAsia="Times New Roman"/>
                <w:color w:val="000000"/>
                <w:sz w:val="20"/>
                <w:szCs w:val="20"/>
                <w:lang w:val="es-AR"/>
              </w:rPr>
            </w:pPr>
            <w:r w:rsidRPr="00CB49D7">
              <w:rPr>
                <w:sz w:val="20"/>
                <w:szCs w:val="20"/>
              </w:rPr>
              <w:t>2646</w:t>
            </w:r>
          </w:p>
        </w:tc>
        <w:tc>
          <w:tcPr>
            <w:tcW w:w="865" w:type="dxa"/>
            <w:tcBorders>
              <w:top w:val="nil"/>
              <w:left w:val="nil"/>
              <w:bottom w:val="single" w:sz="4" w:space="0" w:color="auto"/>
              <w:right w:val="nil"/>
            </w:tcBorders>
            <w:shd w:val="clear" w:color="auto" w:fill="auto"/>
            <w:noWrap/>
            <w:hideMark/>
          </w:tcPr>
          <w:p w14:paraId="239084BF" w14:textId="6559B909"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841" w:type="dxa"/>
            <w:tcBorders>
              <w:top w:val="nil"/>
              <w:left w:val="nil"/>
              <w:bottom w:val="single" w:sz="4" w:space="0" w:color="auto"/>
              <w:right w:val="nil"/>
            </w:tcBorders>
            <w:shd w:val="clear" w:color="auto" w:fill="auto"/>
            <w:noWrap/>
            <w:hideMark/>
          </w:tcPr>
          <w:p w14:paraId="7A4152C6" w14:textId="3E1C8B40"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660" w:type="dxa"/>
            <w:tcBorders>
              <w:top w:val="nil"/>
              <w:left w:val="nil"/>
              <w:bottom w:val="single" w:sz="4" w:space="0" w:color="auto"/>
              <w:right w:val="nil"/>
            </w:tcBorders>
            <w:shd w:val="clear" w:color="auto" w:fill="auto"/>
            <w:noWrap/>
            <w:hideMark/>
          </w:tcPr>
          <w:p w14:paraId="37116965" w14:textId="6816EF30"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660" w:type="dxa"/>
            <w:tcBorders>
              <w:top w:val="nil"/>
              <w:left w:val="nil"/>
              <w:bottom w:val="single" w:sz="4" w:space="0" w:color="auto"/>
              <w:right w:val="nil"/>
            </w:tcBorders>
            <w:shd w:val="clear" w:color="auto" w:fill="auto"/>
            <w:noWrap/>
            <w:hideMark/>
          </w:tcPr>
          <w:p w14:paraId="32051E16" w14:textId="52E2F594"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c>
          <w:tcPr>
            <w:tcW w:w="1045" w:type="dxa"/>
            <w:tcBorders>
              <w:top w:val="nil"/>
              <w:left w:val="nil"/>
              <w:bottom w:val="single" w:sz="4" w:space="0" w:color="auto"/>
              <w:right w:val="nil"/>
            </w:tcBorders>
            <w:shd w:val="clear" w:color="auto" w:fill="auto"/>
            <w:noWrap/>
            <w:hideMark/>
          </w:tcPr>
          <w:p w14:paraId="095FF608" w14:textId="67F4133E" w:rsidR="00CB49D7" w:rsidRPr="00CB49D7" w:rsidRDefault="00CB49D7" w:rsidP="00CB49D7">
            <w:pPr>
              <w:spacing w:after="0"/>
              <w:jc w:val="center"/>
              <w:rPr>
                <w:rFonts w:eastAsia="Times New Roman"/>
                <w:color w:val="000000"/>
                <w:sz w:val="20"/>
                <w:szCs w:val="20"/>
                <w:lang w:val="es-AR"/>
              </w:rPr>
            </w:pPr>
            <w:r w:rsidRPr="00CB49D7">
              <w:rPr>
                <w:sz w:val="20"/>
                <w:szCs w:val="20"/>
              </w:rPr>
              <w:t>#N/A</w:t>
            </w:r>
          </w:p>
        </w:tc>
      </w:tr>
    </w:tbl>
    <w:p w14:paraId="3DDAB9EE" w14:textId="404A35ED" w:rsidR="002F0A15" w:rsidRPr="00546537" w:rsidRDefault="002F0A15" w:rsidP="002F0A15">
      <w:pPr>
        <w:pBdr>
          <w:top w:val="nil"/>
          <w:left w:val="nil"/>
          <w:bottom w:val="nil"/>
          <w:right w:val="nil"/>
          <w:between w:val="nil"/>
        </w:pBdr>
        <w:spacing w:after="0"/>
        <w:rPr>
          <w:lang w:val="en-US"/>
        </w:rPr>
      </w:pPr>
      <w:r w:rsidRPr="007D3DD1">
        <w:rPr>
          <w:b/>
          <w:bCs/>
          <w:lang w:val="en"/>
        </w:rPr>
        <w:t xml:space="preserve">Table </w:t>
      </w:r>
      <w:r>
        <w:rPr>
          <w:b/>
          <w:bCs/>
          <w:lang w:val="en"/>
        </w:rPr>
        <w:t>A2.4</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p value less than 5%, *** p value less than 1%. Industry and occupation similarity have been build based on all</w:t>
      </w:r>
      <w:r w:rsidR="00CB49D7">
        <w:rPr>
          <w:lang w:val="en-US"/>
        </w:rPr>
        <w:t xml:space="preserve"> job-to-job transitions</w:t>
      </w:r>
      <w:r w:rsidR="006B4769">
        <w:rPr>
          <w:lang w:val="en-US"/>
        </w:rPr>
        <w:t xml:space="preserve">. </w:t>
      </w:r>
      <w:r w:rsidR="00695CA7">
        <w:rPr>
          <w:lang w:val="en-US"/>
        </w:rPr>
        <w:t>The sample in this regression comprises all the job-to-job transitions that do not include a period of unemployment.</w:t>
      </w:r>
    </w:p>
    <w:p w14:paraId="0B1BB3C2" w14:textId="77777777" w:rsidR="002F0A15" w:rsidRDefault="002F0A15" w:rsidP="002F0A15">
      <w:pPr>
        <w:rPr>
          <w:lang w:val="en-US"/>
        </w:rPr>
      </w:pPr>
    </w:p>
    <w:tbl>
      <w:tblPr>
        <w:tblW w:w="8972" w:type="dxa"/>
        <w:tblCellMar>
          <w:left w:w="70" w:type="dxa"/>
          <w:right w:w="70" w:type="dxa"/>
        </w:tblCellMar>
        <w:tblLook w:val="04A0" w:firstRow="1" w:lastRow="0" w:firstColumn="1" w:lastColumn="0" w:noHBand="0" w:noVBand="1"/>
      </w:tblPr>
      <w:tblGrid>
        <w:gridCol w:w="3936"/>
        <w:gridCol w:w="965"/>
        <w:gridCol w:w="865"/>
        <w:gridCol w:w="841"/>
        <w:gridCol w:w="660"/>
        <w:gridCol w:w="660"/>
        <w:gridCol w:w="1045"/>
      </w:tblGrid>
      <w:tr w:rsidR="00CB49D7" w:rsidRPr="00124C67" w14:paraId="5D760C50" w14:textId="77777777" w:rsidTr="00836669">
        <w:trPr>
          <w:trHeight w:val="279"/>
        </w:trPr>
        <w:tc>
          <w:tcPr>
            <w:tcW w:w="3936" w:type="dxa"/>
            <w:tcBorders>
              <w:top w:val="single" w:sz="4" w:space="0" w:color="auto"/>
              <w:left w:val="nil"/>
              <w:bottom w:val="single" w:sz="4" w:space="0" w:color="auto"/>
              <w:right w:val="nil"/>
            </w:tcBorders>
            <w:shd w:val="clear" w:color="auto" w:fill="auto"/>
            <w:noWrap/>
            <w:vAlign w:val="center"/>
            <w:hideMark/>
          </w:tcPr>
          <w:p w14:paraId="1003B7D9" w14:textId="77777777" w:rsidR="00CB49D7" w:rsidRPr="00CB49D7" w:rsidRDefault="00CB49D7"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Dep</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var</w:t>
            </w:r>
            <w:proofErr w:type="spellEnd"/>
          </w:p>
          <w:p w14:paraId="79B0C07E" w14:textId="77777777" w:rsidR="00CB49D7" w:rsidRPr="00CB49D7" w:rsidRDefault="00CB49D7"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QuarterlyChangeRealHourlyWage</w:t>
            </w:r>
            <w:proofErr w:type="spellEnd"/>
          </w:p>
        </w:tc>
        <w:tc>
          <w:tcPr>
            <w:tcW w:w="965" w:type="dxa"/>
            <w:tcBorders>
              <w:top w:val="single" w:sz="4" w:space="0" w:color="auto"/>
              <w:left w:val="nil"/>
              <w:bottom w:val="single" w:sz="4" w:space="0" w:color="auto"/>
              <w:right w:val="nil"/>
            </w:tcBorders>
            <w:shd w:val="clear" w:color="auto" w:fill="auto"/>
            <w:noWrap/>
            <w:vAlign w:val="center"/>
            <w:hideMark/>
          </w:tcPr>
          <w:p w14:paraId="0CD5989D" w14:textId="77777777" w:rsidR="00CB49D7" w:rsidRPr="00CB49D7" w:rsidRDefault="00CB49D7"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estimate</w:t>
            </w:r>
            <w:proofErr w:type="spellEnd"/>
          </w:p>
        </w:tc>
        <w:tc>
          <w:tcPr>
            <w:tcW w:w="865" w:type="dxa"/>
            <w:tcBorders>
              <w:top w:val="single" w:sz="4" w:space="0" w:color="auto"/>
              <w:left w:val="nil"/>
              <w:bottom w:val="single" w:sz="4" w:space="0" w:color="auto"/>
              <w:right w:val="nil"/>
            </w:tcBorders>
            <w:shd w:val="clear" w:color="auto" w:fill="auto"/>
            <w:noWrap/>
            <w:vAlign w:val="center"/>
            <w:hideMark/>
          </w:tcPr>
          <w:p w14:paraId="794C75CE" w14:textId="77777777" w:rsidR="00CB49D7" w:rsidRPr="00CB49D7" w:rsidRDefault="00CB49D7" w:rsidP="00836669">
            <w:pPr>
              <w:spacing w:after="0"/>
              <w:jc w:val="center"/>
              <w:rPr>
                <w:rFonts w:eastAsia="Times New Roman"/>
                <w:color w:val="000000"/>
                <w:sz w:val="20"/>
                <w:szCs w:val="20"/>
                <w:lang w:val="es-AR"/>
              </w:rPr>
            </w:pPr>
            <w:proofErr w:type="spellStart"/>
            <w:proofErr w:type="gramStart"/>
            <w:r w:rsidRPr="00CB49D7">
              <w:rPr>
                <w:rFonts w:eastAsia="Times New Roman"/>
                <w:color w:val="000000"/>
                <w:sz w:val="20"/>
                <w:szCs w:val="20"/>
                <w:lang w:val="es-AR"/>
              </w:rPr>
              <w:t>std.error</w:t>
            </w:r>
            <w:proofErr w:type="spellEnd"/>
            <w:proofErr w:type="gramEnd"/>
          </w:p>
        </w:tc>
        <w:tc>
          <w:tcPr>
            <w:tcW w:w="841" w:type="dxa"/>
            <w:tcBorders>
              <w:top w:val="single" w:sz="4" w:space="0" w:color="auto"/>
              <w:left w:val="nil"/>
              <w:bottom w:val="single" w:sz="4" w:space="0" w:color="auto"/>
              <w:right w:val="nil"/>
            </w:tcBorders>
            <w:shd w:val="clear" w:color="auto" w:fill="auto"/>
            <w:noWrap/>
            <w:vAlign w:val="center"/>
            <w:hideMark/>
          </w:tcPr>
          <w:p w14:paraId="05505793" w14:textId="77777777" w:rsidR="00CB49D7" w:rsidRPr="00CB49D7" w:rsidRDefault="00CB49D7"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p.value</w:t>
            </w:r>
            <w:proofErr w:type="spellEnd"/>
          </w:p>
        </w:tc>
        <w:tc>
          <w:tcPr>
            <w:tcW w:w="660" w:type="dxa"/>
            <w:tcBorders>
              <w:top w:val="single" w:sz="4" w:space="0" w:color="auto"/>
              <w:left w:val="nil"/>
              <w:bottom w:val="single" w:sz="4" w:space="0" w:color="auto"/>
              <w:right w:val="nil"/>
            </w:tcBorders>
            <w:shd w:val="clear" w:color="auto" w:fill="auto"/>
            <w:noWrap/>
            <w:vAlign w:val="center"/>
            <w:hideMark/>
          </w:tcPr>
          <w:p w14:paraId="763C6011" w14:textId="77777777" w:rsidR="00CB49D7" w:rsidRPr="00CB49D7" w:rsidRDefault="00CB49D7" w:rsidP="00836669">
            <w:pPr>
              <w:spacing w:after="0"/>
              <w:jc w:val="center"/>
              <w:rPr>
                <w:rFonts w:eastAsia="Times New Roman"/>
                <w:color w:val="000000"/>
                <w:sz w:val="20"/>
                <w:szCs w:val="20"/>
                <w:lang w:val="es-AR"/>
              </w:rPr>
            </w:pPr>
            <w:r w:rsidRPr="00CB49D7">
              <w:rPr>
                <w:rFonts w:eastAsia="Times New Roman"/>
                <w:color w:val="000000"/>
                <w:sz w:val="20"/>
                <w:szCs w:val="20"/>
                <w:lang w:val="es-AR"/>
              </w:rPr>
              <w:t>Lb (CI 90%)</w:t>
            </w:r>
          </w:p>
        </w:tc>
        <w:tc>
          <w:tcPr>
            <w:tcW w:w="660" w:type="dxa"/>
            <w:tcBorders>
              <w:top w:val="single" w:sz="4" w:space="0" w:color="auto"/>
              <w:left w:val="nil"/>
              <w:bottom w:val="single" w:sz="4" w:space="0" w:color="auto"/>
              <w:right w:val="nil"/>
            </w:tcBorders>
            <w:shd w:val="clear" w:color="auto" w:fill="auto"/>
            <w:noWrap/>
            <w:vAlign w:val="center"/>
            <w:hideMark/>
          </w:tcPr>
          <w:p w14:paraId="053E58D3" w14:textId="77777777" w:rsidR="00CB49D7" w:rsidRPr="00CB49D7" w:rsidRDefault="00CB49D7"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Ub</w:t>
            </w:r>
            <w:proofErr w:type="spellEnd"/>
            <w:r w:rsidRPr="00CB49D7">
              <w:rPr>
                <w:rFonts w:eastAsia="Times New Roman"/>
                <w:color w:val="000000"/>
                <w:sz w:val="20"/>
                <w:szCs w:val="20"/>
                <w:lang w:val="es-AR"/>
              </w:rPr>
              <w:t xml:space="preserve"> (CI 90%)</w:t>
            </w:r>
          </w:p>
        </w:tc>
        <w:tc>
          <w:tcPr>
            <w:tcW w:w="1045" w:type="dxa"/>
            <w:tcBorders>
              <w:top w:val="single" w:sz="4" w:space="0" w:color="auto"/>
              <w:left w:val="nil"/>
              <w:bottom w:val="single" w:sz="4" w:space="0" w:color="auto"/>
              <w:right w:val="nil"/>
            </w:tcBorders>
            <w:shd w:val="clear" w:color="auto" w:fill="auto"/>
            <w:noWrap/>
            <w:vAlign w:val="center"/>
            <w:hideMark/>
          </w:tcPr>
          <w:p w14:paraId="43E258D0" w14:textId="77777777" w:rsidR="00CB49D7" w:rsidRPr="00CB49D7" w:rsidRDefault="00CB49D7"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coefPvalue</w:t>
            </w:r>
            <w:proofErr w:type="spellEnd"/>
          </w:p>
        </w:tc>
      </w:tr>
      <w:tr w:rsidR="00F9320E" w:rsidRPr="00124C67" w14:paraId="4513ABF8" w14:textId="77777777" w:rsidTr="00836669">
        <w:trPr>
          <w:trHeight w:val="279"/>
        </w:trPr>
        <w:tc>
          <w:tcPr>
            <w:tcW w:w="3936" w:type="dxa"/>
            <w:tcBorders>
              <w:top w:val="nil"/>
              <w:left w:val="nil"/>
              <w:bottom w:val="nil"/>
              <w:right w:val="nil"/>
            </w:tcBorders>
            <w:shd w:val="clear" w:color="auto" w:fill="auto"/>
            <w:noWrap/>
            <w:vAlign w:val="center"/>
            <w:hideMark/>
          </w:tcPr>
          <w:p w14:paraId="14C3305B"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w:t>
            </w:r>
            <w:proofErr w:type="spellStart"/>
            <w:r w:rsidRPr="00CB49D7">
              <w:rPr>
                <w:rFonts w:eastAsia="Times New Roman"/>
                <w:color w:val="000000"/>
                <w:sz w:val="20"/>
                <w:szCs w:val="20"/>
                <w:lang w:val="es-AR"/>
              </w:rPr>
              <w:t>Intercept</w:t>
            </w:r>
            <w:proofErr w:type="spellEnd"/>
            <w:r w:rsidRPr="00CB49D7">
              <w:rPr>
                <w:rFonts w:eastAsia="Times New Roman"/>
                <w:color w:val="000000"/>
                <w:sz w:val="20"/>
                <w:szCs w:val="20"/>
                <w:lang w:val="es-AR"/>
              </w:rPr>
              <w:t>)</w:t>
            </w:r>
          </w:p>
        </w:tc>
        <w:tc>
          <w:tcPr>
            <w:tcW w:w="965" w:type="dxa"/>
            <w:tcBorders>
              <w:top w:val="nil"/>
              <w:left w:val="nil"/>
              <w:bottom w:val="nil"/>
              <w:right w:val="nil"/>
            </w:tcBorders>
            <w:shd w:val="clear" w:color="auto" w:fill="auto"/>
            <w:noWrap/>
            <w:hideMark/>
          </w:tcPr>
          <w:p w14:paraId="1F22DDFD" w14:textId="4C0432C9" w:rsidR="00F9320E" w:rsidRPr="00CB49D7" w:rsidRDefault="00F9320E" w:rsidP="00F9320E">
            <w:pPr>
              <w:spacing w:after="0"/>
              <w:jc w:val="center"/>
              <w:rPr>
                <w:rFonts w:eastAsia="Times New Roman"/>
                <w:color w:val="000000"/>
                <w:sz w:val="20"/>
                <w:szCs w:val="20"/>
                <w:lang w:val="es-AR"/>
              </w:rPr>
            </w:pPr>
            <w:r w:rsidRPr="00295BB0">
              <w:t>0.47</w:t>
            </w:r>
          </w:p>
        </w:tc>
        <w:tc>
          <w:tcPr>
            <w:tcW w:w="865" w:type="dxa"/>
            <w:tcBorders>
              <w:top w:val="nil"/>
              <w:left w:val="nil"/>
              <w:bottom w:val="nil"/>
              <w:right w:val="nil"/>
            </w:tcBorders>
            <w:shd w:val="clear" w:color="auto" w:fill="auto"/>
            <w:noWrap/>
            <w:hideMark/>
          </w:tcPr>
          <w:p w14:paraId="17AAFEF7" w14:textId="6F2E5658" w:rsidR="00F9320E" w:rsidRPr="00CB49D7" w:rsidRDefault="00F9320E" w:rsidP="00F9320E">
            <w:pPr>
              <w:spacing w:after="0"/>
              <w:jc w:val="center"/>
              <w:rPr>
                <w:rFonts w:eastAsia="Times New Roman"/>
                <w:color w:val="000000"/>
                <w:sz w:val="20"/>
                <w:szCs w:val="20"/>
                <w:lang w:val="es-AR"/>
              </w:rPr>
            </w:pPr>
            <w:r w:rsidRPr="00295BB0">
              <w:t>0.18</w:t>
            </w:r>
          </w:p>
        </w:tc>
        <w:tc>
          <w:tcPr>
            <w:tcW w:w="841" w:type="dxa"/>
            <w:tcBorders>
              <w:top w:val="nil"/>
              <w:left w:val="nil"/>
              <w:bottom w:val="nil"/>
              <w:right w:val="nil"/>
            </w:tcBorders>
            <w:shd w:val="clear" w:color="auto" w:fill="auto"/>
            <w:noWrap/>
            <w:hideMark/>
          </w:tcPr>
          <w:p w14:paraId="16040B38" w14:textId="7F155C7E" w:rsidR="00F9320E" w:rsidRPr="00CB49D7" w:rsidRDefault="00F9320E" w:rsidP="00F9320E">
            <w:pPr>
              <w:spacing w:after="0"/>
              <w:jc w:val="center"/>
              <w:rPr>
                <w:rFonts w:eastAsia="Times New Roman"/>
                <w:color w:val="000000"/>
                <w:sz w:val="20"/>
                <w:szCs w:val="20"/>
                <w:lang w:val="es-AR"/>
              </w:rPr>
            </w:pPr>
            <w:r w:rsidRPr="00295BB0">
              <w:t>2.64</w:t>
            </w:r>
          </w:p>
        </w:tc>
        <w:tc>
          <w:tcPr>
            <w:tcW w:w="660" w:type="dxa"/>
            <w:tcBorders>
              <w:top w:val="nil"/>
              <w:left w:val="nil"/>
              <w:bottom w:val="nil"/>
              <w:right w:val="nil"/>
            </w:tcBorders>
            <w:shd w:val="clear" w:color="auto" w:fill="auto"/>
            <w:noWrap/>
            <w:hideMark/>
          </w:tcPr>
          <w:p w14:paraId="342F33BE" w14:textId="618AE564" w:rsidR="00F9320E" w:rsidRPr="00CB49D7" w:rsidRDefault="00F9320E" w:rsidP="00F9320E">
            <w:pPr>
              <w:spacing w:after="0"/>
              <w:jc w:val="center"/>
              <w:rPr>
                <w:rFonts w:eastAsia="Times New Roman"/>
                <w:color w:val="000000"/>
                <w:sz w:val="20"/>
                <w:szCs w:val="20"/>
                <w:lang w:val="es-AR"/>
              </w:rPr>
            </w:pPr>
            <w:r w:rsidRPr="00295BB0">
              <w:t>0.01</w:t>
            </w:r>
          </w:p>
        </w:tc>
        <w:tc>
          <w:tcPr>
            <w:tcW w:w="660" w:type="dxa"/>
            <w:tcBorders>
              <w:top w:val="nil"/>
              <w:left w:val="nil"/>
              <w:bottom w:val="nil"/>
              <w:right w:val="nil"/>
            </w:tcBorders>
            <w:shd w:val="clear" w:color="auto" w:fill="auto"/>
            <w:noWrap/>
            <w:hideMark/>
          </w:tcPr>
          <w:p w14:paraId="11E0D60B" w14:textId="14C4AF42" w:rsidR="00F9320E" w:rsidRPr="00CB49D7" w:rsidRDefault="00F9320E" w:rsidP="00F9320E">
            <w:pPr>
              <w:spacing w:after="0"/>
              <w:jc w:val="center"/>
              <w:rPr>
                <w:rFonts w:eastAsia="Times New Roman"/>
                <w:color w:val="000000"/>
                <w:sz w:val="20"/>
                <w:szCs w:val="20"/>
                <w:lang w:val="es-AR"/>
              </w:rPr>
            </w:pPr>
            <w:r w:rsidRPr="00295BB0">
              <w:t>0.18</w:t>
            </w:r>
          </w:p>
        </w:tc>
        <w:tc>
          <w:tcPr>
            <w:tcW w:w="1045" w:type="dxa"/>
            <w:tcBorders>
              <w:top w:val="nil"/>
              <w:left w:val="nil"/>
              <w:bottom w:val="nil"/>
              <w:right w:val="nil"/>
            </w:tcBorders>
            <w:shd w:val="clear" w:color="auto" w:fill="auto"/>
            <w:noWrap/>
            <w:hideMark/>
          </w:tcPr>
          <w:p w14:paraId="79802B8D" w14:textId="628E281A" w:rsidR="00F9320E" w:rsidRPr="00CB49D7" w:rsidRDefault="00F9320E" w:rsidP="00F9320E">
            <w:pPr>
              <w:spacing w:after="0"/>
              <w:jc w:val="center"/>
              <w:rPr>
                <w:rFonts w:eastAsia="Times New Roman"/>
                <w:color w:val="000000"/>
                <w:sz w:val="20"/>
                <w:szCs w:val="20"/>
                <w:lang w:val="es-AR"/>
              </w:rPr>
            </w:pPr>
            <w:r w:rsidRPr="00295BB0">
              <w:t>0.77</w:t>
            </w:r>
          </w:p>
        </w:tc>
      </w:tr>
      <w:tr w:rsidR="00F9320E" w:rsidRPr="00124C67" w14:paraId="3DC60C04" w14:textId="77777777" w:rsidTr="00836669">
        <w:trPr>
          <w:trHeight w:val="279"/>
        </w:trPr>
        <w:tc>
          <w:tcPr>
            <w:tcW w:w="3936" w:type="dxa"/>
            <w:tcBorders>
              <w:top w:val="nil"/>
              <w:left w:val="nil"/>
              <w:bottom w:val="nil"/>
              <w:right w:val="nil"/>
            </w:tcBorders>
            <w:shd w:val="clear" w:color="auto" w:fill="auto"/>
            <w:noWrap/>
            <w:vAlign w:val="center"/>
            <w:hideMark/>
          </w:tcPr>
          <w:p w14:paraId="1EB92ABA"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RijOccupation</w:t>
            </w:r>
            <w:proofErr w:type="spellEnd"/>
          </w:p>
        </w:tc>
        <w:tc>
          <w:tcPr>
            <w:tcW w:w="965" w:type="dxa"/>
            <w:tcBorders>
              <w:top w:val="nil"/>
              <w:left w:val="nil"/>
              <w:bottom w:val="nil"/>
              <w:right w:val="nil"/>
            </w:tcBorders>
            <w:shd w:val="clear" w:color="auto" w:fill="auto"/>
            <w:noWrap/>
            <w:hideMark/>
          </w:tcPr>
          <w:p w14:paraId="40A8EF0C" w14:textId="1D21E55D" w:rsidR="00F9320E" w:rsidRPr="00CB49D7" w:rsidRDefault="00F9320E" w:rsidP="00F9320E">
            <w:pPr>
              <w:spacing w:after="0"/>
              <w:jc w:val="center"/>
              <w:rPr>
                <w:rFonts w:eastAsia="Times New Roman"/>
                <w:color w:val="000000"/>
                <w:sz w:val="20"/>
                <w:szCs w:val="20"/>
                <w:lang w:val="es-AR"/>
              </w:rPr>
            </w:pPr>
            <w:r w:rsidRPr="00295BB0">
              <w:t>0.06</w:t>
            </w:r>
          </w:p>
        </w:tc>
        <w:tc>
          <w:tcPr>
            <w:tcW w:w="865" w:type="dxa"/>
            <w:tcBorders>
              <w:top w:val="nil"/>
              <w:left w:val="nil"/>
              <w:bottom w:val="nil"/>
              <w:right w:val="nil"/>
            </w:tcBorders>
            <w:shd w:val="clear" w:color="auto" w:fill="auto"/>
            <w:noWrap/>
            <w:hideMark/>
          </w:tcPr>
          <w:p w14:paraId="2BE77228" w14:textId="28143D7C" w:rsidR="00F9320E" w:rsidRPr="00CB49D7" w:rsidRDefault="00F9320E" w:rsidP="00F9320E">
            <w:pPr>
              <w:spacing w:after="0"/>
              <w:jc w:val="center"/>
              <w:rPr>
                <w:rFonts w:eastAsia="Times New Roman"/>
                <w:color w:val="000000"/>
                <w:sz w:val="20"/>
                <w:szCs w:val="20"/>
                <w:lang w:val="es-AR"/>
              </w:rPr>
            </w:pPr>
            <w:r w:rsidRPr="00295BB0">
              <w:t>0.04</w:t>
            </w:r>
          </w:p>
        </w:tc>
        <w:tc>
          <w:tcPr>
            <w:tcW w:w="841" w:type="dxa"/>
            <w:tcBorders>
              <w:top w:val="nil"/>
              <w:left w:val="nil"/>
              <w:bottom w:val="nil"/>
              <w:right w:val="nil"/>
            </w:tcBorders>
            <w:shd w:val="clear" w:color="auto" w:fill="auto"/>
            <w:noWrap/>
            <w:hideMark/>
          </w:tcPr>
          <w:p w14:paraId="6913375B" w14:textId="06D00B35" w:rsidR="00F9320E" w:rsidRPr="00CB49D7" w:rsidRDefault="00F9320E" w:rsidP="00F9320E">
            <w:pPr>
              <w:spacing w:after="0"/>
              <w:jc w:val="center"/>
              <w:rPr>
                <w:rFonts w:eastAsia="Times New Roman"/>
                <w:color w:val="000000"/>
                <w:sz w:val="20"/>
                <w:szCs w:val="20"/>
                <w:lang w:val="es-AR"/>
              </w:rPr>
            </w:pPr>
            <w:r w:rsidRPr="00295BB0">
              <w:t>1.70</w:t>
            </w:r>
          </w:p>
        </w:tc>
        <w:tc>
          <w:tcPr>
            <w:tcW w:w="660" w:type="dxa"/>
            <w:tcBorders>
              <w:top w:val="nil"/>
              <w:left w:val="nil"/>
              <w:bottom w:val="nil"/>
              <w:right w:val="nil"/>
            </w:tcBorders>
            <w:shd w:val="clear" w:color="auto" w:fill="auto"/>
            <w:noWrap/>
            <w:hideMark/>
          </w:tcPr>
          <w:p w14:paraId="213F7B32" w14:textId="29BCDFFE" w:rsidR="00F9320E" w:rsidRPr="00CB49D7" w:rsidRDefault="00F9320E" w:rsidP="00F9320E">
            <w:pPr>
              <w:spacing w:after="0"/>
              <w:jc w:val="center"/>
              <w:rPr>
                <w:rFonts w:eastAsia="Times New Roman"/>
                <w:color w:val="000000"/>
                <w:sz w:val="20"/>
                <w:szCs w:val="20"/>
                <w:lang w:val="es-AR"/>
              </w:rPr>
            </w:pPr>
            <w:r w:rsidRPr="00295BB0">
              <w:t>0.09</w:t>
            </w:r>
          </w:p>
        </w:tc>
        <w:tc>
          <w:tcPr>
            <w:tcW w:w="660" w:type="dxa"/>
            <w:tcBorders>
              <w:top w:val="nil"/>
              <w:left w:val="nil"/>
              <w:bottom w:val="nil"/>
              <w:right w:val="nil"/>
            </w:tcBorders>
            <w:shd w:val="clear" w:color="auto" w:fill="auto"/>
            <w:noWrap/>
            <w:hideMark/>
          </w:tcPr>
          <w:p w14:paraId="1B65FE8A" w14:textId="215FCD0A" w:rsidR="00F9320E" w:rsidRPr="00CB49D7" w:rsidRDefault="00F9320E" w:rsidP="00F9320E">
            <w:pPr>
              <w:spacing w:after="0"/>
              <w:jc w:val="center"/>
              <w:rPr>
                <w:rFonts w:eastAsia="Times New Roman"/>
                <w:color w:val="000000"/>
                <w:sz w:val="20"/>
                <w:szCs w:val="20"/>
                <w:lang w:val="es-AR"/>
              </w:rPr>
            </w:pPr>
            <w:r w:rsidRPr="00295BB0">
              <w:t>0.00</w:t>
            </w:r>
          </w:p>
        </w:tc>
        <w:tc>
          <w:tcPr>
            <w:tcW w:w="1045" w:type="dxa"/>
            <w:tcBorders>
              <w:top w:val="nil"/>
              <w:left w:val="nil"/>
              <w:bottom w:val="nil"/>
              <w:right w:val="nil"/>
            </w:tcBorders>
            <w:shd w:val="clear" w:color="auto" w:fill="auto"/>
            <w:noWrap/>
            <w:hideMark/>
          </w:tcPr>
          <w:p w14:paraId="32E2B1A6" w14:textId="6D3CB5C1" w:rsidR="00F9320E" w:rsidRPr="00CB49D7" w:rsidRDefault="00F9320E" w:rsidP="00F9320E">
            <w:pPr>
              <w:spacing w:after="0"/>
              <w:jc w:val="center"/>
              <w:rPr>
                <w:rFonts w:eastAsia="Times New Roman"/>
                <w:color w:val="000000"/>
                <w:sz w:val="20"/>
                <w:szCs w:val="20"/>
                <w:lang w:val="es-AR"/>
              </w:rPr>
            </w:pPr>
            <w:r w:rsidRPr="00295BB0">
              <w:t>0.12</w:t>
            </w:r>
          </w:p>
        </w:tc>
      </w:tr>
      <w:tr w:rsidR="00F9320E" w:rsidRPr="00124C67" w14:paraId="14DC595E" w14:textId="77777777" w:rsidTr="00836669">
        <w:trPr>
          <w:trHeight w:val="279"/>
        </w:trPr>
        <w:tc>
          <w:tcPr>
            <w:tcW w:w="3936" w:type="dxa"/>
            <w:tcBorders>
              <w:top w:val="nil"/>
              <w:left w:val="nil"/>
              <w:bottom w:val="nil"/>
              <w:right w:val="nil"/>
            </w:tcBorders>
            <w:shd w:val="clear" w:color="auto" w:fill="auto"/>
            <w:noWrap/>
            <w:vAlign w:val="center"/>
            <w:hideMark/>
          </w:tcPr>
          <w:p w14:paraId="71C7BFB4"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RijIndustry</w:t>
            </w:r>
            <w:proofErr w:type="spellEnd"/>
          </w:p>
        </w:tc>
        <w:tc>
          <w:tcPr>
            <w:tcW w:w="965" w:type="dxa"/>
            <w:tcBorders>
              <w:top w:val="nil"/>
              <w:left w:val="nil"/>
              <w:bottom w:val="nil"/>
              <w:right w:val="nil"/>
            </w:tcBorders>
            <w:shd w:val="clear" w:color="auto" w:fill="auto"/>
            <w:noWrap/>
            <w:hideMark/>
          </w:tcPr>
          <w:p w14:paraId="17125CD2" w14:textId="5167E809" w:rsidR="00F9320E" w:rsidRPr="00CB49D7" w:rsidRDefault="00F9320E" w:rsidP="00F9320E">
            <w:pPr>
              <w:spacing w:after="0"/>
              <w:jc w:val="center"/>
              <w:rPr>
                <w:rFonts w:eastAsia="Times New Roman"/>
                <w:color w:val="000000"/>
                <w:sz w:val="20"/>
                <w:szCs w:val="20"/>
                <w:lang w:val="es-AR"/>
              </w:rPr>
            </w:pPr>
            <w:r w:rsidRPr="00295BB0">
              <w:t>-0.05</w:t>
            </w:r>
          </w:p>
        </w:tc>
        <w:tc>
          <w:tcPr>
            <w:tcW w:w="865" w:type="dxa"/>
            <w:tcBorders>
              <w:top w:val="nil"/>
              <w:left w:val="nil"/>
              <w:bottom w:val="nil"/>
              <w:right w:val="nil"/>
            </w:tcBorders>
            <w:shd w:val="clear" w:color="auto" w:fill="auto"/>
            <w:noWrap/>
            <w:hideMark/>
          </w:tcPr>
          <w:p w14:paraId="367FA4A7" w14:textId="476BA785" w:rsidR="00F9320E" w:rsidRPr="00CB49D7" w:rsidRDefault="00F9320E" w:rsidP="00F9320E">
            <w:pPr>
              <w:spacing w:after="0"/>
              <w:jc w:val="center"/>
              <w:rPr>
                <w:rFonts w:eastAsia="Times New Roman"/>
                <w:color w:val="000000"/>
                <w:sz w:val="20"/>
                <w:szCs w:val="20"/>
                <w:lang w:val="es-AR"/>
              </w:rPr>
            </w:pPr>
            <w:r w:rsidRPr="00295BB0">
              <w:t>0.03</w:t>
            </w:r>
          </w:p>
        </w:tc>
        <w:tc>
          <w:tcPr>
            <w:tcW w:w="841" w:type="dxa"/>
            <w:tcBorders>
              <w:top w:val="nil"/>
              <w:left w:val="nil"/>
              <w:bottom w:val="nil"/>
              <w:right w:val="nil"/>
            </w:tcBorders>
            <w:shd w:val="clear" w:color="auto" w:fill="auto"/>
            <w:noWrap/>
            <w:hideMark/>
          </w:tcPr>
          <w:p w14:paraId="59DC75A1" w14:textId="7A7F7712" w:rsidR="00F9320E" w:rsidRPr="00CB49D7" w:rsidRDefault="00F9320E" w:rsidP="00F9320E">
            <w:pPr>
              <w:spacing w:after="0"/>
              <w:jc w:val="center"/>
              <w:rPr>
                <w:rFonts w:eastAsia="Times New Roman"/>
                <w:color w:val="000000"/>
                <w:sz w:val="20"/>
                <w:szCs w:val="20"/>
                <w:lang w:val="es-AR"/>
              </w:rPr>
            </w:pPr>
            <w:r w:rsidRPr="00295BB0">
              <w:t>-1.43</w:t>
            </w:r>
          </w:p>
        </w:tc>
        <w:tc>
          <w:tcPr>
            <w:tcW w:w="660" w:type="dxa"/>
            <w:tcBorders>
              <w:top w:val="nil"/>
              <w:left w:val="nil"/>
              <w:bottom w:val="nil"/>
              <w:right w:val="nil"/>
            </w:tcBorders>
            <w:shd w:val="clear" w:color="auto" w:fill="auto"/>
            <w:noWrap/>
            <w:hideMark/>
          </w:tcPr>
          <w:p w14:paraId="79998EF5" w14:textId="55890BBC" w:rsidR="00F9320E" w:rsidRPr="00CB49D7" w:rsidRDefault="00F9320E" w:rsidP="00F9320E">
            <w:pPr>
              <w:spacing w:after="0"/>
              <w:jc w:val="center"/>
              <w:rPr>
                <w:rFonts w:eastAsia="Times New Roman"/>
                <w:color w:val="000000"/>
                <w:sz w:val="20"/>
                <w:szCs w:val="20"/>
                <w:lang w:val="es-AR"/>
              </w:rPr>
            </w:pPr>
            <w:r w:rsidRPr="00295BB0">
              <w:t>0.15</w:t>
            </w:r>
          </w:p>
        </w:tc>
        <w:tc>
          <w:tcPr>
            <w:tcW w:w="660" w:type="dxa"/>
            <w:tcBorders>
              <w:top w:val="nil"/>
              <w:left w:val="nil"/>
              <w:bottom w:val="nil"/>
              <w:right w:val="nil"/>
            </w:tcBorders>
            <w:shd w:val="clear" w:color="auto" w:fill="auto"/>
            <w:noWrap/>
            <w:hideMark/>
          </w:tcPr>
          <w:p w14:paraId="130E354F" w14:textId="1A0907BA" w:rsidR="00F9320E" w:rsidRPr="00CB49D7" w:rsidRDefault="00F9320E" w:rsidP="00F9320E">
            <w:pPr>
              <w:spacing w:after="0"/>
              <w:jc w:val="center"/>
              <w:rPr>
                <w:rFonts w:eastAsia="Times New Roman"/>
                <w:color w:val="000000"/>
                <w:sz w:val="20"/>
                <w:szCs w:val="20"/>
                <w:lang w:val="es-AR"/>
              </w:rPr>
            </w:pPr>
            <w:r w:rsidRPr="00295BB0">
              <w:t>-0.10</w:t>
            </w:r>
          </w:p>
        </w:tc>
        <w:tc>
          <w:tcPr>
            <w:tcW w:w="1045" w:type="dxa"/>
            <w:tcBorders>
              <w:top w:val="nil"/>
              <w:left w:val="nil"/>
              <w:bottom w:val="nil"/>
              <w:right w:val="nil"/>
            </w:tcBorders>
            <w:shd w:val="clear" w:color="auto" w:fill="auto"/>
            <w:noWrap/>
            <w:hideMark/>
          </w:tcPr>
          <w:p w14:paraId="231FC52F" w14:textId="54525359" w:rsidR="00F9320E" w:rsidRPr="00CB49D7" w:rsidRDefault="00F9320E" w:rsidP="00F9320E">
            <w:pPr>
              <w:spacing w:after="0"/>
              <w:jc w:val="center"/>
              <w:rPr>
                <w:rFonts w:eastAsia="Times New Roman"/>
                <w:color w:val="000000"/>
                <w:sz w:val="20"/>
                <w:szCs w:val="20"/>
                <w:lang w:val="es-AR"/>
              </w:rPr>
            </w:pPr>
            <w:r w:rsidRPr="00295BB0">
              <w:t>0.01</w:t>
            </w:r>
          </w:p>
        </w:tc>
      </w:tr>
      <w:tr w:rsidR="00F9320E" w:rsidRPr="00124C67" w14:paraId="22465B9E" w14:textId="77777777" w:rsidTr="00836669">
        <w:trPr>
          <w:trHeight w:val="279"/>
        </w:trPr>
        <w:tc>
          <w:tcPr>
            <w:tcW w:w="3936" w:type="dxa"/>
            <w:tcBorders>
              <w:top w:val="nil"/>
              <w:left w:val="nil"/>
              <w:bottom w:val="nil"/>
              <w:right w:val="nil"/>
            </w:tcBorders>
            <w:shd w:val="clear" w:color="auto" w:fill="auto"/>
            <w:noWrap/>
            <w:vAlign w:val="center"/>
            <w:hideMark/>
          </w:tcPr>
          <w:p w14:paraId="645D34F3"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IndustryAboveAvg_Lagged</w:t>
            </w:r>
            <w:proofErr w:type="spellEnd"/>
          </w:p>
        </w:tc>
        <w:tc>
          <w:tcPr>
            <w:tcW w:w="965" w:type="dxa"/>
            <w:tcBorders>
              <w:top w:val="nil"/>
              <w:left w:val="nil"/>
              <w:bottom w:val="nil"/>
              <w:right w:val="nil"/>
            </w:tcBorders>
            <w:shd w:val="clear" w:color="auto" w:fill="auto"/>
            <w:noWrap/>
            <w:hideMark/>
          </w:tcPr>
          <w:p w14:paraId="66C54B41" w14:textId="40619BFE" w:rsidR="00F9320E" w:rsidRPr="00CB49D7" w:rsidRDefault="00F9320E" w:rsidP="00F9320E">
            <w:pPr>
              <w:spacing w:after="0"/>
              <w:jc w:val="center"/>
              <w:rPr>
                <w:rFonts w:eastAsia="Times New Roman"/>
                <w:color w:val="000000"/>
                <w:sz w:val="20"/>
                <w:szCs w:val="20"/>
                <w:lang w:val="es-AR"/>
              </w:rPr>
            </w:pPr>
            <w:r w:rsidRPr="00295BB0">
              <w:t>-0.07</w:t>
            </w:r>
          </w:p>
        </w:tc>
        <w:tc>
          <w:tcPr>
            <w:tcW w:w="865" w:type="dxa"/>
            <w:tcBorders>
              <w:top w:val="nil"/>
              <w:left w:val="nil"/>
              <w:bottom w:val="nil"/>
              <w:right w:val="nil"/>
            </w:tcBorders>
            <w:shd w:val="clear" w:color="auto" w:fill="auto"/>
            <w:noWrap/>
            <w:hideMark/>
          </w:tcPr>
          <w:p w14:paraId="39E4FBEB" w14:textId="4B2D2CEA" w:rsidR="00F9320E" w:rsidRPr="00CB49D7" w:rsidRDefault="00F9320E" w:rsidP="00F9320E">
            <w:pPr>
              <w:spacing w:after="0"/>
              <w:jc w:val="center"/>
              <w:rPr>
                <w:rFonts w:eastAsia="Times New Roman"/>
                <w:color w:val="000000"/>
                <w:sz w:val="20"/>
                <w:szCs w:val="20"/>
                <w:lang w:val="es-AR"/>
              </w:rPr>
            </w:pPr>
            <w:r w:rsidRPr="00295BB0">
              <w:t>0.05</w:t>
            </w:r>
          </w:p>
        </w:tc>
        <w:tc>
          <w:tcPr>
            <w:tcW w:w="841" w:type="dxa"/>
            <w:tcBorders>
              <w:top w:val="nil"/>
              <w:left w:val="nil"/>
              <w:bottom w:val="nil"/>
              <w:right w:val="nil"/>
            </w:tcBorders>
            <w:shd w:val="clear" w:color="auto" w:fill="auto"/>
            <w:noWrap/>
            <w:hideMark/>
          </w:tcPr>
          <w:p w14:paraId="20A13127" w14:textId="4E6CCBAC" w:rsidR="00F9320E" w:rsidRPr="00CB49D7" w:rsidRDefault="00F9320E" w:rsidP="00F9320E">
            <w:pPr>
              <w:spacing w:after="0"/>
              <w:jc w:val="center"/>
              <w:rPr>
                <w:rFonts w:eastAsia="Times New Roman"/>
                <w:color w:val="000000"/>
                <w:sz w:val="20"/>
                <w:szCs w:val="20"/>
                <w:lang w:val="es-AR"/>
              </w:rPr>
            </w:pPr>
            <w:r w:rsidRPr="00295BB0">
              <w:t>-1.38</w:t>
            </w:r>
          </w:p>
        </w:tc>
        <w:tc>
          <w:tcPr>
            <w:tcW w:w="660" w:type="dxa"/>
            <w:tcBorders>
              <w:top w:val="nil"/>
              <w:left w:val="nil"/>
              <w:bottom w:val="nil"/>
              <w:right w:val="nil"/>
            </w:tcBorders>
            <w:shd w:val="clear" w:color="auto" w:fill="auto"/>
            <w:noWrap/>
            <w:hideMark/>
          </w:tcPr>
          <w:p w14:paraId="62E76348" w14:textId="10426CC6" w:rsidR="00F9320E" w:rsidRPr="00CB49D7" w:rsidRDefault="00F9320E" w:rsidP="00F9320E">
            <w:pPr>
              <w:spacing w:after="0"/>
              <w:jc w:val="center"/>
              <w:rPr>
                <w:rFonts w:eastAsia="Times New Roman"/>
                <w:color w:val="000000"/>
                <w:sz w:val="20"/>
                <w:szCs w:val="20"/>
                <w:lang w:val="es-AR"/>
              </w:rPr>
            </w:pPr>
            <w:r w:rsidRPr="00295BB0">
              <w:t>0.17</w:t>
            </w:r>
          </w:p>
        </w:tc>
        <w:tc>
          <w:tcPr>
            <w:tcW w:w="660" w:type="dxa"/>
            <w:tcBorders>
              <w:top w:val="nil"/>
              <w:left w:val="nil"/>
              <w:bottom w:val="nil"/>
              <w:right w:val="nil"/>
            </w:tcBorders>
            <w:shd w:val="clear" w:color="auto" w:fill="auto"/>
            <w:noWrap/>
            <w:hideMark/>
          </w:tcPr>
          <w:p w14:paraId="61D8B13F" w14:textId="258935F0" w:rsidR="00F9320E" w:rsidRPr="00CB49D7" w:rsidRDefault="00F9320E" w:rsidP="00F9320E">
            <w:pPr>
              <w:spacing w:after="0"/>
              <w:jc w:val="center"/>
              <w:rPr>
                <w:rFonts w:eastAsia="Times New Roman"/>
                <w:color w:val="000000"/>
                <w:sz w:val="20"/>
                <w:szCs w:val="20"/>
                <w:lang w:val="es-AR"/>
              </w:rPr>
            </w:pPr>
            <w:r w:rsidRPr="00295BB0">
              <w:t>-0.16</w:t>
            </w:r>
          </w:p>
        </w:tc>
        <w:tc>
          <w:tcPr>
            <w:tcW w:w="1045" w:type="dxa"/>
            <w:tcBorders>
              <w:top w:val="nil"/>
              <w:left w:val="nil"/>
              <w:bottom w:val="nil"/>
              <w:right w:val="nil"/>
            </w:tcBorders>
            <w:shd w:val="clear" w:color="auto" w:fill="auto"/>
            <w:noWrap/>
            <w:hideMark/>
          </w:tcPr>
          <w:p w14:paraId="5114B3E6" w14:textId="0821C572" w:rsidR="00F9320E" w:rsidRPr="00CB49D7" w:rsidRDefault="00F9320E" w:rsidP="00F9320E">
            <w:pPr>
              <w:spacing w:after="0"/>
              <w:jc w:val="center"/>
              <w:rPr>
                <w:rFonts w:eastAsia="Times New Roman"/>
                <w:color w:val="000000"/>
                <w:sz w:val="20"/>
                <w:szCs w:val="20"/>
                <w:lang w:val="es-AR"/>
              </w:rPr>
            </w:pPr>
            <w:r w:rsidRPr="00295BB0">
              <w:t>0.01</w:t>
            </w:r>
          </w:p>
        </w:tc>
      </w:tr>
      <w:tr w:rsidR="00F9320E" w:rsidRPr="00124C67" w14:paraId="5D36B42C" w14:textId="77777777" w:rsidTr="00836669">
        <w:trPr>
          <w:trHeight w:val="279"/>
        </w:trPr>
        <w:tc>
          <w:tcPr>
            <w:tcW w:w="3936" w:type="dxa"/>
            <w:tcBorders>
              <w:top w:val="nil"/>
              <w:left w:val="nil"/>
              <w:bottom w:val="nil"/>
              <w:right w:val="nil"/>
            </w:tcBorders>
            <w:shd w:val="clear" w:color="auto" w:fill="auto"/>
            <w:noWrap/>
            <w:vAlign w:val="center"/>
            <w:hideMark/>
          </w:tcPr>
          <w:p w14:paraId="003586CE"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w:t>
            </w:r>
            <w:proofErr w:type="spellEnd"/>
          </w:p>
        </w:tc>
        <w:tc>
          <w:tcPr>
            <w:tcW w:w="965" w:type="dxa"/>
            <w:tcBorders>
              <w:top w:val="nil"/>
              <w:left w:val="nil"/>
              <w:bottom w:val="nil"/>
              <w:right w:val="nil"/>
            </w:tcBorders>
            <w:shd w:val="clear" w:color="auto" w:fill="auto"/>
            <w:noWrap/>
            <w:hideMark/>
          </w:tcPr>
          <w:p w14:paraId="20814E7A" w14:textId="2E2C3FEA" w:rsidR="00F9320E" w:rsidRPr="00CB49D7" w:rsidRDefault="00F9320E" w:rsidP="00F9320E">
            <w:pPr>
              <w:spacing w:after="0"/>
              <w:jc w:val="center"/>
              <w:rPr>
                <w:rFonts w:eastAsia="Times New Roman"/>
                <w:color w:val="000000"/>
                <w:sz w:val="20"/>
                <w:szCs w:val="20"/>
                <w:lang w:val="es-AR"/>
              </w:rPr>
            </w:pPr>
            <w:r w:rsidRPr="00295BB0">
              <w:t>0.04</w:t>
            </w:r>
          </w:p>
        </w:tc>
        <w:tc>
          <w:tcPr>
            <w:tcW w:w="865" w:type="dxa"/>
            <w:tcBorders>
              <w:top w:val="nil"/>
              <w:left w:val="nil"/>
              <w:bottom w:val="nil"/>
              <w:right w:val="nil"/>
            </w:tcBorders>
            <w:shd w:val="clear" w:color="auto" w:fill="auto"/>
            <w:noWrap/>
            <w:hideMark/>
          </w:tcPr>
          <w:p w14:paraId="1BAC564C" w14:textId="00FFB8A2" w:rsidR="00F9320E" w:rsidRPr="00CB49D7" w:rsidRDefault="00F9320E" w:rsidP="00F9320E">
            <w:pPr>
              <w:spacing w:after="0"/>
              <w:jc w:val="center"/>
              <w:rPr>
                <w:rFonts w:eastAsia="Times New Roman"/>
                <w:color w:val="000000"/>
                <w:sz w:val="20"/>
                <w:szCs w:val="20"/>
                <w:lang w:val="es-AR"/>
              </w:rPr>
            </w:pPr>
            <w:r w:rsidRPr="00295BB0">
              <w:t>0.05</w:t>
            </w:r>
          </w:p>
        </w:tc>
        <w:tc>
          <w:tcPr>
            <w:tcW w:w="841" w:type="dxa"/>
            <w:tcBorders>
              <w:top w:val="nil"/>
              <w:left w:val="nil"/>
              <w:bottom w:val="nil"/>
              <w:right w:val="nil"/>
            </w:tcBorders>
            <w:shd w:val="clear" w:color="auto" w:fill="auto"/>
            <w:noWrap/>
            <w:hideMark/>
          </w:tcPr>
          <w:p w14:paraId="3D775769" w14:textId="511E285C" w:rsidR="00F9320E" w:rsidRPr="00CB49D7" w:rsidRDefault="00F9320E" w:rsidP="00F9320E">
            <w:pPr>
              <w:spacing w:after="0"/>
              <w:jc w:val="center"/>
              <w:rPr>
                <w:rFonts w:eastAsia="Times New Roman"/>
                <w:color w:val="000000"/>
                <w:sz w:val="20"/>
                <w:szCs w:val="20"/>
                <w:lang w:val="es-AR"/>
              </w:rPr>
            </w:pPr>
            <w:r w:rsidRPr="00295BB0">
              <w:t>0.76</w:t>
            </w:r>
          </w:p>
        </w:tc>
        <w:tc>
          <w:tcPr>
            <w:tcW w:w="660" w:type="dxa"/>
            <w:tcBorders>
              <w:top w:val="nil"/>
              <w:left w:val="nil"/>
              <w:bottom w:val="nil"/>
              <w:right w:val="nil"/>
            </w:tcBorders>
            <w:shd w:val="clear" w:color="auto" w:fill="auto"/>
            <w:noWrap/>
            <w:hideMark/>
          </w:tcPr>
          <w:p w14:paraId="26611AA8" w14:textId="34E372BC" w:rsidR="00F9320E" w:rsidRPr="00CB49D7" w:rsidRDefault="00F9320E" w:rsidP="00F9320E">
            <w:pPr>
              <w:spacing w:after="0"/>
              <w:jc w:val="center"/>
              <w:rPr>
                <w:rFonts w:eastAsia="Times New Roman"/>
                <w:color w:val="000000"/>
                <w:sz w:val="20"/>
                <w:szCs w:val="20"/>
                <w:lang w:val="es-AR"/>
              </w:rPr>
            </w:pPr>
            <w:r w:rsidRPr="00295BB0">
              <w:t>0.45</w:t>
            </w:r>
          </w:p>
        </w:tc>
        <w:tc>
          <w:tcPr>
            <w:tcW w:w="660" w:type="dxa"/>
            <w:tcBorders>
              <w:top w:val="nil"/>
              <w:left w:val="nil"/>
              <w:bottom w:val="nil"/>
              <w:right w:val="nil"/>
            </w:tcBorders>
            <w:shd w:val="clear" w:color="auto" w:fill="auto"/>
            <w:noWrap/>
            <w:hideMark/>
          </w:tcPr>
          <w:p w14:paraId="76486BC1" w14:textId="104278E4" w:rsidR="00F9320E" w:rsidRPr="00CB49D7" w:rsidRDefault="00F9320E" w:rsidP="00F9320E">
            <w:pPr>
              <w:spacing w:after="0"/>
              <w:jc w:val="center"/>
              <w:rPr>
                <w:rFonts w:eastAsia="Times New Roman"/>
                <w:color w:val="000000"/>
                <w:sz w:val="20"/>
                <w:szCs w:val="20"/>
                <w:lang w:val="es-AR"/>
              </w:rPr>
            </w:pPr>
            <w:r w:rsidRPr="00295BB0">
              <w:t>-0.05</w:t>
            </w:r>
          </w:p>
        </w:tc>
        <w:tc>
          <w:tcPr>
            <w:tcW w:w="1045" w:type="dxa"/>
            <w:tcBorders>
              <w:top w:val="nil"/>
              <w:left w:val="nil"/>
              <w:bottom w:val="nil"/>
              <w:right w:val="nil"/>
            </w:tcBorders>
            <w:shd w:val="clear" w:color="auto" w:fill="auto"/>
            <w:noWrap/>
            <w:hideMark/>
          </w:tcPr>
          <w:p w14:paraId="535ACB51" w14:textId="4D76F00B" w:rsidR="00F9320E" w:rsidRPr="00CB49D7" w:rsidRDefault="00F9320E" w:rsidP="00F9320E">
            <w:pPr>
              <w:spacing w:after="0"/>
              <w:jc w:val="center"/>
              <w:rPr>
                <w:rFonts w:eastAsia="Times New Roman"/>
                <w:color w:val="000000"/>
                <w:sz w:val="20"/>
                <w:szCs w:val="20"/>
                <w:lang w:val="es-AR"/>
              </w:rPr>
            </w:pPr>
            <w:r w:rsidRPr="00295BB0">
              <w:t>0.13</w:t>
            </w:r>
          </w:p>
        </w:tc>
      </w:tr>
      <w:tr w:rsidR="00F9320E" w:rsidRPr="00BF5447" w14:paraId="01506CCF" w14:textId="77777777" w:rsidTr="00836669">
        <w:trPr>
          <w:trHeight w:val="558"/>
        </w:trPr>
        <w:tc>
          <w:tcPr>
            <w:tcW w:w="3936" w:type="dxa"/>
            <w:tcBorders>
              <w:top w:val="nil"/>
              <w:left w:val="nil"/>
              <w:bottom w:val="nil"/>
              <w:right w:val="nil"/>
            </w:tcBorders>
            <w:shd w:val="clear" w:color="auto" w:fill="auto"/>
            <w:vAlign w:val="center"/>
            <w:hideMark/>
          </w:tcPr>
          <w:p w14:paraId="16AADC58" w14:textId="77777777" w:rsidR="00F9320E" w:rsidRPr="00CB49D7" w:rsidRDefault="00F9320E" w:rsidP="00F9320E">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LaborContractLagged</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33D3E613" w14:textId="77777777" w:rsidR="00F9320E" w:rsidRPr="00CB49D7" w:rsidRDefault="00F9320E" w:rsidP="00F9320E">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632E3307"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7E68825C"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0A5DF611"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51B59A5B"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3EEF6708"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r>
      <w:tr w:rsidR="00F9320E" w:rsidRPr="00124C67" w14:paraId="0E447A87" w14:textId="77777777" w:rsidTr="00836669">
        <w:trPr>
          <w:trHeight w:val="279"/>
        </w:trPr>
        <w:tc>
          <w:tcPr>
            <w:tcW w:w="3936" w:type="dxa"/>
            <w:tcBorders>
              <w:top w:val="nil"/>
              <w:left w:val="nil"/>
              <w:bottom w:val="nil"/>
              <w:right w:val="nil"/>
            </w:tcBorders>
            <w:shd w:val="clear" w:color="auto" w:fill="auto"/>
            <w:noWrap/>
            <w:vAlign w:val="center"/>
            <w:hideMark/>
          </w:tcPr>
          <w:p w14:paraId="056AFEF2"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74C330CD" w14:textId="49A3A1FB" w:rsidR="00F9320E" w:rsidRPr="00CB49D7" w:rsidRDefault="00F9320E" w:rsidP="00F9320E">
            <w:pPr>
              <w:spacing w:after="0"/>
              <w:jc w:val="center"/>
              <w:rPr>
                <w:rFonts w:eastAsia="Times New Roman"/>
                <w:color w:val="000000"/>
                <w:sz w:val="20"/>
                <w:szCs w:val="20"/>
                <w:lang w:val="es-AR"/>
              </w:rPr>
            </w:pPr>
            <w:r w:rsidRPr="00295BB0">
              <w:t>-0.14</w:t>
            </w:r>
          </w:p>
        </w:tc>
        <w:tc>
          <w:tcPr>
            <w:tcW w:w="865" w:type="dxa"/>
            <w:tcBorders>
              <w:top w:val="nil"/>
              <w:left w:val="nil"/>
              <w:bottom w:val="nil"/>
              <w:right w:val="nil"/>
            </w:tcBorders>
            <w:shd w:val="clear" w:color="auto" w:fill="auto"/>
            <w:noWrap/>
            <w:hideMark/>
          </w:tcPr>
          <w:p w14:paraId="7F341838" w14:textId="387A5AD1" w:rsidR="00F9320E" w:rsidRPr="00CB49D7" w:rsidRDefault="00F9320E" w:rsidP="00F9320E">
            <w:pPr>
              <w:spacing w:after="0"/>
              <w:jc w:val="center"/>
              <w:rPr>
                <w:rFonts w:eastAsia="Times New Roman"/>
                <w:color w:val="000000"/>
                <w:sz w:val="20"/>
                <w:szCs w:val="20"/>
                <w:lang w:val="es-AR"/>
              </w:rPr>
            </w:pPr>
            <w:r w:rsidRPr="00295BB0">
              <w:t>0.05</w:t>
            </w:r>
          </w:p>
        </w:tc>
        <w:tc>
          <w:tcPr>
            <w:tcW w:w="841" w:type="dxa"/>
            <w:tcBorders>
              <w:top w:val="nil"/>
              <w:left w:val="nil"/>
              <w:bottom w:val="nil"/>
              <w:right w:val="nil"/>
            </w:tcBorders>
            <w:shd w:val="clear" w:color="auto" w:fill="auto"/>
            <w:noWrap/>
            <w:hideMark/>
          </w:tcPr>
          <w:p w14:paraId="0C9224F1" w14:textId="5BD83157" w:rsidR="00F9320E" w:rsidRPr="00CB49D7" w:rsidRDefault="00F9320E" w:rsidP="00F9320E">
            <w:pPr>
              <w:spacing w:after="0"/>
              <w:jc w:val="center"/>
              <w:rPr>
                <w:rFonts w:eastAsia="Times New Roman"/>
                <w:color w:val="000000"/>
                <w:sz w:val="20"/>
                <w:szCs w:val="20"/>
                <w:lang w:val="es-AR"/>
              </w:rPr>
            </w:pPr>
            <w:r w:rsidRPr="00295BB0">
              <w:t>-2.70</w:t>
            </w:r>
          </w:p>
        </w:tc>
        <w:tc>
          <w:tcPr>
            <w:tcW w:w="660" w:type="dxa"/>
            <w:tcBorders>
              <w:top w:val="nil"/>
              <w:left w:val="nil"/>
              <w:bottom w:val="nil"/>
              <w:right w:val="nil"/>
            </w:tcBorders>
            <w:shd w:val="clear" w:color="auto" w:fill="auto"/>
            <w:noWrap/>
            <w:hideMark/>
          </w:tcPr>
          <w:p w14:paraId="5D9FEA1F" w14:textId="128D5DD0" w:rsidR="00F9320E" w:rsidRPr="00CB49D7" w:rsidRDefault="00F9320E" w:rsidP="00F9320E">
            <w:pPr>
              <w:spacing w:after="0"/>
              <w:jc w:val="center"/>
              <w:rPr>
                <w:rFonts w:eastAsia="Times New Roman"/>
                <w:color w:val="000000"/>
                <w:sz w:val="20"/>
                <w:szCs w:val="20"/>
                <w:lang w:val="es-AR"/>
              </w:rPr>
            </w:pPr>
            <w:r w:rsidRPr="00295BB0">
              <w:t>0.01</w:t>
            </w:r>
          </w:p>
        </w:tc>
        <w:tc>
          <w:tcPr>
            <w:tcW w:w="660" w:type="dxa"/>
            <w:tcBorders>
              <w:top w:val="nil"/>
              <w:left w:val="nil"/>
              <w:bottom w:val="nil"/>
              <w:right w:val="nil"/>
            </w:tcBorders>
            <w:shd w:val="clear" w:color="auto" w:fill="auto"/>
            <w:noWrap/>
            <w:hideMark/>
          </w:tcPr>
          <w:p w14:paraId="5AE5866B" w14:textId="520C7348" w:rsidR="00F9320E" w:rsidRPr="00CB49D7" w:rsidRDefault="00F9320E" w:rsidP="00F9320E">
            <w:pPr>
              <w:spacing w:after="0"/>
              <w:jc w:val="center"/>
              <w:rPr>
                <w:rFonts w:eastAsia="Times New Roman"/>
                <w:color w:val="000000"/>
                <w:sz w:val="20"/>
                <w:szCs w:val="20"/>
                <w:lang w:val="es-AR"/>
              </w:rPr>
            </w:pPr>
            <w:r w:rsidRPr="00295BB0">
              <w:t>-0.23</w:t>
            </w:r>
          </w:p>
        </w:tc>
        <w:tc>
          <w:tcPr>
            <w:tcW w:w="1045" w:type="dxa"/>
            <w:tcBorders>
              <w:top w:val="nil"/>
              <w:left w:val="nil"/>
              <w:bottom w:val="nil"/>
              <w:right w:val="nil"/>
            </w:tcBorders>
            <w:shd w:val="clear" w:color="auto" w:fill="auto"/>
            <w:noWrap/>
            <w:hideMark/>
          </w:tcPr>
          <w:p w14:paraId="3262AAF0" w14:textId="60FE6F68" w:rsidR="00F9320E" w:rsidRPr="00CB49D7" w:rsidRDefault="00F9320E" w:rsidP="00F9320E">
            <w:pPr>
              <w:spacing w:after="0"/>
              <w:jc w:val="center"/>
              <w:rPr>
                <w:rFonts w:eastAsia="Times New Roman"/>
                <w:color w:val="000000"/>
                <w:sz w:val="20"/>
                <w:szCs w:val="20"/>
                <w:lang w:val="es-AR"/>
              </w:rPr>
            </w:pPr>
            <w:r w:rsidRPr="00295BB0">
              <w:t>-0.05</w:t>
            </w:r>
          </w:p>
        </w:tc>
      </w:tr>
      <w:tr w:rsidR="00F9320E" w:rsidRPr="00124C67" w14:paraId="20AA2C0C" w14:textId="77777777" w:rsidTr="00836669">
        <w:trPr>
          <w:trHeight w:val="279"/>
        </w:trPr>
        <w:tc>
          <w:tcPr>
            <w:tcW w:w="3936" w:type="dxa"/>
            <w:tcBorders>
              <w:top w:val="nil"/>
              <w:left w:val="nil"/>
              <w:bottom w:val="nil"/>
              <w:right w:val="nil"/>
            </w:tcBorders>
            <w:shd w:val="clear" w:color="auto" w:fill="auto"/>
            <w:noWrap/>
            <w:vAlign w:val="center"/>
            <w:hideMark/>
          </w:tcPr>
          <w:p w14:paraId="741D4F80"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Independent</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237FE620" w14:textId="015FB4C3" w:rsidR="00F9320E" w:rsidRPr="00CB49D7" w:rsidRDefault="00F9320E" w:rsidP="00F9320E">
            <w:pPr>
              <w:spacing w:after="0"/>
              <w:jc w:val="center"/>
              <w:rPr>
                <w:rFonts w:eastAsia="Times New Roman"/>
                <w:color w:val="000000"/>
                <w:sz w:val="20"/>
                <w:szCs w:val="20"/>
                <w:lang w:val="es-AR"/>
              </w:rPr>
            </w:pPr>
            <w:r w:rsidRPr="00295BB0">
              <w:t>0.05</w:t>
            </w:r>
          </w:p>
        </w:tc>
        <w:tc>
          <w:tcPr>
            <w:tcW w:w="865" w:type="dxa"/>
            <w:tcBorders>
              <w:top w:val="nil"/>
              <w:left w:val="nil"/>
              <w:bottom w:val="nil"/>
              <w:right w:val="nil"/>
            </w:tcBorders>
            <w:shd w:val="clear" w:color="auto" w:fill="auto"/>
            <w:noWrap/>
            <w:hideMark/>
          </w:tcPr>
          <w:p w14:paraId="7CAC2094" w14:textId="37BDA39F" w:rsidR="00F9320E" w:rsidRPr="00CB49D7" w:rsidRDefault="00F9320E" w:rsidP="00F9320E">
            <w:pPr>
              <w:spacing w:after="0"/>
              <w:jc w:val="center"/>
              <w:rPr>
                <w:rFonts w:eastAsia="Times New Roman"/>
                <w:color w:val="000000"/>
                <w:sz w:val="20"/>
                <w:szCs w:val="20"/>
                <w:lang w:val="es-AR"/>
              </w:rPr>
            </w:pPr>
            <w:r w:rsidRPr="00295BB0">
              <w:t>0.06</w:t>
            </w:r>
          </w:p>
        </w:tc>
        <w:tc>
          <w:tcPr>
            <w:tcW w:w="841" w:type="dxa"/>
            <w:tcBorders>
              <w:top w:val="nil"/>
              <w:left w:val="nil"/>
              <w:bottom w:val="nil"/>
              <w:right w:val="nil"/>
            </w:tcBorders>
            <w:shd w:val="clear" w:color="auto" w:fill="auto"/>
            <w:noWrap/>
            <w:hideMark/>
          </w:tcPr>
          <w:p w14:paraId="726ACE7D" w14:textId="494CF18B" w:rsidR="00F9320E" w:rsidRPr="00CB49D7" w:rsidRDefault="00F9320E" w:rsidP="00F9320E">
            <w:pPr>
              <w:spacing w:after="0"/>
              <w:jc w:val="center"/>
              <w:rPr>
                <w:rFonts w:eastAsia="Times New Roman"/>
                <w:color w:val="000000"/>
                <w:sz w:val="20"/>
                <w:szCs w:val="20"/>
                <w:lang w:val="es-AR"/>
              </w:rPr>
            </w:pPr>
            <w:r w:rsidRPr="00295BB0">
              <w:t>0.87</w:t>
            </w:r>
          </w:p>
        </w:tc>
        <w:tc>
          <w:tcPr>
            <w:tcW w:w="660" w:type="dxa"/>
            <w:tcBorders>
              <w:top w:val="nil"/>
              <w:left w:val="nil"/>
              <w:bottom w:val="nil"/>
              <w:right w:val="nil"/>
            </w:tcBorders>
            <w:shd w:val="clear" w:color="auto" w:fill="auto"/>
            <w:noWrap/>
            <w:hideMark/>
          </w:tcPr>
          <w:p w14:paraId="06809404" w14:textId="1FB41890" w:rsidR="00F9320E" w:rsidRPr="00CB49D7" w:rsidRDefault="00F9320E" w:rsidP="00F9320E">
            <w:pPr>
              <w:spacing w:after="0"/>
              <w:jc w:val="center"/>
              <w:rPr>
                <w:rFonts w:eastAsia="Times New Roman"/>
                <w:color w:val="000000"/>
                <w:sz w:val="20"/>
                <w:szCs w:val="20"/>
                <w:lang w:val="es-AR"/>
              </w:rPr>
            </w:pPr>
            <w:r w:rsidRPr="00295BB0">
              <w:t>0.39</w:t>
            </w:r>
          </w:p>
        </w:tc>
        <w:tc>
          <w:tcPr>
            <w:tcW w:w="660" w:type="dxa"/>
            <w:tcBorders>
              <w:top w:val="nil"/>
              <w:left w:val="nil"/>
              <w:bottom w:val="nil"/>
              <w:right w:val="nil"/>
            </w:tcBorders>
            <w:shd w:val="clear" w:color="auto" w:fill="auto"/>
            <w:noWrap/>
            <w:hideMark/>
          </w:tcPr>
          <w:p w14:paraId="0DBB01A6" w14:textId="519D9F27" w:rsidR="00F9320E" w:rsidRPr="00CB49D7" w:rsidRDefault="00F9320E" w:rsidP="00F9320E">
            <w:pPr>
              <w:spacing w:after="0"/>
              <w:jc w:val="center"/>
              <w:rPr>
                <w:rFonts w:eastAsia="Times New Roman"/>
                <w:color w:val="000000"/>
                <w:sz w:val="20"/>
                <w:szCs w:val="20"/>
                <w:lang w:val="es-AR"/>
              </w:rPr>
            </w:pPr>
            <w:r w:rsidRPr="00295BB0">
              <w:t>-0.04</w:t>
            </w:r>
          </w:p>
        </w:tc>
        <w:tc>
          <w:tcPr>
            <w:tcW w:w="1045" w:type="dxa"/>
            <w:tcBorders>
              <w:top w:val="nil"/>
              <w:left w:val="nil"/>
              <w:bottom w:val="nil"/>
              <w:right w:val="nil"/>
            </w:tcBorders>
            <w:shd w:val="clear" w:color="auto" w:fill="auto"/>
            <w:noWrap/>
            <w:hideMark/>
          </w:tcPr>
          <w:p w14:paraId="5A3AE684" w14:textId="4F1D34B8" w:rsidR="00F9320E" w:rsidRPr="00CB49D7" w:rsidRDefault="00F9320E" w:rsidP="00F9320E">
            <w:pPr>
              <w:spacing w:after="0"/>
              <w:jc w:val="center"/>
              <w:rPr>
                <w:rFonts w:eastAsia="Times New Roman"/>
                <w:color w:val="000000"/>
                <w:sz w:val="20"/>
                <w:szCs w:val="20"/>
                <w:lang w:val="es-AR"/>
              </w:rPr>
            </w:pPr>
            <w:r w:rsidRPr="00295BB0">
              <w:t>0.14</w:t>
            </w:r>
          </w:p>
        </w:tc>
      </w:tr>
      <w:tr w:rsidR="00F9320E" w:rsidRPr="00BF5447" w14:paraId="01D71913" w14:textId="77777777" w:rsidTr="00836669">
        <w:trPr>
          <w:trHeight w:val="558"/>
        </w:trPr>
        <w:tc>
          <w:tcPr>
            <w:tcW w:w="3936" w:type="dxa"/>
            <w:tcBorders>
              <w:top w:val="nil"/>
              <w:left w:val="nil"/>
              <w:bottom w:val="nil"/>
              <w:right w:val="nil"/>
            </w:tcBorders>
            <w:shd w:val="clear" w:color="auto" w:fill="auto"/>
            <w:vAlign w:val="center"/>
            <w:hideMark/>
          </w:tcPr>
          <w:p w14:paraId="3B6896E3" w14:textId="77777777" w:rsidR="00F9320E" w:rsidRPr="00CB49D7" w:rsidRDefault="00F9320E" w:rsidP="00F9320E">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367143BA" w14:textId="77777777" w:rsidR="00F9320E" w:rsidRPr="00CB49D7" w:rsidRDefault="00F9320E" w:rsidP="00F9320E">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3240186E"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5FF5EFFA"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7904369D"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31B01B59"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4C15F7FA"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r>
      <w:tr w:rsidR="00F9320E" w:rsidRPr="00124C67" w14:paraId="68779BCC" w14:textId="77777777" w:rsidTr="00836669">
        <w:trPr>
          <w:trHeight w:val="279"/>
        </w:trPr>
        <w:tc>
          <w:tcPr>
            <w:tcW w:w="3936" w:type="dxa"/>
            <w:tcBorders>
              <w:top w:val="nil"/>
              <w:left w:val="nil"/>
              <w:bottom w:val="nil"/>
              <w:right w:val="nil"/>
            </w:tcBorders>
            <w:shd w:val="clear" w:color="auto" w:fill="auto"/>
            <w:noWrap/>
            <w:vAlign w:val="center"/>
            <w:hideMark/>
          </w:tcPr>
          <w:p w14:paraId="33E9ACEB"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269B8400" w14:textId="7549778D" w:rsidR="00F9320E" w:rsidRPr="00CB49D7" w:rsidRDefault="00F9320E" w:rsidP="00F9320E">
            <w:pPr>
              <w:spacing w:after="0"/>
              <w:jc w:val="center"/>
              <w:rPr>
                <w:rFonts w:eastAsia="Times New Roman"/>
                <w:color w:val="000000"/>
                <w:sz w:val="20"/>
                <w:szCs w:val="20"/>
                <w:lang w:val="es-AR"/>
              </w:rPr>
            </w:pPr>
            <w:r w:rsidRPr="00295BB0">
              <w:t>0.08</w:t>
            </w:r>
          </w:p>
        </w:tc>
        <w:tc>
          <w:tcPr>
            <w:tcW w:w="865" w:type="dxa"/>
            <w:tcBorders>
              <w:top w:val="nil"/>
              <w:left w:val="nil"/>
              <w:bottom w:val="nil"/>
              <w:right w:val="nil"/>
            </w:tcBorders>
            <w:shd w:val="clear" w:color="auto" w:fill="auto"/>
            <w:noWrap/>
            <w:hideMark/>
          </w:tcPr>
          <w:p w14:paraId="3723A933" w14:textId="2026FF0F" w:rsidR="00F9320E" w:rsidRPr="00CB49D7" w:rsidRDefault="00F9320E" w:rsidP="00F9320E">
            <w:pPr>
              <w:spacing w:after="0"/>
              <w:jc w:val="center"/>
              <w:rPr>
                <w:rFonts w:eastAsia="Times New Roman"/>
                <w:color w:val="000000"/>
                <w:sz w:val="20"/>
                <w:szCs w:val="20"/>
                <w:lang w:val="es-AR"/>
              </w:rPr>
            </w:pPr>
            <w:r w:rsidRPr="00295BB0">
              <w:t>0.05</w:t>
            </w:r>
          </w:p>
        </w:tc>
        <w:tc>
          <w:tcPr>
            <w:tcW w:w="841" w:type="dxa"/>
            <w:tcBorders>
              <w:top w:val="nil"/>
              <w:left w:val="nil"/>
              <w:bottom w:val="nil"/>
              <w:right w:val="nil"/>
            </w:tcBorders>
            <w:shd w:val="clear" w:color="auto" w:fill="auto"/>
            <w:noWrap/>
            <w:hideMark/>
          </w:tcPr>
          <w:p w14:paraId="6E1EE204" w14:textId="742BB715" w:rsidR="00F9320E" w:rsidRPr="00CB49D7" w:rsidRDefault="00F9320E" w:rsidP="00F9320E">
            <w:pPr>
              <w:spacing w:after="0"/>
              <w:jc w:val="center"/>
              <w:rPr>
                <w:rFonts w:eastAsia="Times New Roman"/>
                <w:color w:val="000000"/>
                <w:sz w:val="20"/>
                <w:szCs w:val="20"/>
                <w:lang w:val="es-AR"/>
              </w:rPr>
            </w:pPr>
            <w:r w:rsidRPr="00295BB0">
              <w:t>1.64</w:t>
            </w:r>
          </w:p>
        </w:tc>
        <w:tc>
          <w:tcPr>
            <w:tcW w:w="660" w:type="dxa"/>
            <w:tcBorders>
              <w:top w:val="nil"/>
              <w:left w:val="nil"/>
              <w:bottom w:val="nil"/>
              <w:right w:val="nil"/>
            </w:tcBorders>
            <w:shd w:val="clear" w:color="auto" w:fill="auto"/>
            <w:noWrap/>
            <w:hideMark/>
          </w:tcPr>
          <w:p w14:paraId="31D1A126" w14:textId="5910130E" w:rsidR="00F9320E" w:rsidRPr="00CB49D7" w:rsidRDefault="00F9320E" w:rsidP="00F9320E">
            <w:pPr>
              <w:spacing w:after="0"/>
              <w:jc w:val="center"/>
              <w:rPr>
                <w:rFonts w:eastAsia="Times New Roman"/>
                <w:color w:val="000000"/>
                <w:sz w:val="20"/>
                <w:szCs w:val="20"/>
                <w:lang w:val="es-AR"/>
              </w:rPr>
            </w:pPr>
            <w:r w:rsidRPr="00295BB0">
              <w:t>0.10</w:t>
            </w:r>
          </w:p>
        </w:tc>
        <w:tc>
          <w:tcPr>
            <w:tcW w:w="660" w:type="dxa"/>
            <w:tcBorders>
              <w:top w:val="nil"/>
              <w:left w:val="nil"/>
              <w:bottom w:val="nil"/>
              <w:right w:val="nil"/>
            </w:tcBorders>
            <w:shd w:val="clear" w:color="auto" w:fill="auto"/>
            <w:noWrap/>
            <w:hideMark/>
          </w:tcPr>
          <w:p w14:paraId="522005A5" w14:textId="2318A947" w:rsidR="00F9320E" w:rsidRPr="00CB49D7" w:rsidRDefault="00F9320E" w:rsidP="00F9320E">
            <w:pPr>
              <w:spacing w:after="0"/>
              <w:jc w:val="center"/>
              <w:rPr>
                <w:rFonts w:eastAsia="Times New Roman"/>
                <w:color w:val="000000"/>
                <w:sz w:val="20"/>
                <w:szCs w:val="20"/>
                <w:lang w:val="es-AR"/>
              </w:rPr>
            </w:pPr>
            <w:r w:rsidRPr="00295BB0">
              <w:t>0.00</w:t>
            </w:r>
          </w:p>
        </w:tc>
        <w:tc>
          <w:tcPr>
            <w:tcW w:w="1045" w:type="dxa"/>
            <w:tcBorders>
              <w:top w:val="nil"/>
              <w:left w:val="nil"/>
              <w:bottom w:val="nil"/>
              <w:right w:val="nil"/>
            </w:tcBorders>
            <w:shd w:val="clear" w:color="auto" w:fill="auto"/>
            <w:noWrap/>
            <w:hideMark/>
          </w:tcPr>
          <w:p w14:paraId="318578CA" w14:textId="4491C9BF" w:rsidR="00F9320E" w:rsidRPr="00CB49D7" w:rsidRDefault="00F9320E" w:rsidP="00F9320E">
            <w:pPr>
              <w:spacing w:after="0"/>
              <w:jc w:val="center"/>
              <w:rPr>
                <w:rFonts w:eastAsia="Times New Roman"/>
                <w:color w:val="000000"/>
                <w:sz w:val="20"/>
                <w:szCs w:val="20"/>
                <w:lang w:val="es-AR"/>
              </w:rPr>
            </w:pPr>
            <w:r w:rsidRPr="00295BB0">
              <w:t>0.16</w:t>
            </w:r>
          </w:p>
        </w:tc>
      </w:tr>
      <w:tr w:rsidR="00F9320E" w:rsidRPr="00124C67" w14:paraId="68F06D23" w14:textId="77777777" w:rsidTr="00836669">
        <w:trPr>
          <w:trHeight w:val="279"/>
        </w:trPr>
        <w:tc>
          <w:tcPr>
            <w:tcW w:w="3936" w:type="dxa"/>
            <w:tcBorders>
              <w:top w:val="single" w:sz="4" w:space="0" w:color="auto"/>
              <w:left w:val="nil"/>
              <w:bottom w:val="nil"/>
              <w:right w:val="nil"/>
            </w:tcBorders>
            <w:shd w:val="clear" w:color="auto" w:fill="auto"/>
            <w:noWrap/>
            <w:vAlign w:val="center"/>
            <w:hideMark/>
          </w:tcPr>
          <w:p w14:paraId="4FA0C6B6"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R2</w:t>
            </w:r>
          </w:p>
        </w:tc>
        <w:tc>
          <w:tcPr>
            <w:tcW w:w="965" w:type="dxa"/>
            <w:tcBorders>
              <w:top w:val="single" w:sz="4" w:space="0" w:color="auto"/>
              <w:left w:val="nil"/>
              <w:bottom w:val="nil"/>
              <w:right w:val="nil"/>
            </w:tcBorders>
            <w:shd w:val="clear" w:color="auto" w:fill="auto"/>
            <w:noWrap/>
            <w:hideMark/>
          </w:tcPr>
          <w:p w14:paraId="65F419A5" w14:textId="0F267230" w:rsidR="00F9320E" w:rsidRPr="00CB49D7" w:rsidRDefault="00F9320E" w:rsidP="00F9320E">
            <w:pPr>
              <w:spacing w:after="0"/>
              <w:jc w:val="center"/>
              <w:rPr>
                <w:rFonts w:eastAsia="Times New Roman"/>
                <w:color w:val="000000"/>
                <w:sz w:val="20"/>
                <w:szCs w:val="20"/>
                <w:lang w:val="es-AR"/>
              </w:rPr>
            </w:pPr>
            <w:r w:rsidRPr="00295BB0">
              <w:t>0.01</w:t>
            </w:r>
          </w:p>
        </w:tc>
        <w:tc>
          <w:tcPr>
            <w:tcW w:w="865" w:type="dxa"/>
            <w:tcBorders>
              <w:top w:val="single" w:sz="4" w:space="0" w:color="auto"/>
              <w:left w:val="nil"/>
              <w:bottom w:val="nil"/>
              <w:right w:val="nil"/>
            </w:tcBorders>
            <w:shd w:val="clear" w:color="auto" w:fill="auto"/>
            <w:noWrap/>
            <w:hideMark/>
          </w:tcPr>
          <w:p w14:paraId="6088AD80" w14:textId="39A123EF" w:rsidR="00F9320E" w:rsidRPr="00CB49D7" w:rsidRDefault="00F9320E" w:rsidP="00F9320E">
            <w:pPr>
              <w:spacing w:after="0"/>
              <w:jc w:val="center"/>
              <w:rPr>
                <w:rFonts w:eastAsia="Times New Roman"/>
                <w:color w:val="000000"/>
                <w:sz w:val="20"/>
                <w:szCs w:val="20"/>
                <w:lang w:val="es-AR"/>
              </w:rPr>
            </w:pPr>
            <w:r w:rsidRPr="00295BB0">
              <w:t>#N/A</w:t>
            </w:r>
          </w:p>
        </w:tc>
        <w:tc>
          <w:tcPr>
            <w:tcW w:w="841" w:type="dxa"/>
            <w:tcBorders>
              <w:top w:val="single" w:sz="4" w:space="0" w:color="auto"/>
              <w:left w:val="nil"/>
              <w:bottom w:val="nil"/>
              <w:right w:val="nil"/>
            </w:tcBorders>
            <w:shd w:val="clear" w:color="auto" w:fill="auto"/>
            <w:noWrap/>
            <w:hideMark/>
          </w:tcPr>
          <w:p w14:paraId="7674EA2D" w14:textId="04975489" w:rsidR="00F9320E" w:rsidRPr="00CB49D7" w:rsidRDefault="00F9320E" w:rsidP="00F9320E">
            <w:pPr>
              <w:spacing w:after="0"/>
              <w:jc w:val="center"/>
              <w:rPr>
                <w:rFonts w:eastAsia="Times New Roman"/>
                <w:color w:val="000000"/>
                <w:sz w:val="20"/>
                <w:szCs w:val="20"/>
                <w:lang w:val="es-AR"/>
              </w:rPr>
            </w:pPr>
            <w:r w:rsidRPr="00295BB0">
              <w:t>#N/A</w:t>
            </w:r>
          </w:p>
        </w:tc>
        <w:tc>
          <w:tcPr>
            <w:tcW w:w="660" w:type="dxa"/>
            <w:tcBorders>
              <w:top w:val="single" w:sz="4" w:space="0" w:color="auto"/>
              <w:left w:val="nil"/>
              <w:bottom w:val="nil"/>
              <w:right w:val="nil"/>
            </w:tcBorders>
            <w:shd w:val="clear" w:color="auto" w:fill="auto"/>
            <w:noWrap/>
            <w:hideMark/>
          </w:tcPr>
          <w:p w14:paraId="7E48C903" w14:textId="6291FEA5" w:rsidR="00F9320E" w:rsidRPr="00CB49D7" w:rsidRDefault="00F9320E" w:rsidP="00F9320E">
            <w:pPr>
              <w:spacing w:after="0"/>
              <w:jc w:val="center"/>
              <w:rPr>
                <w:rFonts w:eastAsia="Times New Roman"/>
                <w:color w:val="000000"/>
                <w:sz w:val="20"/>
                <w:szCs w:val="20"/>
                <w:lang w:val="es-AR"/>
              </w:rPr>
            </w:pPr>
            <w:r w:rsidRPr="00295BB0">
              <w:t>#N/A</w:t>
            </w:r>
          </w:p>
        </w:tc>
        <w:tc>
          <w:tcPr>
            <w:tcW w:w="660" w:type="dxa"/>
            <w:tcBorders>
              <w:top w:val="single" w:sz="4" w:space="0" w:color="auto"/>
              <w:left w:val="nil"/>
              <w:bottom w:val="nil"/>
              <w:right w:val="nil"/>
            </w:tcBorders>
            <w:shd w:val="clear" w:color="auto" w:fill="auto"/>
            <w:noWrap/>
            <w:hideMark/>
          </w:tcPr>
          <w:p w14:paraId="49548448" w14:textId="3F8C687F" w:rsidR="00F9320E" w:rsidRPr="00CB49D7" w:rsidRDefault="00F9320E" w:rsidP="00F9320E">
            <w:pPr>
              <w:spacing w:after="0"/>
              <w:jc w:val="center"/>
              <w:rPr>
                <w:rFonts w:eastAsia="Times New Roman"/>
                <w:color w:val="000000"/>
                <w:sz w:val="20"/>
                <w:szCs w:val="20"/>
                <w:lang w:val="es-AR"/>
              </w:rPr>
            </w:pPr>
            <w:r w:rsidRPr="00295BB0">
              <w:t>#N/A</w:t>
            </w:r>
          </w:p>
        </w:tc>
        <w:tc>
          <w:tcPr>
            <w:tcW w:w="1045" w:type="dxa"/>
            <w:tcBorders>
              <w:top w:val="single" w:sz="4" w:space="0" w:color="auto"/>
              <w:left w:val="nil"/>
              <w:bottom w:val="nil"/>
              <w:right w:val="nil"/>
            </w:tcBorders>
            <w:shd w:val="clear" w:color="auto" w:fill="auto"/>
            <w:noWrap/>
            <w:hideMark/>
          </w:tcPr>
          <w:p w14:paraId="4A63924D" w14:textId="53FC927A" w:rsidR="00F9320E" w:rsidRPr="00CB49D7" w:rsidRDefault="00F9320E" w:rsidP="00F9320E">
            <w:pPr>
              <w:spacing w:after="0"/>
              <w:jc w:val="center"/>
              <w:rPr>
                <w:rFonts w:eastAsia="Times New Roman"/>
                <w:color w:val="000000"/>
                <w:sz w:val="20"/>
                <w:szCs w:val="20"/>
                <w:lang w:val="es-AR"/>
              </w:rPr>
            </w:pPr>
            <w:r w:rsidRPr="00295BB0">
              <w:t>#N/A</w:t>
            </w:r>
          </w:p>
        </w:tc>
      </w:tr>
      <w:tr w:rsidR="00F9320E" w:rsidRPr="00124C67" w14:paraId="3A3C89D1" w14:textId="77777777" w:rsidTr="00836669">
        <w:trPr>
          <w:trHeight w:val="279"/>
        </w:trPr>
        <w:tc>
          <w:tcPr>
            <w:tcW w:w="3936" w:type="dxa"/>
            <w:tcBorders>
              <w:top w:val="nil"/>
              <w:left w:val="nil"/>
              <w:bottom w:val="single" w:sz="4" w:space="0" w:color="auto"/>
              <w:right w:val="nil"/>
            </w:tcBorders>
            <w:shd w:val="clear" w:color="auto" w:fill="auto"/>
            <w:noWrap/>
            <w:vAlign w:val="center"/>
            <w:hideMark/>
          </w:tcPr>
          <w:p w14:paraId="6A97B765"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n</w:t>
            </w:r>
          </w:p>
        </w:tc>
        <w:tc>
          <w:tcPr>
            <w:tcW w:w="965" w:type="dxa"/>
            <w:tcBorders>
              <w:top w:val="nil"/>
              <w:left w:val="nil"/>
              <w:bottom w:val="single" w:sz="4" w:space="0" w:color="auto"/>
              <w:right w:val="nil"/>
            </w:tcBorders>
            <w:shd w:val="clear" w:color="auto" w:fill="auto"/>
            <w:noWrap/>
            <w:hideMark/>
          </w:tcPr>
          <w:p w14:paraId="59639C2B" w14:textId="05B14CB2" w:rsidR="00F9320E" w:rsidRPr="00CB49D7" w:rsidRDefault="00F9320E" w:rsidP="00F9320E">
            <w:pPr>
              <w:spacing w:after="0"/>
              <w:jc w:val="center"/>
              <w:rPr>
                <w:rFonts w:eastAsia="Times New Roman"/>
                <w:color w:val="000000"/>
                <w:sz w:val="20"/>
                <w:szCs w:val="20"/>
                <w:lang w:val="es-AR"/>
              </w:rPr>
            </w:pPr>
            <w:r w:rsidRPr="00295BB0">
              <w:t>2588</w:t>
            </w:r>
          </w:p>
        </w:tc>
        <w:tc>
          <w:tcPr>
            <w:tcW w:w="865" w:type="dxa"/>
            <w:tcBorders>
              <w:top w:val="nil"/>
              <w:left w:val="nil"/>
              <w:bottom w:val="single" w:sz="4" w:space="0" w:color="auto"/>
              <w:right w:val="nil"/>
            </w:tcBorders>
            <w:shd w:val="clear" w:color="auto" w:fill="auto"/>
            <w:noWrap/>
            <w:hideMark/>
          </w:tcPr>
          <w:p w14:paraId="5D6B0ED6" w14:textId="64B72A48" w:rsidR="00F9320E" w:rsidRPr="00CB49D7" w:rsidRDefault="00F9320E" w:rsidP="00F9320E">
            <w:pPr>
              <w:spacing w:after="0"/>
              <w:jc w:val="center"/>
              <w:rPr>
                <w:rFonts w:eastAsia="Times New Roman"/>
                <w:color w:val="000000"/>
                <w:sz w:val="20"/>
                <w:szCs w:val="20"/>
                <w:lang w:val="es-AR"/>
              </w:rPr>
            </w:pPr>
            <w:r w:rsidRPr="00295BB0">
              <w:t>#N/A</w:t>
            </w:r>
          </w:p>
        </w:tc>
        <w:tc>
          <w:tcPr>
            <w:tcW w:w="841" w:type="dxa"/>
            <w:tcBorders>
              <w:top w:val="nil"/>
              <w:left w:val="nil"/>
              <w:bottom w:val="single" w:sz="4" w:space="0" w:color="auto"/>
              <w:right w:val="nil"/>
            </w:tcBorders>
            <w:shd w:val="clear" w:color="auto" w:fill="auto"/>
            <w:noWrap/>
            <w:hideMark/>
          </w:tcPr>
          <w:p w14:paraId="6F251330" w14:textId="1B1D5EAC" w:rsidR="00F9320E" w:rsidRPr="00CB49D7" w:rsidRDefault="00F9320E" w:rsidP="00F9320E">
            <w:pPr>
              <w:spacing w:after="0"/>
              <w:jc w:val="center"/>
              <w:rPr>
                <w:rFonts w:eastAsia="Times New Roman"/>
                <w:color w:val="000000"/>
                <w:sz w:val="20"/>
                <w:szCs w:val="20"/>
                <w:lang w:val="es-AR"/>
              </w:rPr>
            </w:pPr>
            <w:r w:rsidRPr="00295BB0">
              <w:t>#N/A</w:t>
            </w:r>
          </w:p>
        </w:tc>
        <w:tc>
          <w:tcPr>
            <w:tcW w:w="660" w:type="dxa"/>
            <w:tcBorders>
              <w:top w:val="nil"/>
              <w:left w:val="nil"/>
              <w:bottom w:val="single" w:sz="4" w:space="0" w:color="auto"/>
              <w:right w:val="nil"/>
            </w:tcBorders>
            <w:shd w:val="clear" w:color="auto" w:fill="auto"/>
            <w:noWrap/>
            <w:hideMark/>
          </w:tcPr>
          <w:p w14:paraId="7C5E0468" w14:textId="47C77B5A" w:rsidR="00F9320E" w:rsidRPr="00CB49D7" w:rsidRDefault="00F9320E" w:rsidP="00F9320E">
            <w:pPr>
              <w:spacing w:after="0"/>
              <w:jc w:val="center"/>
              <w:rPr>
                <w:rFonts w:eastAsia="Times New Roman"/>
                <w:color w:val="000000"/>
                <w:sz w:val="20"/>
                <w:szCs w:val="20"/>
                <w:lang w:val="es-AR"/>
              </w:rPr>
            </w:pPr>
            <w:r w:rsidRPr="00295BB0">
              <w:t>#N/A</w:t>
            </w:r>
          </w:p>
        </w:tc>
        <w:tc>
          <w:tcPr>
            <w:tcW w:w="660" w:type="dxa"/>
            <w:tcBorders>
              <w:top w:val="nil"/>
              <w:left w:val="nil"/>
              <w:bottom w:val="single" w:sz="4" w:space="0" w:color="auto"/>
              <w:right w:val="nil"/>
            </w:tcBorders>
            <w:shd w:val="clear" w:color="auto" w:fill="auto"/>
            <w:noWrap/>
            <w:hideMark/>
          </w:tcPr>
          <w:p w14:paraId="3DDC003E" w14:textId="414CFCCE" w:rsidR="00F9320E" w:rsidRPr="00CB49D7" w:rsidRDefault="00F9320E" w:rsidP="00F9320E">
            <w:pPr>
              <w:spacing w:after="0"/>
              <w:jc w:val="center"/>
              <w:rPr>
                <w:rFonts w:eastAsia="Times New Roman"/>
                <w:color w:val="000000"/>
                <w:sz w:val="20"/>
                <w:szCs w:val="20"/>
                <w:lang w:val="es-AR"/>
              </w:rPr>
            </w:pPr>
            <w:r w:rsidRPr="00295BB0">
              <w:t>#N/A</w:t>
            </w:r>
          </w:p>
        </w:tc>
        <w:tc>
          <w:tcPr>
            <w:tcW w:w="1045" w:type="dxa"/>
            <w:tcBorders>
              <w:top w:val="nil"/>
              <w:left w:val="nil"/>
              <w:bottom w:val="single" w:sz="4" w:space="0" w:color="auto"/>
              <w:right w:val="nil"/>
            </w:tcBorders>
            <w:shd w:val="clear" w:color="auto" w:fill="auto"/>
            <w:noWrap/>
            <w:hideMark/>
          </w:tcPr>
          <w:p w14:paraId="3C022B1B" w14:textId="183AE27C" w:rsidR="00F9320E" w:rsidRPr="00CB49D7" w:rsidRDefault="00F9320E" w:rsidP="00F9320E">
            <w:pPr>
              <w:spacing w:after="0"/>
              <w:jc w:val="center"/>
              <w:rPr>
                <w:rFonts w:eastAsia="Times New Roman"/>
                <w:color w:val="000000"/>
                <w:sz w:val="20"/>
                <w:szCs w:val="20"/>
                <w:lang w:val="es-AR"/>
              </w:rPr>
            </w:pPr>
            <w:r w:rsidRPr="00295BB0">
              <w:t>#N/A</w:t>
            </w:r>
          </w:p>
        </w:tc>
      </w:tr>
    </w:tbl>
    <w:p w14:paraId="4ACB724E" w14:textId="2B94B950" w:rsidR="002F0A15" w:rsidRDefault="002F0A15" w:rsidP="00695CA7">
      <w:pPr>
        <w:pBdr>
          <w:top w:val="nil"/>
          <w:left w:val="nil"/>
          <w:bottom w:val="nil"/>
          <w:right w:val="nil"/>
          <w:between w:val="nil"/>
        </w:pBdr>
        <w:spacing w:after="0"/>
        <w:rPr>
          <w:lang w:val="en-US"/>
        </w:rPr>
      </w:pPr>
      <w:r w:rsidRPr="007D3DD1">
        <w:rPr>
          <w:b/>
          <w:bCs/>
          <w:lang w:val="en"/>
        </w:rPr>
        <w:t xml:space="preserve">Table </w:t>
      </w:r>
      <w:r>
        <w:rPr>
          <w:b/>
          <w:bCs/>
          <w:lang w:val="en"/>
        </w:rPr>
        <w:t>A2.</w:t>
      </w:r>
      <w:r w:rsidR="00CB49D7">
        <w:rPr>
          <w:b/>
          <w:bCs/>
          <w:lang w:val="en"/>
        </w:rPr>
        <w:t>5</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xml:space="preserve">** p value less than 5%, *** p value less than 1%. </w:t>
      </w:r>
      <w:r w:rsidR="00391A4A">
        <w:rPr>
          <w:lang w:val="en-US"/>
        </w:rPr>
        <w:t>Industry and occupation similarity have been build based on all job transitions that did not go through a period of unemployment</w:t>
      </w:r>
      <w:r>
        <w:rPr>
          <w:lang w:val="en-US"/>
        </w:rPr>
        <w:t xml:space="preserve">. </w:t>
      </w:r>
      <w:r w:rsidR="00695CA7">
        <w:rPr>
          <w:lang w:val="en-US"/>
        </w:rPr>
        <w:t>The sample in this regression comprises all the job-to-job transitions that do not include a period of unemployment.</w:t>
      </w:r>
    </w:p>
    <w:p w14:paraId="6B35E2CD" w14:textId="77777777" w:rsidR="00F9320E" w:rsidRDefault="00F9320E" w:rsidP="00695CA7">
      <w:pPr>
        <w:pBdr>
          <w:top w:val="nil"/>
          <w:left w:val="nil"/>
          <w:bottom w:val="nil"/>
          <w:right w:val="nil"/>
          <w:between w:val="nil"/>
        </w:pBdr>
        <w:spacing w:after="0"/>
        <w:rPr>
          <w:lang w:val="en-US"/>
        </w:rPr>
      </w:pPr>
    </w:p>
    <w:tbl>
      <w:tblPr>
        <w:tblW w:w="8972" w:type="dxa"/>
        <w:tblCellMar>
          <w:left w:w="70" w:type="dxa"/>
          <w:right w:w="70" w:type="dxa"/>
        </w:tblCellMar>
        <w:tblLook w:val="04A0" w:firstRow="1" w:lastRow="0" w:firstColumn="1" w:lastColumn="0" w:noHBand="0" w:noVBand="1"/>
      </w:tblPr>
      <w:tblGrid>
        <w:gridCol w:w="3936"/>
        <w:gridCol w:w="965"/>
        <w:gridCol w:w="865"/>
        <w:gridCol w:w="841"/>
        <w:gridCol w:w="660"/>
        <w:gridCol w:w="660"/>
        <w:gridCol w:w="1045"/>
      </w:tblGrid>
      <w:tr w:rsidR="00F9320E" w:rsidRPr="00124C67" w14:paraId="1A1F426E" w14:textId="77777777" w:rsidTr="00836669">
        <w:trPr>
          <w:trHeight w:val="279"/>
        </w:trPr>
        <w:tc>
          <w:tcPr>
            <w:tcW w:w="3936" w:type="dxa"/>
            <w:tcBorders>
              <w:top w:val="single" w:sz="4" w:space="0" w:color="auto"/>
              <w:left w:val="nil"/>
              <w:bottom w:val="single" w:sz="4" w:space="0" w:color="auto"/>
              <w:right w:val="nil"/>
            </w:tcBorders>
            <w:shd w:val="clear" w:color="auto" w:fill="auto"/>
            <w:noWrap/>
            <w:vAlign w:val="center"/>
            <w:hideMark/>
          </w:tcPr>
          <w:p w14:paraId="13ECD7A7" w14:textId="77777777" w:rsidR="00F9320E" w:rsidRPr="00CB49D7" w:rsidRDefault="00F9320E"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Dep</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var</w:t>
            </w:r>
            <w:proofErr w:type="spellEnd"/>
          </w:p>
          <w:p w14:paraId="0019D23A" w14:textId="77777777" w:rsidR="00F9320E" w:rsidRPr="00CB49D7" w:rsidRDefault="00F9320E" w:rsidP="00836669">
            <w:pPr>
              <w:spacing w:after="0"/>
              <w:rPr>
                <w:rFonts w:eastAsia="Times New Roman"/>
                <w:color w:val="000000"/>
                <w:sz w:val="20"/>
                <w:szCs w:val="20"/>
                <w:lang w:val="es-AR"/>
              </w:rPr>
            </w:pPr>
            <w:proofErr w:type="spellStart"/>
            <w:r w:rsidRPr="00CB49D7">
              <w:rPr>
                <w:rFonts w:eastAsia="Times New Roman"/>
                <w:color w:val="000000"/>
                <w:sz w:val="20"/>
                <w:szCs w:val="20"/>
                <w:lang w:val="es-AR"/>
              </w:rPr>
              <w:t>QuarterlyChangeRealHourlyWage</w:t>
            </w:r>
            <w:proofErr w:type="spellEnd"/>
          </w:p>
        </w:tc>
        <w:tc>
          <w:tcPr>
            <w:tcW w:w="965" w:type="dxa"/>
            <w:tcBorders>
              <w:top w:val="single" w:sz="4" w:space="0" w:color="auto"/>
              <w:left w:val="nil"/>
              <w:bottom w:val="single" w:sz="4" w:space="0" w:color="auto"/>
              <w:right w:val="nil"/>
            </w:tcBorders>
            <w:shd w:val="clear" w:color="auto" w:fill="auto"/>
            <w:noWrap/>
            <w:vAlign w:val="center"/>
            <w:hideMark/>
          </w:tcPr>
          <w:p w14:paraId="79A2A327" w14:textId="77777777" w:rsidR="00F9320E" w:rsidRPr="00CB49D7" w:rsidRDefault="00F9320E"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estimate</w:t>
            </w:r>
            <w:proofErr w:type="spellEnd"/>
          </w:p>
        </w:tc>
        <w:tc>
          <w:tcPr>
            <w:tcW w:w="865" w:type="dxa"/>
            <w:tcBorders>
              <w:top w:val="single" w:sz="4" w:space="0" w:color="auto"/>
              <w:left w:val="nil"/>
              <w:bottom w:val="single" w:sz="4" w:space="0" w:color="auto"/>
              <w:right w:val="nil"/>
            </w:tcBorders>
            <w:shd w:val="clear" w:color="auto" w:fill="auto"/>
            <w:noWrap/>
            <w:vAlign w:val="center"/>
            <w:hideMark/>
          </w:tcPr>
          <w:p w14:paraId="6F5A1630" w14:textId="77777777" w:rsidR="00F9320E" w:rsidRPr="00CB49D7" w:rsidRDefault="00F9320E" w:rsidP="00836669">
            <w:pPr>
              <w:spacing w:after="0"/>
              <w:jc w:val="center"/>
              <w:rPr>
                <w:rFonts w:eastAsia="Times New Roman"/>
                <w:color w:val="000000"/>
                <w:sz w:val="20"/>
                <w:szCs w:val="20"/>
                <w:lang w:val="es-AR"/>
              </w:rPr>
            </w:pPr>
            <w:proofErr w:type="spellStart"/>
            <w:proofErr w:type="gramStart"/>
            <w:r w:rsidRPr="00CB49D7">
              <w:rPr>
                <w:rFonts w:eastAsia="Times New Roman"/>
                <w:color w:val="000000"/>
                <w:sz w:val="20"/>
                <w:szCs w:val="20"/>
                <w:lang w:val="es-AR"/>
              </w:rPr>
              <w:t>std.error</w:t>
            </w:r>
            <w:proofErr w:type="spellEnd"/>
            <w:proofErr w:type="gramEnd"/>
          </w:p>
        </w:tc>
        <w:tc>
          <w:tcPr>
            <w:tcW w:w="841" w:type="dxa"/>
            <w:tcBorders>
              <w:top w:val="single" w:sz="4" w:space="0" w:color="auto"/>
              <w:left w:val="nil"/>
              <w:bottom w:val="single" w:sz="4" w:space="0" w:color="auto"/>
              <w:right w:val="nil"/>
            </w:tcBorders>
            <w:shd w:val="clear" w:color="auto" w:fill="auto"/>
            <w:noWrap/>
            <w:vAlign w:val="center"/>
            <w:hideMark/>
          </w:tcPr>
          <w:p w14:paraId="6E122333" w14:textId="77777777" w:rsidR="00F9320E" w:rsidRPr="00CB49D7" w:rsidRDefault="00F9320E"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p.value</w:t>
            </w:r>
            <w:proofErr w:type="spellEnd"/>
          </w:p>
        </w:tc>
        <w:tc>
          <w:tcPr>
            <w:tcW w:w="660" w:type="dxa"/>
            <w:tcBorders>
              <w:top w:val="single" w:sz="4" w:space="0" w:color="auto"/>
              <w:left w:val="nil"/>
              <w:bottom w:val="single" w:sz="4" w:space="0" w:color="auto"/>
              <w:right w:val="nil"/>
            </w:tcBorders>
            <w:shd w:val="clear" w:color="auto" w:fill="auto"/>
            <w:noWrap/>
            <w:vAlign w:val="center"/>
            <w:hideMark/>
          </w:tcPr>
          <w:p w14:paraId="48DD4DCB" w14:textId="77777777" w:rsidR="00F9320E" w:rsidRPr="00CB49D7" w:rsidRDefault="00F9320E" w:rsidP="00836669">
            <w:pPr>
              <w:spacing w:after="0"/>
              <w:jc w:val="center"/>
              <w:rPr>
                <w:rFonts w:eastAsia="Times New Roman"/>
                <w:color w:val="000000"/>
                <w:sz w:val="20"/>
                <w:szCs w:val="20"/>
                <w:lang w:val="es-AR"/>
              </w:rPr>
            </w:pPr>
            <w:r w:rsidRPr="00CB49D7">
              <w:rPr>
                <w:rFonts w:eastAsia="Times New Roman"/>
                <w:color w:val="000000"/>
                <w:sz w:val="20"/>
                <w:szCs w:val="20"/>
                <w:lang w:val="es-AR"/>
              </w:rPr>
              <w:t>Lb (CI 90%)</w:t>
            </w:r>
          </w:p>
        </w:tc>
        <w:tc>
          <w:tcPr>
            <w:tcW w:w="660" w:type="dxa"/>
            <w:tcBorders>
              <w:top w:val="single" w:sz="4" w:space="0" w:color="auto"/>
              <w:left w:val="nil"/>
              <w:bottom w:val="single" w:sz="4" w:space="0" w:color="auto"/>
              <w:right w:val="nil"/>
            </w:tcBorders>
            <w:shd w:val="clear" w:color="auto" w:fill="auto"/>
            <w:noWrap/>
            <w:vAlign w:val="center"/>
            <w:hideMark/>
          </w:tcPr>
          <w:p w14:paraId="6CFE3EBC" w14:textId="77777777" w:rsidR="00F9320E" w:rsidRPr="00CB49D7" w:rsidRDefault="00F9320E"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Ub</w:t>
            </w:r>
            <w:proofErr w:type="spellEnd"/>
            <w:r w:rsidRPr="00CB49D7">
              <w:rPr>
                <w:rFonts w:eastAsia="Times New Roman"/>
                <w:color w:val="000000"/>
                <w:sz w:val="20"/>
                <w:szCs w:val="20"/>
                <w:lang w:val="es-AR"/>
              </w:rPr>
              <w:t xml:space="preserve"> (CI 90%)</w:t>
            </w:r>
          </w:p>
        </w:tc>
        <w:tc>
          <w:tcPr>
            <w:tcW w:w="1045" w:type="dxa"/>
            <w:tcBorders>
              <w:top w:val="single" w:sz="4" w:space="0" w:color="auto"/>
              <w:left w:val="nil"/>
              <w:bottom w:val="single" w:sz="4" w:space="0" w:color="auto"/>
              <w:right w:val="nil"/>
            </w:tcBorders>
            <w:shd w:val="clear" w:color="auto" w:fill="auto"/>
            <w:noWrap/>
            <w:vAlign w:val="center"/>
            <w:hideMark/>
          </w:tcPr>
          <w:p w14:paraId="70B991E7" w14:textId="77777777" w:rsidR="00F9320E" w:rsidRPr="00CB49D7" w:rsidRDefault="00F9320E" w:rsidP="00836669">
            <w:pPr>
              <w:spacing w:after="0"/>
              <w:jc w:val="center"/>
              <w:rPr>
                <w:rFonts w:eastAsia="Times New Roman"/>
                <w:color w:val="000000"/>
                <w:sz w:val="20"/>
                <w:szCs w:val="20"/>
                <w:lang w:val="es-AR"/>
              </w:rPr>
            </w:pPr>
            <w:proofErr w:type="spellStart"/>
            <w:r w:rsidRPr="00CB49D7">
              <w:rPr>
                <w:rFonts w:eastAsia="Times New Roman"/>
                <w:color w:val="000000"/>
                <w:sz w:val="20"/>
                <w:szCs w:val="20"/>
                <w:lang w:val="es-AR"/>
              </w:rPr>
              <w:t>coefPvalue</w:t>
            </w:r>
            <w:proofErr w:type="spellEnd"/>
          </w:p>
        </w:tc>
      </w:tr>
      <w:tr w:rsidR="00F9320E" w:rsidRPr="00124C67" w14:paraId="62D9B74B" w14:textId="77777777" w:rsidTr="00836669">
        <w:trPr>
          <w:trHeight w:val="279"/>
        </w:trPr>
        <w:tc>
          <w:tcPr>
            <w:tcW w:w="3936" w:type="dxa"/>
            <w:tcBorders>
              <w:top w:val="nil"/>
              <w:left w:val="nil"/>
              <w:bottom w:val="nil"/>
              <w:right w:val="nil"/>
            </w:tcBorders>
            <w:shd w:val="clear" w:color="auto" w:fill="auto"/>
            <w:noWrap/>
            <w:vAlign w:val="center"/>
            <w:hideMark/>
          </w:tcPr>
          <w:p w14:paraId="3C444503"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w:t>
            </w:r>
            <w:proofErr w:type="spellStart"/>
            <w:r w:rsidRPr="00CB49D7">
              <w:rPr>
                <w:rFonts w:eastAsia="Times New Roman"/>
                <w:color w:val="000000"/>
                <w:sz w:val="20"/>
                <w:szCs w:val="20"/>
                <w:lang w:val="es-AR"/>
              </w:rPr>
              <w:t>Intercept</w:t>
            </w:r>
            <w:proofErr w:type="spellEnd"/>
            <w:r w:rsidRPr="00CB49D7">
              <w:rPr>
                <w:rFonts w:eastAsia="Times New Roman"/>
                <w:color w:val="000000"/>
                <w:sz w:val="20"/>
                <w:szCs w:val="20"/>
                <w:lang w:val="es-AR"/>
              </w:rPr>
              <w:t>)</w:t>
            </w:r>
          </w:p>
        </w:tc>
        <w:tc>
          <w:tcPr>
            <w:tcW w:w="965" w:type="dxa"/>
            <w:tcBorders>
              <w:top w:val="nil"/>
              <w:left w:val="nil"/>
              <w:bottom w:val="nil"/>
              <w:right w:val="nil"/>
            </w:tcBorders>
            <w:shd w:val="clear" w:color="auto" w:fill="auto"/>
            <w:noWrap/>
            <w:hideMark/>
          </w:tcPr>
          <w:p w14:paraId="22184FC5" w14:textId="5E58DC57" w:rsidR="00F9320E" w:rsidRPr="00CB49D7" w:rsidRDefault="00F9320E" w:rsidP="00F9320E">
            <w:pPr>
              <w:spacing w:after="0"/>
              <w:jc w:val="center"/>
              <w:rPr>
                <w:rFonts w:eastAsia="Times New Roman"/>
                <w:color w:val="000000"/>
                <w:sz w:val="20"/>
                <w:szCs w:val="20"/>
                <w:lang w:val="es-AR"/>
              </w:rPr>
            </w:pPr>
            <w:r w:rsidRPr="00FA1271">
              <w:t>0.48</w:t>
            </w:r>
          </w:p>
        </w:tc>
        <w:tc>
          <w:tcPr>
            <w:tcW w:w="865" w:type="dxa"/>
            <w:tcBorders>
              <w:top w:val="nil"/>
              <w:left w:val="nil"/>
              <w:bottom w:val="nil"/>
              <w:right w:val="nil"/>
            </w:tcBorders>
            <w:shd w:val="clear" w:color="auto" w:fill="auto"/>
            <w:noWrap/>
            <w:hideMark/>
          </w:tcPr>
          <w:p w14:paraId="19B8FD94" w14:textId="2019FB0D" w:rsidR="00F9320E" w:rsidRPr="00CB49D7" w:rsidRDefault="00F9320E" w:rsidP="00F9320E">
            <w:pPr>
              <w:spacing w:after="0"/>
              <w:jc w:val="center"/>
              <w:rPr>
                <w:rFonts w:eastAsia="Times New Roman"/>
                <w:color w:val="000000"/>
                <w:sz w:val="20"/>
                <w:szCs w:val="20"/>
                <w:lang w:val="es-AR"/>
              </w:rPr>
            </w:pPr>
            <w:r w:rsidRPr="00FA1271">
              <w:t>0.18</w:t>
            </w:r>
          </w:p>
        </w:tc>
        <w:tc>
          <w:tcPr>
            <w:tcW w:w="841" w:type="dxa"/>
            <w:tcBorders>
              <w:top w:val="nil"/>
              <w:left w:val="nil"/>
              <w:bottom w:val="nil"/>
              <w:right w:val="nil"/>
            </w:tcBorders>
            <w:shd w:val="clear" w:color="auto" w:fill="auto"/>
            <w:noWrap/>
            <w:hideMark/>
          </w:tcPr>
          <w:p w14:paraId="68E4D567" w14:textId="44F0897E" w:rsidR="00F9320E" w:rsidRPr="00CB49D7" w:rsidRDefault="00F9320E" w:rsidP="00F9320E">
            <w:pPr>
              <w:spacing w:after="0"/>
              <w:jc w:val="center"/>
              <w:rPr>
                <w:rFonts w:eastAsia="Times New Roman"/>
                <w:color w:val="000000"/>
                <w:sz w:val="20"/>
                <w:szCs w:val="20"/>
                <w:lang w:val="es-AR"/>
              </w:rPr>
            </w:pPr>
            <w:r w:rsidRPr="00FA1271">
              <w:t>2.64</w:t>
            </w:r>
          </w:p>
        </w:tc>
        <w:tc>
          <w:tcPr>
            <w:tcW w:w="660" w:type="dxa"/>
            <w:tcBorders>
              <w:top w:val="nil"/>
              <w:left w:val="nil"/>
              <w:bottom w:val="nil"/>
              <w:right w:val="nil"/>
            </w:tcBorders>
            <w:shd w:val="clear" w:color="auto" w:fill="auto"/>
            <w:noWrap/>
            <w:hideMark/>
          </w:tcPr>
          <w:p w14:paraId="2DDBCAED" w14:textId="16237318" w:rsidR="00F9320E" w:rsidRPr="00CB49D7" w:rsidRDefault="00F9320E" w:rsidP="00F9320E">
            <w:pPr>
              <w:spacing w:after="0"/>
              <w:jc w:val="center"/>
              <w:rPr>
                <w:rFonts w:eastAsia="Times New Roman"/>
                <w:color w:val="000000"/>
                <w:sz w:val="20"/>
                <w:szCs w:val="20"/>
                <w:lang w:val="es-AR"/>
              </w:rPr>
            </w:pPr>
            <w:r w:rsidRPr="00FA1271">
              <w:t>0.01</w:t>
            </w:r>
          </w:p>
        </w:tc>
        <w:tc>
          <w:tcPr>
            <w:tcW w:w="660" w:type="dxa"/>
            <w:tcBorders>
              <w:top w:val="nil"/>
              <w:left w:val="nil"/>
              <w:bottom w:val="nil"/>
              <w:right w:val="nil"/>
            </w:tcBorders>
            <w:shd w:val="clear" w:color="auto" w:fill="auto"/>
            <w:noWrap/>
            <w:hideMark/>
          </w:tcPr>
          <w:p w14:paraId="6404BF43" w14:textId="35747D4E" w:rsidR="00F9320E" w:rsidRPr="00CB49D7" w:rsidRDefault="00F9320E" w:rsidP="00F9320E">
            <w:pPr>
              <w:spacing w:after="0"/>
              <w:jc w:val="center"/>
              <w:rPr>
                <w:rFonts w:eastAsia="Times New Roman"/>
                <w:color w:val="000000"/>
                <w:sz w:val="20"/>
                <w:szCs w:val="20"/>
                <w:lang w:val="es-AR"/>
              </w:rPr>
            </w:pPr>
            <w:r w:rsidRPr="00FA1271">
              <w:t>0.18</w:t>
            </w:r>
          </w:p>
        </w:tc>
        <w:tc>
          <w:tcPr>
            <w:tcW w:w="1045" w:type="dxa"/>
            <w:tcBorders>
              <w:top w:val="nil"/>
              <w:left w:val="nil"/>
              <w:bottom w:val="nil"/>
              <w:right w:val="nil"/>
            </w:tcBorders>
            <w:shd w:val="clear" w:color="auto" w:fill="auto"/>
            <w:noWrap/>
            <w:hideMark/>
          </w:tcPr>
          <w:p w14:paraId="252A4D06" w14:textId="4F8A0170" w:rsidR="00F9320E" w:rsidRPr="00CB49D7" w:rsidRDefault="00F9320E" w:rsidP="00F9320E">
            <w:pPr>
              <w:spacing w:after="0"/>
              <w:jc w:val="center"/>
              <w:rPr>
                <w:rFonts w:eastAsia="Times New Roman"/>
                <w:color w:val="000000"/>
                <w:sz w:val="20"/>
                <w:szCs w:val="20"/>
                <w:lang w:val="es-AR"/>
              </w:rPr>
            </w:pPr>
            <w:r w:rsidRPr="00FA1271">
              <w:t>0.78</w:t>
            </w:r>
          </w:p>
        </w:tc>
      </w:tr>
      <w:tr w:rsidR="00F9320E" w:rsidRPr="00124C67" w14:paraId="11198A97" w14:textId="77777777" w:rsidTr="00836669">
        <w:trPr>
          <w:trHeight w:val="279"/>
        </w:trPr>
        <w:tc>
          <w:tcPr>
            <w:tcW w:w="3936" w:type="dxa"/>
            <w:tcBorders>
              <w:top w:val="nil"/>
              <w:left w:val="nil"/>
              <w:bottom w:val="nil"/>
              <w:right w:val="nil"/>
            </w:tcBorders>
            <w:shd w:val="clear" w:color="auto" w:fill="auto"/>
            <w:noWrap/>
            <w:vAlign w:val="center"/>
            <w:hideMark/>
          </w:tcPr>
          <w:p w14:paraId="5559A976"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RijOccupation</w:t>
            </w:r>
            <w:proofErr w:type="spellEnd"/>
          </w:p>
        </w:tc>
        <w:tc>
          <w:tcPr>
            <w:tcW w:w="965" w:type="dxa"/>
            <w:tcBorders>
              <w:top w:val="nil"/>
              <w:left w:val="nil"/>
              <w:bottom w:val="nil"/>
              <w:right w:val="nil"/>
            </w:tcBorders>
            <w:shd w:val="clear" w:color="auto" w:fill="auto"/>
            <w:noWrap/>
            <w:hideMark/>
          </w:tcPr>
          <w:p w14:paraId="6BC6FF50" w14:textId="715060F8" w:rsidR="00F9320E" w:rsidRPr="00CB49D7" w:rsidRDefault="00F9320E" w:rsidP="00F9320E">
            <w:pPr>
              <w:spacing w:after="0"/>
              <w:jc w:val="center"/>
              <w:rPr>
                <w:rFonts w:eastAsia="Times New Roman"/>
                <w:color w:val="000000"/>
                <w:sz w:val="20"/>
                <w:szCs w:val="20"/>
                <w:lang w:val="es-AR"/>
              </w:rPr>
            </w:pPr>
            <w:r w:rsidRPr="00FA1271">
              <w:t>0.04</w:t>
            </w:r>
          </w:p>
        </w:tc>
        <w:tc>
          <w:tcPr>
            <w:tcW w:w="865" w:type="dxa"/>
            <w:tcBorders>
              <w:top w:val="nil"/>
              <w:left w:val="nil"/>
              <w:bottom w:val="nil"/>
              <w:right w:val="nil"/>
            </w:tcBorders>
            <w:shd w:val="clear" w:color="auto" w:fill="auto"/>
            <w:noWrap/>
            <w:hideMark/>
          </w:tcPr>
          <w:p w14:paraId="4C3D8C09" w14:textId="5C0D686D" w:rsidR="00F9320E" w:rsidRPr="00CB49D7" w:rsidRDefault="00F9320E" w:rsidP="00F9320E">
            <w:pPr>
              <w:spacing w:after="0"/>
              <w:jc w:val="center"/>
              <w:rPr>
                <w:rFonts w:eastAsia="Times New Roman"/>
                <w:color w:val="000000"/>
                <w:sz w:val="20"/>
                <w:szCs w:val="20"/>
                <w:lang w:val="es-AR"/>
              </w:rPr>
            </w:pPr>
            <w:r w:rsidRPr="00FA1271">
              <w:t>0.05</w:t>
            </w:r>
          </w:p>
        </w:tc>
        <w:tc>
          <w:tcPr>
            <w:tcW w:w="841" w:type="dxa"/>
            <w:tcBorders>
              <w:top w:val="nil"/>
              <w:left w:val="nil"/>
              <w:bottom w:val="nil"/>
              <w:right w:val="nil"/>
            </w:tcBorders>
            <w:shd w:val="clear" w:color="auto" w:fill="auto"/>
            <w:noWrap/>
            <w:hideMark/>
          </w:tcPr>
          <w:p w14:paraId="7032055E" w14:textId="1002DE37" w:rsidR="00F9320E" w:rsidRPr="00CB49D7" w:rsidRDefault="00F9320E" w:rsidP="00F9320E">
            <w:pPr>
              <w:spacing w:after="0"/>
              <w:jc w:val="center"/>
              <w:rPr>
                <w:rFonts w:eastAsia="Times New Roman"/>
                <w:color w:val="000000"/>
                <w:sz w:val="20"/>
                <w:szCs w:val="20"/>
                <w:lang w:val="es-AR"/>
              </w:rPr>
            </w:pPr>
            <w:r w:rsidRPr="00FA1271">
              <w:t>0.87</w:t>
            </w:r>
          </w:p>
        </w:tc>
        <w:tc>
          <w:tcPr>
            <w:tcW w:w="660" w:type="dxa"/>
            <w:tcBorders>
              <w:top w:val="nil"/>
              <w:left w:val="nil"/>
              <w:bottom w:val="nil"/>
              <w:right w:val="nil"/>
            </w:tcBorders>
            <w:shd w:val="clear" w:color="auto" w:fill="auto"/>
            <w:noWrap/>
            <w:hideMark/>
          </w:tcPr>
          <w:p w14:paraId="4A04C7A8" w14:textId="5E44A515" w:rsidR="00F9320E" w:rsidRPr="00CB49D7" w:rsidRDefault="00F9320E" w:rsidP="00F9320E">
            <w:pPr>
              <w:spacing w:after="0"/>
              <w:jc w:val="center"/>
              <w:rPr>
                <w:rFonts w:eastAsia="Times New Roman"/>
                <w:color w:val="000000"/>
                <w:sz w:val="20"/>
                <w:szCs w:val="20"/>
                <w:lang w:val="es-AR"/>
              </w:rPr>
            </w:pPr>
            <w:r w:rsidRPr="00FA1271">
              <w:t>0.38</w:t>
            </w:r>
          </w:p>
        </w:tc>
        <w:tc>
          <w:tcPr>
            <w:tcW w:w="660" w:type="dxa"/>
            <w:tcBorders>
              <w:top w:val="nil"/>
              <w:left w:val="nil"/>
              <w:bottom w:val="nil"/>
              <w:right w:val="nil"/>
            </w:tcBorders>
            <w:shd w:val="clear" w:color="auto" w:fill="auto"/>
            <w:noWrap/>
            <w:hideMark/>
          </w:tcPr>
          <w:p w14:paraId="346C5013" w14:textId="1DA70FF3" w:rsidR="00F9320E" w:rsidRPr="00CB49D7" w:rsidRDefault="00F9320E" w:rsidP="00F9320E">
            <w:pPr>
              <w:spacing w:after="0"/>
              <w:jc w:val="center"/>
              <w:rPr>
                <w:rFonts w:eastAsia="Times New Roman"/>
                <w:color w:val="000000"/>
                <w:sz w:val="20"/>
                <w:szCs w:val="20"/>
                <w:lang w:val="es-AR"/>
              </w:rPr>
            </w:pPr>
            <w:r w:rsidRPr="00FA1271">
              <w:t>-0.04</w:t>
            </w:r>
          </w:p>
        </w:tc>
        <w:tc>
          <w:tcPr>
            <w:tcW w:w="1045" w:type="dxa"/>
            <w:tcBorders>
              <w:top w:val="nil"/>
              <w:left w:val="nil"/>
              <w:bottom w:val="nil"/>
              <w:right w:val="nil"/>
            </w:tcBorders>
            <w:shd w:val="clear" w:color="auto" w:fill="auto"/>
            <w:noWrap/>
            <w:hideMark/>
          </w:tcPr>
          <w:p w14:paraId="3A48ACCA" w14:textId="151CF2D5" w:rsidR="00F9320E" w:rsidRPr="00CB49D7" w:rsidRDefault="00F9320E" w:rsidP="00F9320E">
            <w:pPr>
              <w:spacing w:after="0"/>
              <w:jc w:val="center"/>
              <w:rPr>
                <w:rFonts w:eastAsia="Times New Roman"/>
                <w:color w:val="000000"/>
                <w:sz w:val="20"/>
                <w:szCs w:val="20"/>
                <w:lang w:val="es-AR"/>
              </w:rPr>
            </w:pPr>
            <w:r w:rsidRPr="00FA1271">
              <w:t>0.12</w:t>
            </w:r>
          </w:p>
        </w:tc>
      </w:tr>
      <w:tr w:rsidR="00F9320E" w:rsidRPr="00124C67" w14:paraId="06339CFD" w14:textId="77777777" w:rsidTr="00836669">
        <w:trPr>
          <w:trHeight w:val="279"/>
        </w:trPr>
        <w:tc>
          <w:tcPr>
            <w:tcW w:w="3936" w:type="dxa"/>
            <w:tcBorders>
              <w:top w:val="nil"/>
              <w:left w:val="nil"/>
              <w:bottom w:val="nil"/>
              <w:right w:val="nil"/>
            </w:tcBorders>
            <w:shd w:val="clear" w:color="auto" w:fill="auto"/>
            <w:noWrap/>
            <w:vAlign w:val="center"/>
            <w:hideMark/>
          </w:tcPr>
          <w:p w14:paraId="1BE68817"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RijIndustry</w:t>
            </w:r>
            <w:proofErr w:type="spellEnd"/>
          </w:p>
        </w:tc>
        <w:tc>
          <w:tcPr>
            <w:tcW w:w="965" w:type="dxa"/>
            <w:tcBorders>
              <w:top w:val="nil"/>
              <w:left w:val="nil"/>
              <w:bottom w:val="nil"/>
              <w:right w:val="nil"/>
            </w:tcBorders>
            <w:shd w:val="clear" w:color="auto" w:fill="auto"/>
            <w:noWrap/>
            <w:hideMark/>
          </w:tcPr>
          <w:p w14:paraId="75FFADE6" w14:textId="1B409F77" w:rsidR="00F9320E" w:rsidRPr="00CB49D7" w:rsidRDefault="00F9320E" w:rsidP="00F9320E">
            <w:pPr>
              <w:spacing w:after="0"/>
              <w:jc w:val="center"/>
              <w:rPr>
                <w:rFonts w:eastAsia="Times New Roman"/>
                <w:color w:val="000000"/>
                <w:sz w:val="20"/>
                <w:szCs w:val="20"/>
                <w:lang w:val="es-AR"/>
              </w:rPr>
            </w:pPr>
            <w:r w:rsidRPr="00FA1271">
              <w:t>0.00</w:t>
            </w:r>
          </w:p>
        </w:tc>
        <w:tc>
          <w:tcPr>
            <w:tcW w:w="865" w:type="dxa"/>
            <w:tcBorders>
              <w:top w:val="nil"/>
              <w:left w:val="nil"/>
              <w:bottom w:val="nil"/>
              <w:right w:val="nil"/>
            </w:tcBorders>
            <w:shd w:val="clear" w:color="auto" w:fill="auto"/>
            <w:noWrap/>
            <w:hideMark/>
          </w:tcPr>
          <w:p w14:paraId="6CBF3EB2" w14:textId="3AC88254" w:rsidR="00F9320E" w:rsidRPr="00CB49D7" w:rsidRDefault="00F9320E" w:rsidP="00F9320E">
            <w:pPr>
              <w:spacing w:after="0"/>
              <w:jc w:val="center"/>
              <w:rPr>
                <w:rFonts w:eastAsia="Times New Roman"/>
                <w:color w:val="000000"/>
                <w:sz w:val="20"/>
                <w:szCs w:val="20"/>
                <w:lang w:val="es-AR"/>
              </w:rPr>
            </w:pPr>
            <w:r w:rsidRPr="00FA1271">
              <w:t>0.04</w:t>
            </w:r>
          </w:p>
        </w:tc>
        <w:tc>
          <w:tcPr>
            <w:tcW w:w="841" w:type="dxa"/>
            <w:tcBorders>
              <w:top w:val="nil"/>
              <w:left w:val="nil"/>
              <w:bottom w:val="nil"/>
              <w:right w:val="nil"/>
            </w:tcBorders>
            <w:shd w:val="clear" w:color="auto" w:fill="auto"/>
            <w:noWrap/>
            <w:hideMark/>
          </w:tcPr>
          <w:p w14:paraId="7FD53376" w14:textId="68FB443C" w:rsidR="00F9320E" w:rsidRPr="00CB49D7" w:rsidRDefault="00F9320E" w:rsidP="00F9320E">
            <w:pPr>
              <w:spacing w:after="0"/>
              <w:jc w:val="center"/>
              <w:rPr>
                <w:rFonts w:eastAsia="Times New Roman"/>
                <w:color w:val="000000"/>
                <w:sz w:val="20"/>
                <w:szCs w:val="20"/>
                <w:lang w:val="es-AR"/>
              </w:rPr>
            </w:pPr>
            <w:r w:rsidRPr="00FA1271">
              <w:t>0.04</w:t>
            </w:r>
          </w:p>
        </w:tc>
        <w:tc>
          <w:tcPr>
            <w:tcW w:w="660" w:type="dxa"/>
            <w:tcBorders>
              <w:top w:val="nil"/>
              <w:left w:val="nil"/>
              <w:bottom w:val="nil"/>
              <w:right w:val="nil"/>
            </w:tcBorders>
            <w:shd w:val="clear" w:color="auto" w:fill="auto"/>
            <w:noWrap/>
            <w:hideMark/>
          </w:tcPr>
          <w:p w14:paraId="31243F5D" w14:textId="5E15745F" w:rsidR="00F9320E" w:rsidRPr="00CB49D7" w:rsidRDefault="00F9320E" w:rsidP="00F9320E">
            <w:pPr>
              <w:spacing w:after="0"/>
              <w:jc w:val="center"/>
              <w:rPr>
                <w:rFonts w:eastAsia="Times New Roman"/>
                <w:color w:val="000000"/>
                <w:sz w:val="20"/>
                <w:szCs w:val="20"/>
                <w:lang w:val="es-AR"/>
              </w:rPr>
            </w:pPr>
            <w:r w:rsidRPr="00FA1271">
              <w:t>0.97</w:t>
            </w:r>
          </w:p>
        </w:tc>
        <w:tc>
          <w:tcPr>
            <w:tcW w:w="660" w:type="dxa"/>
            <w:tcBorders>
              <w:top w:val="nil"/>
              <w:left w:val="nil"/>
              <w:bottom w:val="nil"/>
              <w:right w:val="nil"/>
            </w:tcBorders>
            <w:shd w:val="clear" w:color="auto" w:fill="auto"/>
            <w:noWrap/>
            <w:hideMark/>
          </w:tcPr>
          <w:p w14:paraId="569F9240" w14:textId="3D99DEDF" w:rsidR="00F9320E" w:rsidRPr="00CB49D7" w:rsidRDefault="00F9320E" w:rsidP="00F9320E">
            <w:pPr>
              <w:spacing w:after="0"/>
              <w:jc w:val="center"/>
              <w:rPr>
                <w:rFonts w:eastAsia="Times New Roman"/>
                <w:color w:val="000000"/>
                <w:sz w:val="20"/>
                <w:szCs w:val="20"/>
                <w:lang w:val="es-AR"/>
              </w:rPr>
            </w:pPr>
            <w:r w:rsidRPr="00FA1271">
              <w:t>-0.06</w:t>
            </w:r>
          </w:p>
        </w:tc>
        <w:tc>
          <w:tcPr>
            <w:tcW w:w="1045" w:type="dxa"/>
            <w:tcBorders>
              <w:top w:val="nil"/>
              <w:left w:val="nil"/>
              <w:bottom w:val="nil"/>
              <w:right w:val="nil"/>
            </w:tcBorders>
            <w:shd w:val="clear" w:color="auto" w:fill="auto"/>
            <w:noWrap/>
            <w:hideMark/>
          </w:tcPr>
          <w:p w14:paraId="42BA7552" w14:textId="72C0B3BE" w:rsidR="00F9320E" w:rsidRPr="00CB49D7" w:rsidRDefault="00F9320E" w:rsidP="00F9320E">
            <w:pPr>
              <w:spacing w:after="0"/>
              <w:jc w:val="center"/>
              <w:rPr>
                <w:rFonts w:eastAsia="Times New Roman"/>
                <w:color w:val="000000"/>
                <w:sz w:val="20"/>
                <w:szCs w:val="20"/>
                <w:lang w:val="es-AR"/>
              </w:rPr>
            </w:pPr>
            <w:r w:rsidRPr="00FA1271">
              <w:t>0.06</w:t>
            </w:r>
          </w:p>
        </w:tc>
      </w:tr>
      <w:tr w:rsidR="00F9320E" w:rsidRPr="00124C67" w14:paraId="6D65762B" w14:textId="77777777" w:rsidTr="00836669">
        <w:trPr>
          <w:trHeight w:val="279"/>
        </w:trPr>
        <w:tc>
          <w:tcPr>
            <w:tcW w:w="3936" w:type="dxa"/>
            <w:tcBorders>
              <w:top w:val="nil"/>
              <w:left w:val="nil"/>
              <w:bottom w:val="nil"/>
              <w:right w:val="nil"/>
            </w:tcBorders>
            <w:shd w:val="clear" w:color="auto" w:fill="auto"/>
            <w:noWrap/>
            <w:vAlign w:val="center"/>
            <w:hideMark/>
          </w:tcPr>
          <w:p w14:paraId="051A535B"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IndustryAboveAvg_Lagged</w:t>
            </w:r>
            <w:proofErr w:type="spellEnd"/>
          </w:p>
        </w:tc>
        <w:tc>
          <w:tcPr>
            <w:tcW w:w="965" w:type="dxa"/>
            <w:tcBorders>
              <w:top w:val="nil"/>
              <w:left w:val="nil"/>
              <w:bottom w:val="nil"/>
              <w:right w:val="nil"/>
            </w:tcBorders>
            <w:shd w:val="clear" w:color="auto" w:fill="auto"/>
            <w:noWrap/>
            <w:hideMark/>
          </w:tcPr>
          <w:p w14:paraId="5DFC7B6F" w14:textId="0A201360" w:rsidR="00F9320E" w:rsidRPr="00CB49D7" w:rsidRDefault="00F9320E" w:rsidP="00F9320E">
            <w:pPr>
              <w:spacing w:after="0"/>
              <w:jc w:val="center"/>
              <w:rPr>
                <w:rFonts w:eastAsia="Times New Roman"/>
                <w:color w:val="000000"/>
                <w:sz w:val="20"/>
                <w:szCs w:val="20"/>
                <w:lang w:val="es-AR"/>
              </w:rPr>
            </w:pPr>
            <w:r w:rsidRPr="00FA1271">
              <w:t>-0.09</w:t>
            </w:r>
          </w:p>
        </w:tc>
        <w:tc>
          <w:tcPr>
            <w:tcW w:w="865" w:type="dxa"/>
            <w:tcBorders>
              <w:top w:val="nil"/>
              <w:left w:val="nil"/>
              <w:bottom w:val="nil"/>
              <w:right w:val="nil"/>
            </w:tcBorders>
            <w:shd w:val="clear" w:color="auto" w:fill="auto"/>
            <w:noWrap/>
            <w:hideMark/>
          </w:tcPr>
          <w:p w14:paraId="3A184610" w14:textId="46F55CAB" w:rsidR="00F9320E" w:rsidRPr="00CB49D7" w:rsidRDefault="00F9320E" w:rsidP="00F9320E">
            <w:pPr>
              <w:spacing w:after="0"/>
              <w:jc w:val="center"/>
              <w:rPr>
                <w:rFonts w:eastAsia="Times New Roman"/>
                <w:color w:val="000000"/>
                <w:sz w:val="20"/>
                <w:szCs w:val="20"/>
                <w:lang w:val="es-AR"/>
              </w:rPr>
            </w:pPr>
            <w:r w:rsidRPr="00FA1271">
              <w:t>0.05</w:t>
            </w:r>
          </w:p>
        </w:tc>
        <w:tc>
          <w:tcPr>
            <w:tcW w:w="841" w:type="dxa"/>
            <w:tcBorders>
              <w:top w:val="nil"/>
              <w:left w:val="nil"/>
              <w:bottom w:val="nil"/>
              <w:right w:val="nil"/>
            </w:tcBorders>
            <w:shd w:val="clear" w:color="auto" w:fill="auto"/>
            <w:noWrap/>
            <w:hideMark/>
          </w:tcPr>
          <w:p w14:paraId="5044AD80" w14:textId="2FF4A60C" w:rsidR="00F9320E" w:rsidRPr="00CB49D7" w:rsidRDefault="00F9320E" w:rsidP="00F9320E">
            <w:pPr>
              <w:spacing w:after="0"/>
              <w:jc w:val="center"/>
              <w:rPr>
                <w:rFonts w:eastAsia="Times New Roman"/>
                <w:color w:val="000000"/>
                <w:sz w:val="20"/>
                <w:szCs w:val="20"/>
                <w:lang w:val="es-AR"/>
              </w:rPr>
            </w:pPr>
            <w:r w:rsidRPr="00FA1271">
              <w:t>-1.65</w:t>
            </w:r>
          </w:p>
        </w:tc>
        <w:tc>
          <w:tcPr>
            <w:tcW w:w="660" w:type="dxa"/>
            <w:tcBorders>
              <w:top w:val="nil"/>
              <w:left w:val="nil"/>
              <w:bottom w:val="nil"/>
              <w:right w:val="nil"/>
            </w:tcBorders>
            <w:shd w:val="clear" w:color="auto" w:fill="auto"/>
            <w:noWrap/>
            <w:hideMark/>
          </w:tcPr>
          <w:p w14:paraId="75C0F198" w14:textId="3836E229" w:rsidR="00F9320E" w:rsidRPr="00CB49D7" w:rsidRDefault="00F9320E" w:rsidP="00F9320E">
            <w:pPr>
              <w:spacing w:after="0"/>
              <w:jc w:val="center"/>
              <w:rPr>
                <w:rFonts w:eastAsia="Times New Roman"/>
                <w:color w:val="000000"/>
                <w:sz w:val="20"/>
                <w:szCs w:val="20"/>
                <w:lang w:val="es-AR"/>
              </w:rPr>
            </w:pPr>
            <w:r w:rsidRPr="00FA1271">
              <w:t>0.10</w:t>
            </w:r>
          </w:p>
        </w:tc>
        <w:tc>
          <w:tcPr>
            <w:tcW w:w="660" w:type="dxa"/>
            <w:tcBorders>
              <w:top w:val="nil"/>
              <w:left w:val="nil"/>
              <w:bottom w:val="nil"/>
              <w:right w:val="nil"/>
            </w:tcBorders>
            <w:shd w:val="clear" w:color="auto" w:fill="auto"/>
            <w:noWrap/>
            <w:hideMark/>
          </w:tcPr>
          <w:p w14:paraId="06015C38" w14:textId="09C009F2" w:rsidR="00F9320E" w:rsidRPr="00CB49D7" w:rsidRDefault="00F9320E" w:rsidP="00F9320E">
            <w:pPr>
              <w:spacing w:after="0"/>
              <w:jc w:val="center"/>
              <w:rPr>
                <w:rFonts w:eastAsia="Times New Roman"/>
                <w:color w:val="000000"/>
                <w:sz w:val="20"/>
                <w:szCs w:val="20"/>
                <w:lang w:val="es-AR"/>
              </w:rPr>
            </w:pPr>
            <w:r w:rsidRPr="00FA1271">
              <w:t>-0.18</w:t>
            </w:r>
          </w:p>
        </w:tc>
        <w:tc>
          <w:tcPr>
            <w:tcW w:w="1045" w:type="dxa"/>
            <w:tcBorders>
              <w:top w:val="nil"/>
              <w:left w:val="nil"/>
              <w:bottom w:val="nil"/>
              <w:right w:val="nil"/>
            </w:tcBorders>
            <w:shd w:val="clear" w:color="auto" w:fill="auto"/>
            <w:noWrap/>
            <w:hideMark/>
          </w:tcPr>
          <w:p w14:paraId="7D3B7787" w14:textId="65F8BA21" w:rsidR="00F9320E" w:rsidRPr="00CB49D7" w:rsidRDefault="00F9320E" w:rsidP="00F9320E">
            <w:pPr>
              <w:spacing w:after="0"/>
              <w:jc w:val="center"/>
              <w:rPr>
                <w:rFonts w:eastAsia="Times New Roman"/>
                <w:color w:val="000000"/>
                <w:sz w:val="20"/>
                <w:szCs w:val="20"/>
                <w:lang w:val="es-AR"/>
              </w:rPr>
            </w:pPr>
            <w:r w:rsidRPr="00FA1271">
              <w:t>0.00</w:t>
            </w:r>
          </w:p>
        </w:tc>
      </w:tr>
      <w:tr w:rsidR="00F9320E" w:rsidRPr="00124C67" w14:paraId="28922F31" w14:textId="77777777" w:rsidTr="00836669">
        <w:trPr>
          <w:trHeight w:val="279"/>
        </w:trPr>
        <w:tc>
          <w:tcPr>
            <w:tcW w:w="3936" w:type="dxa"/>
            <w:tcBorders>
              <w:top w:val="nil"/>
              <w:left w:val="nil"/>
              <w:bottom w:val="nil"/>
              <w:right w:val="nil"/>
            </w:tcBorders>
            <w:shd w:val="clear" w:color="auto" w:fill="auto"/>
            <w:noWrap/>
            <w:vAlign w:val="center"/>
            <w:hideMark/>
          </w:tcPr>
          <w:p w14:paraId="687340D6"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IndustryAboveAvg</w:t>
            </w:r>
            <w:proofErr w:type="spellEnd"/>
          </w:p>
        </w:tc>
        <w:tc>
          <w:tcPr>
            <w:tcW w:w="965" w:type="dxa"/>
            <w:tcBorders>
              <w:top w:val="nil"/>
              <w:left w:val="nil"/>
              <w:bottom w:val="nil"/>
              <w:right w:val="nil"/>
            </w:tcBorders>
            <w:shd w:val="clear" w:color="auto" w:fill="auto"/>
            <w:noWrap/>
            <w:hideMark/>
          </w:tcPr>
          <w:p w14:paraId="288B3D44" w14:textId="0CEE395B" w:rsidR="00F9320E" w:rsidRPr="00CB49D7" w:rsidRDefault="00F9320E" w:rsidP="00F9320E">
            <w:pPr>
              <w:spacing w:after="0"/>
              <w:jc w:val="center"/>
              <w:rPr>
                <w:rFonts w:eastAsia="Times New Roman"/>
                <w:color w:val="000000"/>
                <w:sz w:val="20"/>
                <w:szCs w:val="20"/>
                <w:lang w:val="es-AR"/>
              </w:rPr>
            </w:pPr>
            <w:r w:rsidRPr="00FA1271">
              <w:t>0.06</w:t>
            </w:r>
          </w:p>
        </w:tc>
        <w:tc>
          <w:tcPr>
            <w:tcW w:w="865" w:type="dxa"/>
            <w:tcBorders>
              <w:top w:val="nil"/>
              <w:left w:val="nil"/>
              <w:bottom w:val="nil"/>
              <w:right w:val="nil"/>
            </w:tcBorders>
            <w:shd w:val="clear" w:color="auto" w:fill="auto"/>
            <w:noWrap/>
            <w:hideMark/>
          </w:tcPr>
          <w:p w14:paraId="00BA2649" w14:textId="69010AAD" w:rsidR="00F9320E" w:rsidRPr="00CB49D7" w:rsidRDefault="00F9320E" w:rsidP="00F9320E">
            <w:pPr>
              <w:spacing w:after="0"/>
              <w:jc w:val="center"/>
              <w:rPr>
                <w:rFonts w:eastAsia="Times New Roman"/>
                <w:color w:val="000000"/>
                <w:sz w:val="20"/>
                <w:szCs w:val="20"/>
                <w:lang w:val="es-AR"/>
              </w:rPr>
            </w:pPr>
            <w:r w:rsidRPr="00FA1271">
              <w:t>0.05</w:t>
            </w:r>
          </w:p>
        </w:tc>
        <w:tc>
          <w:tcPr>
            <w:tcW w:w="841" w:type="dxa"/>
            <w:tcBorders>
              <w:top w:val="nil"/>
              <w:left w:val="nil"/>
              <w:bottom w:val="nil"/>
              <w:right w:val="nil"/>
            </w:tcBorders>
            <w:shd w:val="clear" w:color="auto" w:fill="auto"/>
            <w:noWrap/>
            <w:hideMark/>
          </w:tcPr>
          <w:p w14:paraId="005B6410" w14:textId="669A50AF" w:rsidR="00F9320E" w:rsidRPr="00CB49D7" w:rsidRDefault="00F9320E" w:rsidP="00F9320E">
            <w:pPr>
              <w:spacing w:after="0"/>
              <w:jc w:val="center"/>
              <w:rPr>
                <w:rFonts w:eastAsia="Times New Roman"/>
                <w:color w:val="000000"/>
                <w:sz w:val="20"/>
                <w:szCs w:val="20"/>
                <w:lang w:val="es-AR"/>
              </w:rPr>
            </w:pPr>
            <w:r w:rsidRPr="00FA1271">
              <w:t>1.16</w:t>
            </w:r>
          </w:p>
        </w:tc>
        <w:tc>
          <w:tcPr>
            <w:tcW w:w="660" w:type="dxa"/>
            <w:tcBorders>
              <w:top w:val="nil"/>
              <w:left w:val="nil"/>
              <w:bottom w:val="nil"/>
              <w:right w:val="nil"/>
            </w:tcBorders>
            <w:shd w:val="clear" w:color="auto" w:fill="auto"/>
            <w:noWrap/>
            <w:hideMark/>
          </w:tcPr>
          <w:p w14:paraId="4D1A6D5D" w14:textId="74A96507" w:rsidR="00F9320E" w:rsidRPr="00CB49D7" w:rsidRDefault="00F9320E" w:rsidP="00F9320E">
            <w:pPr>
              <w:spacing w:after="0"/>
              <w:jc w:val="center"/>
              <w:rPr>
                <w:rFonts w:eastAsia="Times New Roman"/>
                <w:color w:val="000000"/>
                <w:sz w:val="20"/>
                <w:szCs w:val="20"/>
                <w:lang w:val="es-AR"/>
              </w:rPr>
            </w:pPr>
            <w:r w:rsidRPr="00FA1271">
              <w:t>0.24</w:t>
            </w:r>
          </w:p>
        </w:tc>
        <w:tc>
          <w:tcPr>
            <w:tcW w:w="660" w:type="dxa"/>
            <w:tcBorders>
              <w:top w:val="nil"/>
              <w:left w:val="nil"/>
              <w:bottom w:val="nil"/>
              <w:right w:val="nil"/>
            </w:tcBorders>
            <w:shd w:val="clear" w:color="auto" w:fill="auto"/>
            <w:noWrap/>
            <w:hideMark/>
          </w:tcPr>
          <w:p w14:paraId="09E26CEE" w14:textId="0495287E" w:rsidR="00F9320E" w:rsidRPr="00CB49D7" w:rsidRDefault="00F9320E" w:rsidP="00F9320E">
            <w:pPr>
              <w:spacing w:after="0"/>
              <w:jc w:val="center"/>
              <w:rPr>
                <w:rFonts w:eastAsia="Times New Roman"/>
                <w:color w:val="000000"/>
                <w:sz w:val="20"/>
                <w:szCs w:val="20"/>
                <w:lang w:val="es-AR"/>
              </w:rPr>
            </w:pPr>
            <w:r w:rsidRPr="00FA1271">
              <w:t>-0.03</w:t>
            </w:r>
          </w:p>
        </w:tc>
        <w:tc>
          <w:tcPr>
            <w:tcW w:w="1045" w:type="dxa"/>
            <w:tcBorders>
              <w:top w:val="nil"/>
              <w:left w:val="nil"/>
              <w:bottom w:val="nil"/>
              <w:right w:val="nil"/>
            </w:tcBorders>
            <w:shd w:val="clear" w:color="auto" w:fill="auto"/>
            <w:noWrap/>
            <w:hideMark/>
          </w:tcPr>
          <w:p w14:paraId="4E798FE5" w14:textId="32BFAF8A" w:rsidR="00F9320E" w:rsidRPr="00CB49D7" w:rsidRDefault="00F9320E" w:rsidP="00F9320E">
            <w:pPr>
              <w:spacing w:after="0"/>
              <w:jc w:val="center"/>
              <w:rPr>
                <w:rFonts w:eastAsia="Times New Roman"/>
                <w:color w:val="000000"/>
                <w:sz w:val="20"/>
                <w:szCs w:val="20"/>
                <w:lang w:val="es-AR"/>
              </w:rPr>
            </w:pPr>
            <w:r w:rsidRPr="00FA1271">
              <w:t>0.15</w:t>
            </w:r>
          </w:p>
        </w:tc>
      </w:tr>
      <w:tr w:rsidR="00F9320E" w:rsidRPr="00BF5447" w14:paraId="5D7140FE" w14:textId="77777777" w:rsidTr="00836669">
        <w:trPr>
          <w:trHeight w:val="558"/>
        </w:trPr>
        <w:tc>
          <w:tcPr>
            <w:tcW w:w="3936" w:type="dxa"/>
            <w:tcBorders>
              <w:top w:val="nil"/>
              <w:left w:val="nil"/>
              <w:bottom w:val="nil"/>
              <w:right w:val="nil"/>
            </w:tcBorders>
            <w:shd w:val="clear" w:color="auto" w:fill="auto"/>
            <w:vAlign w:val="center"/>
            <w:hideMark/>
          </w:tcPr>
          <w:p w14:paraId="0B292CF7" w14:textId="77777777" w:rsidR="00F9320E" w:rsidRPr="00CB49D7" w:rsidRDefault="00F9320E" w:rsidP="00F9320E">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LaborContractLagged</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45AEC21E" w14:textId="77777777" w:rsidR="00F9320E" w:rsidRPr="00CB49D7" w:rsidRDefault="00F9320E" w:rsidP="00F9320E">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5C59D030"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7C94B2BA"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6F997BFC"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6E365A78"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3639AB66"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r>
      <w:tr w:rsidR="00F9320E" w:rsidRPr="00124C67" w14:paraId="4120A7DF" w14:textId="77777777" w:rsidTr="00836669">
        <w:trPr>
          <w:trHeight w:val="279"/>
        </w:trPr>
        <w:tc>
          <w:tcPr>
            <w:tcW w:w="3936" w:type="dxa"/>
            <w:tcBorders>
              <w:top w:val="nil"/>
              <w:left w:val="nil"/>
              <w:bottom w:val="nil"/>
              <w:right w:val="nil"/>
            </w:tcBorders>
            <w:shd w:val="clear" w:color="auto" w:fill="auto"/>
            <w:noWrap/>
            <w:vAlign w:val="center"/>
            <w:hideMark/>
          </w:tcPr>
          <w:p w14:paraId="5CD7416A"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lastRenderedPageBreak/>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48F563FD" w14:textId="5BBF0F6A" w:rsidR="00F9320E" w:rsidRPr="00CB49D7" w:rsidRDefault="00F9320E" w:rsidP="00F9320E">
            <w:pPr>
              <w:spacing w:after="0"/>
              <w:jc w:val="center"/>
              <w:rPr>
                <w:rFonts w:eastAsia="Times New Roman"/>
                <w:color w:val="000000"/>
                <w:sz w:val="20"/>
                <w:szCs w:val="20"/>
                <w:lang w:val="es-AR"/>
              </w:rPr>
            </w:pPr>
            <w:r w:rsidRPr="00FA1271">
              <w:t>-0.15</w:t>
            </w:r>
          </w:p>
        </w:tc>
        <w:tc>
          <w:tcPr>
            <w:tcW w:w="865" w:type="dxa"/>
            <w:tcBorders>
              <w:top w:val="nil"/>
              <w:left w:val="nil"/>
              <w:bottom w:val="nil"/>
              <w:right w:val="nil"/>
            </w:tcBorders>
            <w:shd w:val="clear" w:color="auto" w:fill="auto"/>
            <w:noWrap/>
            <w:hideMark/>
          </w:tcPr>
          <w:p w14:paraId="0909AAA5" w14:textId="044E0F8E" w:rsidR="00F9320E" w:rsidRPr="00CB49D7" w:rsidRDefault="00F9320E" w:rsidP="00F9320E">
            <w:pPr>
              <w:spacing w:after="0"/>
              <w:jc w:val="center"/>
              <w:rPr>
                <w:rFonts w:eastAsia="Times New Roman"/>
                <w:color w:val="000000"/>
                <w:sz w:val="20"/>
                <w:szCs w:val="20"/>
                <w:lang w:val="es-AR"/>
              </w:rPr>
            </w:pPr>
            <w:r w:rsidRPr="00FA1271">
              <w:t>0.05</w:t>
            </w:r>
          </w:p>
        </w:tc>
        <w:tc>
          <w:tcPr>
            <w:tcW w:w="841" w:type="dxa"/>
            <w:tcBorders>
              <w:top w:val="nil"/>
              <w:left w:val="nil"/>
              <w:bottom w:val="nil"/>
              <w:right w:val="nil"/>
            </w:tcBorders>
            <w:shd w:val="clear" w:color="auto" w:fill="auto"/>
            <w:noWrap/>
            <w:hideMark/>
          </w:tcPr>
          <w:p w14:paraId="52E4253A" w14:textId="346AF478" w:rsidR="00F9320E" w:rsidRPr="00CB49D7" w:rsidRDefault="00F9320E" w:rsidP="00F9320E">
            <w:pPr>
              <w:spacing w:after="0"/>
              <w:jc w:val="center"/>
              <w:rPr>
                <w:rFonts w:eastAsia="Times New Roman"/>
                <w:color w:val="000000"/>
                <w:sz w:val="20"/>
                <w:szCs w:val="20"/>
                <w:lang w:val="es-AR"/>
              </w:rPr>
            </w:pPr>
            <w:r w:rsidRPr="00FA1271">
              <w:t>-2.87</w:t>
            </w:r>
          </w:p>
        </w:tc>
        <w:tc>
          <w:tcPr>
            <w:tcW w:w="660" w:type="dxa"/>
            <w:tcBorders>
              <w:top w:val="nil"/>
              <w:left w:val="nil"/>
              <w:bottom w:val="nil"/>
              <w:right w:val="nil"/>
            </w:tcBorders>
            <w:shd w:val="clear" w:color="auto" w:fill="auto"/>
            <w:noWrap/>
            <w:hideMark/>
          </w:tcPr>
          <w:p w14:paraId="1574FF22" w14:textId="31D5F6F7" w:rsidR="00F9320E" w:rsidRPr="00CB49D7" w:rsidRDefault="00F9320E" w:rsidP="00F9320E">
            <w:pPr>
              <w:spacing w:after="0"/>
              <w:jc w:val="center"/>
              <w:rPr>
                <w:rFonts w:eastAsia="Times New Roman"/>
                <w:color w:val="000000"/>
                <w:sz w:val="20"/>
                <w:szCs w:val="20"/>
                <w:lang w:val="es-AR"/>
              </w:rPr>
            </w:pPr>
            <w:r w:rsidRPr="00FA1271">
              <w:t>0.00</w:t>
            </w:r>
          </w:p>
        </w:tc>
        <w:tc>
          <w:tcPr>
            <w:tcW w:w="660" w:type="dxa"/>
            <w:tcBorders>
              <w:top w:val="nil"/>
              <w:left w:val="nil"/>
              <w:bottom w:val="nil"/>
              <w:right w:val="nil"/>
            </w:tcBorders>
            <w:shd w:val="clear" w:color="auto" w:fill="auto"/>
            <w:noWrap/>
            <w:hideMark/>
          </w:tcPr>
          <w:p w14:paraId="446C85C1" w14:textId="024E7CE0" w:rsidR="00F9320E" w:rsidRPr="00CB49D7" w:rsidRDefault="00F9320E" w:rsidP="00F9320E">
            <w:pPr>
              <w:spacing w:after="0"/>
              <w:jc w:val="center"/>
              <w:rPr>
                <w:rFonts w:eastAsia="Times New Roman"/>
                <w:color w:val="000000"/>
                <w:sz w:val="20"/>
                <w:szCs w:val="20"/>
                <w:lang w:val="es-AR"/>
              </w:rPr>
            </w:pPr>
            <w:r w:rsidRPr="00FA1271">
              <w:t>-0.23</w:t>
            </w:r>
          </w:p>
        </w:tc>
        <w:tc>
          <w:tcPr>
            <w:tcW w:w="1045" w:type="dxa"/>
            <w:tcBorders>
              <w:top w:val="nil"/>
              <w:left w:val="nil"/>
              <w:bottom w:val="nil"/>
              <w:right w:val="nil"/>
            </w:tcBorders>
            <w:shd w:val="clear" w:color="auto" w:fill="auto"/>
            <w:noWrap/>
            <w:hideMark/>
          </w:tcPr>
          <w:p w14:paraId="1254251E" w14:textId="1BA4AAE0" w:rsidR="00F9320E" w:rsidRPr="00CB49D7" w:rsidRDefault="00F9320E" w:rsidP="00F9320E">
            <w:pPr>
              <w:spacing w:after="0"/>
              <w:jc w:val="center"/>
              <w:rPr>
                <w:rFonts w:eastAsia="Times New Roman"/>
                <w:color w:val="000000"/>
                <w:sz w:val="20"/>
                <w:szCs w:val="20"/>
                <w:lang w:val="es-AR"/>
              </w:rPr>
            </w:pPr>
            <w:r w:rsidRPr="00FA1271">
              <w:t>-0.06</w:t>
            </w:r>
          </w:p>
        </w:tc>
      </w:tr>
      <w:tr w:rsidR="00F9320E" w:rsidRPr="00124C67" w14:paraId="0F905FAC" w14:textId="77777777" w:rsidTr="00836669">
        <w:trPr>
          <w:trHeight w:val="279"/>
        </w:trPr>
        <w:tc>
          <w:tcPr>
            <w:tcW w:w="3936" w:type="dxa"/>
            <w:tcBorders>
              <w:top w:val="nil"/>
              <w:left w:val="nil"/>
              <w:bottom w:val="nil"/>
              <w:right w:val="nil"/>
            </w:tcBorders>
            <w:shd w:val="clear" w:color="auto" w:fill="auto"/>
            <w:noWrap/>
            <w:vAlign w:val="center"/>
            <w:hideMark/>
          </w:tcPr>
          <w:p w14:paraId="1CD4E3CA" w14:textId="77777777" w:rsidR="00F9320E" w:rsidRPr="00CB49D7" w:rsidRDefault="00F9320E" w:rsidP="00F9320E">
            <w:pPr>
              <w:spacing w:after="0"/>
              <w:jc w:val="left"/>
              <w:rPr>
                <w:rFonts w:eastAsia="Times New Roman"/>
                <w:color w:val="000000"/>
                <w:sz w:val="20"/>
                <w:szCs w:val="20"/>
                <w:lang w:val="es-AR"/>
              </w:rPr>
            </w:pPr>
            <w:proofErr w:type="spellStart"/>
            <w:r w:rsidRPr="00CB49D7">
              <w:rPr>
                <w:rFonts w:eastAsia="Times New Roman"/>
                <w:color w:val="000000"/>
                <w:sz w:val="20"/>
                <w:szCs w:val="20"/>
                <w:lang w:val="es-AR"/>
              </w:rPr>
              <w:t>Independent</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2E3384B1" w14:textId="77CDE91C" w:rsidR="00F9320E" w:rsidRPr="00CB49D7" w:rsidRDefault="00F9320E" w:rsidP="00F9320E">
            <w:pPr>
              <w:spacing w:after="0"/>
              <w:jc w:val="center"/>
              <w:rPr>
                <w:rFonts w:eastAsia="Times New Roman"/>
                <w:color w:val="000000"/>
                <w:sz w:val="20"/>
                <w:szCs w:val="20"/>
                <w:lang w:val="es-AR"/>
              </w:rPr>
            </w:pPr>
            <w:r w:rsidRPr="00FA1271">
              <w:t>0.06</w:t>
            </w:r>
          </w:p>
        </w:tc>
        <w:tc>
          <w:tcPr>
            <w:tcW w:w="865" w:type="dxa"/>
            <w:tcBorders>
              <w:top w:val="nil"/>
              <w:left w:val="nil"/>
              <w:bottom w:val="nil"/>
              <w:right w:val="nil"/>
            </w:tcBorders>
            <w:shd w:val="clear" w:color="auto" w:fill="auto"/>
            <w:noWrap/>
            <w:hideMark/>
          </w:tcPr>
          <w:p w14:paraId="097638A5" w14:textId="6A2F72ED" w:rsidR="00F9320E" w:rsidRPr="00CB49D7" w:rsidRDefault="00F9320E" w:rsidP="00F9320E">
            <w:pPr>
              <w:spacing w:after="0"/>
              <w:jc w:val="center"/>
              <w:rPr>
                <w:rFonts w:eastAsia="Times New Roman"/>
                <w:color w:val="000000"/>
                <w:sz w:val="20"/>
                <w:szCs w:val="20"/>
                <w:lang w:val="es-AR"/>
              </w:rPr>
            </w:pPr>
            <w:r w:rsidRPr="00FA1271">
              <w:t>0.06</w:t>
            </w:r>
          </w:p>
        </w:tc>
        <w:tc>
          <w:tcPr>
            <w:tcW w:w="841" w:type="dxa"/>
            <w:tcBorders>
              <w:top w:val="nil"/>
              <w:left w:val="nil"/>
              <w:bottom w:val="nil"/>
              <w:right w:val="nil"/>
            </w:tcBorders>
            <w:shd w:val="clear" w:color="auto" w:fill="auto"/>
            <w:noWrap/>
            <w:hideMark/>
          </w:tcPr>
          <w:p w14:paraId="1767CA37" w14:textId="23F16F30" w:rsidR="00F9320E" w:rsidRPr="00CB49D7" w:rsidRDefault="00F9320E" w:rsidP="00F9320E">
            <w:pPr>
              <w:spacing w:after="0"/>
              <w:jc w:val="center"/>
              <w:rPr>
                <w:rFonts w:eastAsia="Times New Roman"/>
                <w:color w:val="000000"/>
                <w:sz w:val="20"/>
                <w:szCs w:val="20"/>
                <w:lang w:val="es-AR"/>
              </w:rPr>
            </w:pPr>
            <w:r w:rsidRPr="00FA1271">
              <w:t>1.05</w:t>
            </w:r>
          </w:p>
        </w:tc>
        <w:tc>
          <w:tcPr>
            <w:tcW w:w="660" w:type="dxa"/>
            <w:tcBorders>
              <w:top w:val="nil"/>
              <w:left w:val="nil"/>
              <w:bottom w:val="nil"/>
              <w:right w:val="nil"/>
            </w:tcBorders>
            <w:shd w:val="clear" w:color="auto" w:fill="auto"/>
            <w:noWrap/>
            <w:hideMark/>
          </w:tcPr>
          <w:p w14:paraId="03C56345" w14:textId="3336FEF5" w:rsidR="00F9320E" w:rsidRPr="00CB49D7" w:rsidRDefault="00F9320E" w:rsidP="00F9320E">
            <w:pPr>
              <w:spacing w:after="0"/>
              <w:jc w:val="center"/>
              <w:rPr>
                <w:rFonts w:eastAsia="Times New Roman"/>
                <w:color w:val="000000"/>
                <w:sz w:val="20"/>
                <w:szCs w:val="20"/>
                <w:lang w:val="es-AR"/>
              </w:rPr>
            </w:pPr>
            <w:r w:rsidRPr="00FA1271">
              <w:t>0.29</w:t>
            </w:r>
          </w:p>
        </w:tc>
        <w:tc>
          <w:tcPr>
            <w:tcW w:w="660" w:type="dxa"/>
            <w:tcBorders>
              <w:top w:val="nil"/>
              <w:left w:val="nil"/>
              <w:bottom w:val="nil"/>
              <w:right w:val="nil"/>
            </w:tcBorders>
            <w:shd w:val="clear" w:color="auto" w:fill="auto"/>
            <w:noWrap/>
            <w:hideMark/>
          </w:tcPr>
          <w:p w14:paraId="467E05E3" w14:textId="289E23E6" w:rsidR="00F9320E" w:rsidRPr="00CB49D7" w:rsidRDefault="00F9320E" w:rsidP="00F9320E">
            <w:pPr>
              <w:spacing w:after="0"/>
              <w:jc w:val="center"/>
              <w:rPr>
                <w:rFonts w:eastAsia="Times New Roman"/>
                <w:color w:val="000000"/>
                <w:sz w:val="20"/>
                <w:szCs w:val="20"/>
                <w:lang w:val="es-AR"/>
              </w:rPr>
            </w:pPr>
            <w:r w:rsidRPr="00FA1271">
              <w:t>-0.03</w:t>
            </w:r>
          </w:p>
        </w:tc>
        <w:tc>
          <w:tcPr>
            <w:tcW w:w="1045" w:type="dxa"/>
            <w:tcBorders>
              <w:top w:val="nil"/>
              <w:left w:val="nil"/>
              <w:bottom w:val="nil"/>
              <w:right w:val="nil"/>
            </w:tcBorders>
            <w:shd w:val="clear" w:color="auto" w:fill="auto"/>
            <w:noWrap/>
            <w:hideMark/>
          </w:tcPr>
          <w:p w14:paraId="6BB4BBAA" w14:textId="423EBD45" w:rsidR="00F9320E" w:rsidRPr="00CB49D7" w:rsidRDefault="00F9320E" w:rsidP="00F9320E">
            <w:pPr>
              <w:spacing w:after="0"/>
              <w:jc w:val="center"/>
              <w:rPr>
                <w:rFonts w:eastAsia="Times New Roman"/>
                <w:color w:val="000000"/>
                <w:sz w:val="20"/>
                <w:szCs w:val="20"/>
                <w:lang w:val="es-AR"/>
              </w:rPr>
            </w:pPr>
            <w:r w:rsidRPr="00FA1271">
              <w:t>0.15</w:t>
            </w:r>
          </w:p>
        </w:tc>
      </w:tr>
      <w:tr w:rsidR="00F9320E" w:rsidRPr="00BF5447" w14:paraId="5602B520" w14:textId="77777777" w:rsidTr="00836669">
        <w:trPr>
          <w:trHeight w:val="558"/>
        </w:trPr>
        <w:tc>
          <w:tcPr>
            <w:tcW w:w="3936" w:type="dxa"/>
            <w:tcBorders>
              <w:top w:val="nil"/>
              <w:left w:val="nil"/>
              <w:bottom w:val="nil"/>
              <w:right w:val="nil"/>
            </w:tcBorders>
            <w:shd w:val="clear" w:color="auto" w:fill="auto"/>
            <w:vAlign w:val="center"/>
            <w:hideMark/>
          </w:tcPr>
          <w:p w14:paraId="30B30727" w14:textId="77777777" w:rsidR="00F9320E" w:rsidRPr="00CB49D7" w:rsidRDefault="00F9320E" w:rsidP="00F9320E">
            <w:pPr>
              <w:spacing w:after="0"/>
              <w:jc w:val="left"/>
              <w:rPr>
                <w:rFonts w:eastAsia="Times New Roman"/>
                <w:b/>
                <w:bCs/>
                <w:color w:val="000000"/>
                <w:sz w:val="20"/>
                <w:szCs w:val="20"/>
                <w:lang w:val="en-US"/>
              </w:rPr>
            </w:pPr>
            <w:proofErr w:type="spellStart"/>
            <w:r w:rsidRPr="00CB49D7">
              <w:rPr>
                <w:rFonts w:eastAsia="Times New Roman"/>
                <w:b/>
                <w:bCs/>
                <w:color w:val="000000"/>
                <w:sz w:val="20"/>
                <w:szCs w:val="20"/>
                <w:lang w:val="en-US"/>
              </w:rPr>
              <w:t>LaborContract</w:t>
            </w:r>
            <w:proofErr w:type="spellEnd"/>
            <w:r w:rsidRPr="00CB49D7">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5F262973" w14:textId="77777777" w:rsidR="00F9320E" w:rsidRPr="00CB49D7" w:rsidRDefault="00F9320E" w:rsidP="00F9320E">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56110927"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6698F7FB"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156E37B8"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405C5806"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31A9B147" w14:textId="77777777" w:rsidR="00F9320E" w:rsidRPr="00CB49D7" w:rsidRDefault="00F9320E" w:rsidP="00F9320E">
            <w:pPr>
              <w:spacing w:after="0"/>
              <w:jc w:val="center"/>
              <w:rPr>
                <w:rFonts w:ascii="Times New Roman" w:eastAsia="Times New Roman" w:hAnsi="Times New Roman" w:cs="Times New Roman"/>
                <w:sz w:val="20"/>
                <w:szCs w:val="20"/>
                <w:lang w:val="en-US"/>
              </w:rPr>
            </w:pPr>
          </w:p>
        </w:tc>
      </w:tr>
      <w:tr w:rsidR="00F9320E" w:rsidRPr="00124C67" w14:paraId="20F14455" w14:textId="77777777" w:rsidTr="00836669">
        <w:trPr>
          <w:trHeight w:val="279"/>
        </w:trPr>
        <w:tc>
          <w:tcPr>
            <w:tcW w:w="3936" w:type="dxa"/>
            <w:tcBorders>
              <w:top w:val="nil"/>
              <w:left w:val="nil"/>
              <w:bottom w:val="nil"/>
              <w:right w:val="nil"/>
            </w:tcBorders>
            <w:shd w:val="clear" w:color="auto" w:fill="auto"/>
            <w:noWrap/>
            <w:vAlign w:val="center"/>
            <w:hideMark/>
          </w:tcPr>
          <w:p w14:paraId="40EB7FA4"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 xml:space="preserve">Formal </w:t>
            </w:r>
            <w:proofErr w:type="spellStart"/>
            <w:r w:rsidRPr="00CB49D7">
              <w:rPr>
                <w:rFonts w:eastAsia="Times New Roman"/>
                <w:color w:val="000000"/>
                <w:sz w:val="20"/>
                <w:szCs w:val="20"/>
                <w:lang w:val="es-AR"/>
              </w:rPr>
              <w:t>wage</w:t>
            </w:r>
            <w:proofErr w:type="spellEnd"/>
            <w:r w:rsidRPr="00CB49D7">
              <w:rPr>
                <w:rFonts w:eastAsia="Times New Roman"/>
                <w:color w:val="000000"/>
                <w:sz w:val="20"/>
                <w:szCs w:val="20"/>
                <w:lang w:val="es-AR"/>
              </w:rPr>
              <w:t xml:space="preserve"> </w:t>
            </w:r>
            <w:proofErr w:type="spellStart"/>
            <w:r w:rsidRPr="00CB49D7">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258C8973" w14:textId="3A091C27" w:rsidR="00F9320E" w:rsidRPr="00CB49D7" w:rsidRDefault="00F9320E" w:rsidP="00F9320E">
            <w:pPr>
              <w:spacing w:after="0"/>
              <w:jc w:val="center"/>
              <w:rPr>
                <w:rFonts w:eastAsia="Times New Roman"/>
                <w:color w:val="000000"/>
                <w:sz w:val="20"/>
                <w:szCs w:val="20"/>
                <w:lang w:val="es-AR"/>
              </w:rPr>
            </w:pPr>
            <w:r w:rsidRPr="00FA1271">
              <w:t>0.06</w:t>
            </w:r>
          </w:p>
        </w:tc>
        <w:tc>
          <w:tcPr>
            <w:tcW w:w="865" w:type="dxa"/>
            <w:tcBorders>
              <w:top w:val="nil"/>
              <w:left w:val="nil"/>
              <w:bottom w:val="nil"/>
              <w:right w:val="nil"/>
            </w:tcBorders>
            <w:shd w:val="clear" w:color="auto" w:fill="auto"/>
            <w:noWrap/>
            <w:hideMark/>
          </w:tcPr>
          <w:p w14:paraId="1B81D693" w14:textId="67AEF208" w:rsidR="00F9320E" w:rsidRPr="00CB49D7" w:rsidRDefault="00F9320E" w:rsidP="00F9320E">
            <w:pPr>
              <w:spacing w:after="0"/>
              <w:jc w:val="center"/>
              <w:rPr>
                <w:rFonts w:eastAsia="Times New Roman"/>
                <w:color w:val="000000"/>
                <w:sz w:val="20"/>
                <w:szCs w:val="20"/>
                <w:lang w:val="es-AR"/>
              </w:rPr>
            </w:pPr>
            <w:r w:rsidRPr="00FA1271">
              <w:t>0.05</w:t>
            </w:r>
          </w:p>
        </w:tc>
        <w:tc>
          <w:tcPr>
            <w:tcW w:w="841" w:type="dxa"/>
            <w:tcBorders>
              <w:top w:val="nil"/>
              <w:left w:val="nil"/>
              <w:bottom w:val="nil"/>
              <w:right w:val="nil"/>
            </w:tcBorders>
            <w:shd w:val="clear" w:color="auto" w:fill="auto"/>
            <w:noWrap/>
            <w:hideMark/>
          </w:tcPr>
          <w:p w14:paraId="5F11780D" w14:textId="284A9E6F" w:rsidR="00F9320E" w:rsidRPr="00CB49D7" w:rsidRDefault="00F9320E" w:rsidP="00F9320E">
            <w:pPr>
              <w:spacing w:after="0"/>
              <w:jc w:val="center"/>
              <w:rPr>
                <w:rFonts w:eastAsia="Times New Roman"/>
                <w:color w:val="000000"/>
                <w:sz w:val="20"/>
                <w:szCs w:val="20"/>
                <w:lang w:val="es-AR"/>
              </w:rPr>
            </w:pPr>
            <w:r w:rsidRPr="00FA1271">
              <w:t>1.26</w:t>
            </w:r>
          </w:p>
        </w:tc>
        <w:tc>
          <w:tcPr>
            <w:tcW w:w="660" w:type="dxa"/>
            <w:tcBorders>
              <w:top w:val="nil"/>
              <w:left w:val="nil"/>
              <w:bottom w:val="nil"/>
              <w:right w:val="nil"/>
            </w:tcBorders>
            <w:shd w:val="clear" w:color="auto" w:fill="auto"/>
            <w:noWrap/>
            <w:hideMark/>
          </w:tcPr>
          <w:p w14:paraId="3C3782D5" w14:textId="6E1D1191" w:rsidR="00F9320E" w:rsidRPr="00CB49D7" w:rsidRDefault="00F9320E" w:rsidP="00F9320E">
            <w:pPr>
              <w:spacing w:after="0"/>
              <w:jc w:val="center"/>
              <w:rPr>
                <w:rFonts w:eastAsia="Times New Roman"/>
                <w:color w:val="000000"/>
                <w:sz w:val="20"/>
                <w:szCs w:val="20"/>
                <w:lang w:val="es-AR"/>
              </w:rPr>
            </w:pPr>
            <w:r w:rsidRPr="00FA1271">
              <w:t>0.21</w:t>
            </w:r>
          </w:p>
        </w:tc>
        <w:tc>
          <w:tcPr>
            <w:tcW w:w="660" w:type="dxa"/>
            <w:tcBorders>
              <w:top w:val="nil"/>
              <w:left w:val="nil"/>
              <w:bottom w:val="nil"/>
              <w:right w:val="nil"/>
            </w:tcBorders>
            <w:shd w:val="clear" w:color="auto" w:fill="auto"/>
            <w:noWrap/>
            <w:hideMark/>
          </w:tcPr>
          <w:p w14:paraId="38A305BD" w14:textId="3873ECBA" w:rsidR="00F9320E" w:rsidRPr="00CB49D7" w:rsidRDefault="00F9320E" w:rsidP="00F9320E">
            <w:pPr>
              <w:spacing w:after="0"/>
              <w:jc w:val="center"/>
              <w:rPr>
                <w:rFonts w:eastAsia="Times New Roman"/>
                <w:color w:val="000000"/>
                <w:sz w:val="20"/>
                <w:szCs w:val="20"/>
                <w:lang w:val="es-AR"/>
              </w:rPr>
            </w:pPr>
            <w:r w:rsidRPr="00FA1271">
              <w:t>-0.02</w:t>
            </w:r>
          </w:p>
        </w:tc>
        <w:tc>
          <w:tcPr>
            <w:tcW w:w="1045" w:type="dxa"/>
            <w:tcBorders>
              <w:top w:val="nil"/>
              <w:left w:val="nil"/>
              <w:bottom w:val="nil"/>
              <w:right w:val="nil"/>
            </w:tcBorders>
            <w:shd w:val="clear" w:color="auto" w:fill="auto"/>
            <w:noWrap/>
            <w:hideMark/>
          </w:tcPr>
          <w:p w14:paraId="611FEDC3" w14:textId="7F0BA0EB" w:rsidR="00F9320E" w:rsidRPr="00CB49D7" w:rsidRDefault="00F9320E" w:rsidP="00F9320E">
            <w:pPr>
              <w:spacing w:after="0"/>
              <w:jc w:val="center"/>
              <w:rPr>
                <w:rFonts w:eastAsia="Times New Roman"/>
                <w:color w:val="000000"/>
                <w:sz w:val="20"/>
                <w:szCs w:val="20"/>
                <w:lang w:val="es-AR"/>
              </w:rPr>
            </w:pPr>
            <w:r w:rsidRPr="00FA1271">
              <w:t>0.14</w:t>
            </w:r>
          </w:p>
        </w:tc>
      </w:tr>
      <w:tr w:rsidR="00F9320E" w:rsidRPr="00124C67" w14:paraId="3A1437B6" w14:textId="77777777" w:rsidTr="00F9320E">
        <w:trPr>
          <w:trHeight w:val="279"/>
        </w:trPr>
        <w:tc>
          <w:tcPr>
            <w:tcW w:w="3936" w:type="dxa"/>
            <w:tcBorders>
              <w:top w:val="single" w:sz="4" w:space="0" w:color="auto"/>
              <w:left w:val="nil"/>
              <w:bottom w:val="nil"/>
              <w:right w:val="nil"/>
            </w:tcBorders>
            <w:shd w:val="clear" w:color="auto" w:fill="auto"/>
            <w:noWrap/>
            <w:vAlign w:val="center"/>
            <w:hideMark/>
          </w:tcPr>
          <w:p w14:paraId="62D73955"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R2</w:t>
            </w:r>
          </w:p>
        </w:tc>
        <w:tc>
          <w:tcPr>
            <w:tcW w:w="965" w:type="dxa"/>
            <w:tcBorders>
              <w:top w:val="single" w:sz="4" w:space="0" w:color="auto"/>
              <w:left w:val="nil"/>
              <w:bottom w:val="nil"/>
              <w:right w:val="nil"/>
            </w:tcBorders>
            <w:shd w:val="clear" w:color="auto" w:fill="auto"/>
            <w:noWrap/>
            <w:hideMark/>
          </w:tcPr>
          <w:p w14:paraId="75BF6484" w14:textId="5939B256" w:rsidR="00F9320E" w:rsidRPr="00CB49D7" w:rsidRDefault="00F9320E" w:rsidP="00F9320E">
            <w:pPr>
              <w:spacing w:after="0"/>
              <w:jc w:val="center"/>
              <w:rPr>
                <w:rFonts w:eastAsia="Times New Roman"/>
                <w:color w:val="000000"/>
                <w:sz w:val="20"/>
                <w:szCs w:val="20"/>
                <w:lang w:val="es-AR"/>
              </w:rPr>
            </w:pPr>
            <w:r w:rsidRPr="00FA1271">
              <w:t>0.01</w:t>
            </w:r>
          </w:p>
        </w:tc>
        <w:tc>
          <w:tcPr>
            <w:tcW w:w="865" w:type="dxa"/>
            <w:tcBorders>
              <w:top w:val="single" w:sz="4" w:space="0" w:color="auto"/>
              <w:left w:val="nil"/>
              <w:bottom w:val="nil"/>
              <w:right w:val="nil"/>
            </w:tcBorders>
            <w:shd w:val="clear" w:color="auto" w:fill="auto"/>
            <w:noWrap/>
          </w:tcPr>
          <w:p w14:paraId="4A8018B5" w14:textId="27262FCF" w:rsidR="00F9320E" w:rsidRPr="00CB49D7" w:rsidRDefault="00F9320E" w:rsidP="00F9320E">
            <w:pPr>
              <w:spacing w:after="0"/>
              <w:jc w:val="center"/>
              <w:rPr>
                <w:rFonts w:eastAsia="Times New Roman"/>
                <w:color w:val="000000"/>
                <w:sz w:val="20"/>
                <w:szCs w:val="20"/>
                <w:lang w:val="es-AR"/>
              </w:rPr>
            </w:pPr>
          </w:p>
        </w:tc>
        <w:tc>
          <w:tcPr>
            <w:tcW w:w="841" w:type="dxa"/>
            <w:tcBorders>
              <w:top w:val="single" w:sz="4" w:space="0" w:color="auto"/>
              <w:left w:val="nil"/>
              <w:bottom w:val="nil"/>
              <w:right w:val="nil"/>
            </w:tcBorders>
            <w:shd w:val="clear" w:color="auto" w:fill="auto"/>
            <w:noWrap/>
          </w:tcPr>
          <w:p w14:paraId="2F40C23A" w14:textId="60AB4FED" w:rsidR="00F9320E" w:rsidRPr="00CB49D7" w:rsidRDefault="00F9320E" w:rsidP="00F9320E">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tcPr>
          <w:p w14:paraId="6268092E" w14:textId="68495769" w:rsidR="00F9320E" w:rsidRPr="00CB49D7" w:rsidRDefault="00F9320E" w:rsidP="00F9320E">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tcPr>
          <w:p w14:paraId="4C3508F2" w14:textId="0A227E06" w:rsidR="00F9320E" w:rsidRPr="00CB49D7" w:rsidRDefault="00F9320E" w:rsidP="00F9320E">
            <w:pPr>
              <w:spacing w:after="0"/>
              <w:jc w:val="center"/>
              <w:rPr>
                <w:rFonts w:eastAsia="Times New Roman"/>
                <w:color w:val="000000"/>
                <w:sz w:val="20"/>
                <w:szCs w:val="20"/>
                <w:lang w:val="es-AR"/>
              </w:rPr>
            </w:pPr>
          </w:p>
        </w:tc>
        <w:tc>
          <w:tcPr>
            <w:tcW w:w="1045" w:type="dxa"/>
            <w:tcBorders>
              <w:top w:val="single" w:sz="4" w:space="0" w:color="auto"/>
              <w:left w:val="nil"/>
              <w:bottom w:val="nil"/>
              <w:right w:val="nil"/>
            </w:tcBorders>
            <w:shd w:val="clear" w:color="auto" w:fill="auto"/>
            <w:noWrap/>
          </w:tcPr>
          <w:p w14:paraId="29A50096" w14:textId="6E8BF427" w:rsidR="00F9320E" w:rsidRPr="00CB49D7" w:rsidRDefault="00F9320E" w:rsidP="00F9320E">
            <w:pPr>
              <w:spacing w:after="0"/>
              <w:jc w:val="center"/>
              <w:rPr>
                <w:rFonts w:eastAsia="Times New Roman"/>
                <w:color w:val="000000"/>
                <w:sz w:val="20"/>
                <w:szCs w:val="20"/>
                <w:lang w:val="es-AR"/>
              </w:rPr>
            </w:pPr>
          </w:p>
        </w:tc>
      </w:tr>
      <w:tr w:rsidR="00F9320E" w:rsidRPr="00124C67" w14:paraId="71ECF637" w14:textId="77777777" w:rsidTr="00F9320E">
        <w:trPr>
          <w:trHeight w:val="279"/>
        </w:trPr>
        <w:tc>
          <w:tcPr>
            <w:tcW w:w="3936" w:type="dxa"/>
            <w:tcBorders>
              <w:top w:val="nil"/>
              <w:left w:val="nil"/>
              <w:bottom w:val="single" w:sz="4" w:space="0" w:color="auto"/>
              <w:right w:val="nil"/>
            </w:tcBorders>
            <w:shd w:val="clear" w:color="auto" w:fill="auto"/>
            <w:noWrap/>
            <w:vAlign w:val="center"/>
            <w:hideMark/>
          </w:tcPr>
          <w:p w14:paraId="34AA03F4" w14:textId="77777777" w:rsidR="00F9320E" w:rsidRPr="00CB49D7" w:rsidRDefault="00F9320E" w:rsidP="00F9320E">
            <w:pPr>
              <w:spacing w:after="0"/>
              <w:jc w:val="left"/>
              <w:rPr>
                <w:rFonts w:eastAsia="Times New Roman"/>
                <w:color w:val="000000"/>
                <w:sz w:val="20"/>
                <w:szCs w:val="20"/>
                <w:lang w:val="es-AR"/>
              </w:rPr>
            </w:pPr>
            <w:r w:rsidRPr="00CB49D7">
              <w:rPr>
                <w:rFonts w:eastAsia="Times New Roman"/>
                <w:color w:val="000000"/>
                <w:sz w:val="20"/>
                <w:szCs w:val="20"/>
                <w:lang w:val="es-AR"/>
              </w:rPr>
              <w:t>n</w:t>
            </w:r>
          </w:p>
        </w:tc>
        <w:tc>
          <w:tcPr>
            <w:tcW w:w="965" w:type="dxa"/>
            <w:tcBorders>
              <w:top w:val="nil"/>
              <w:left w:val="nil"/>
              <w:bottom w:val="single" w:sz="4" w:space="0" w:color="auto"/>
              <w:right w:val="nil"/>
            </w:tcBorders>
            <w:shd w:val="clear" w:color="auto" w:fill="auto"/>
            <w:noWrap/>
            <w:hideMark/>
          </w:tcPr>
          <w:p w14:paraId="79668260" w14:textId="2341BA4A" w:rsidR="00F9320E" w:rsidRPr="00CB49D7" w:rsidRDefault="00F9320E" w:rsidP="00F9320E">
            <w:pPr>
              <w:spacing w:after="0"/>
              <w:jc w:val="center"/>
              <w:rPr>
                <w:rFonts w:eastAsia="Times New Roman"/>
                <w:color w:val="000000"/>
                <w:sz w:val="20"/>
                <w:szCs w:val="20"/>
                <w:lang w:val="es-AR"/>
              </w:rPr>
            </w:pPr>
            <w:r w:rsidRPr="00FA1271">
              <w:t>2625</w:t>
            </w:r>
          </w:p>
        </w:tc>
        <w:tc>
          <w:tcPr>
            <w:tcW w:w="865" w:type="dxa"/>
            <w:tcBorders>
              <w:top w:val="nil"/>
              <w:left w:val="nil"/>
              <w:bottom w:val="single" w:sz="4" w:space="0" w:color="auto"/>
              <w:right w:val="nil"/>
            </w:tcBorders>
            <w:shd w:val="clear" w:color="auto" w:fill="auto"/>
            <w:noWrap/>
          </w:tcPr>
          <w:p w14:paraId="6CA49BCD" w14:textId="7606DA67" w:rsidR="00F9320E" w:rsidRPr="00CB49D7" w:rsidRDefault="00F9320E" w:rsidP="00F9320E">
            <w:pPr>
              <w:spacing w:after="0"/>
              <w:jc w:val="center"/>
              <w:rPr>
                <w:rFonts w:eastAsia="Times New Roman"/>
                <w:color w:val="000000"/>
                <w:sz w:val="20"/>
                <w:szCs w:val="20"/>
                <w:lang w:val="es-AR"/>
              </w:rPr>
            </w:pPr>
          </w:p>
        </w:tc>
        <w:tc>
          <w:tcPr>
            <w:tcW w:w="841" w:type="dxa"/>
            <w:tcBorders>
              <w:top w:val="nil"/>
              <w:left w:val="nil"/>
              <w:bottom w:val="single" w:sz="4" w:space="0" w:color="auto"/>
              <w:right w:val="nil"/>
            </w:tcBorders>
            <w:shd w:val="clear" w:color="auto" w:fill="auto"/>
            <w:noWrap/>
          </w:tcPr>
          <w:p w14:paraId="01F9FC4A" w14:textId="28162E9C" w:rsidR="00F9320E" w:rsidRPr="00CB49D7" w:rsidRDefault="00F9320E" w:rsidP="00F9320E">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tcPr>
          <w:p w14:paraId="6E505D40" w14:textId="5BC823E7" w:rsidR="00F9320E" w:rsidRPr="00CB49D7" w:rsidRDefault="00F9320E" w:rsidP="00F9320E">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tcPr>
          <w:p w14:paraId="1C164D33" w14:textId="799B7443" w:rsidR="00F9320E" w:rsidRPr="00CB49D7" w:rsidRDefault="00F9320E" w:rsidP="00F9320E">
            <w:pPr>
              <w:spacing w:after="0"/>
              <w:jc w:val="center"/>
              <w:rPr>
                <w:rFonts w:eastAsia="Times New Roman"/>
                <w:color w:val="000000"/>
                <w:sz w:val="20"/>
                <w:szCs w:val="20"/>
                <w:lang w:val="es-AR"/>
              </w:rPr>
            </w:pPr>
          </w:p>
        </w:tc>
        <w:tc>
          <w:tcPr>
            <w:tcW w:w="1045" w:type="dxa"/>
            <w:tcBorders>
              <w:top w:val="nil"/>
              <w:left w:val="nil"/>
              <w:bottom w:val="single" w:sz="4" w:space="0" w:color="auto"/>
              <w:right w:val="nil"/>
            </w:tcBorders>
            <w:shd w:val="clear" w:color="auto" w:fill="auto"/>
            <w:noWrap/>
          </w:tcPr>
          <w:p w14:paraId="1E9C6C21" w14:textId="7F04E393" w:rsidR="00F9320E" w:rsidRPr="00CB49D7" w:rsidRDefault="00F9320E" w:rsidP="00F9320E">
            <w:pPr>
              <w:spacing w:after="0"/>
              <w:jc w:val="center"/>
              <w:rPr>
                <w:rFonts w:eastAsia="Times New Roman"/>
                <w:color w:val="000000"/>
                <w:sz w:val="20"/>
                <w:szCs w:val="20"/>
                <w:lang w:val="es-AR"/>
              </w:rPr>
            </w:pPr>
          </w:p>
        </w:tc>
      </w:tr>
    </w:tbl>
    <w:p w14:paraId="00F03AFE" w14:textId="77777777" w:rsidR="00695CA7" w:rsidRDefault="00695CA7" w:rsidP="00695CA7">
      <w:pPr>
        <w:pBdr>
          <w:top w:val="nil"/>
          <w:left w:val="nil"/>
          <w:bottom w:val="nil"/>
          <w:right w:val="nil"/>
          <w:between w:val="nil"/>
        </w:pBdr>
        <w:spacing w:after="0"/>
        <w:rPr>
          <w:b/>
          <w:bCs/>
          <w:sz w:val="20"/>
          <w:szCs w:val="20"/>
          <w:lang w:val="en"/>
        </w:rPr>
      </w:pPr>
    </w:p>
    <w:p w14:paraId="55B465C2" w14:textId="5144EF6B" w:rsidR="002F0A15" w:rsidRDefault="002F0A15" w:rsidP="002F0A15">
      <w:pPr>
        <w:pBdr>
          <w:top w:val="nil"/>
          <w:left w:val="nil"/>
          <w:bottom w:val="nil"/>
          <w:right w:val="nil"/>
          <w:between w:val="nil"/>
        </w:pBdr>
        <w:spacing w:after="0"/>
        <w:rPr>
          <w:lang w:val="en-US"/>
        </w:rPr>
      </w:pPr>
      <w:r w:rsidRPr="007D3DD1">
        <w:rPr>
          <w:b/>
          <w:bCs/>
          <w:lang w:val="en"/>
        </w:rPr>
        <w:t xml:space="preserve">Table </w:t>
      </w:r>
      <w:r>
        <w:rPr>
          <w:b/>
          <w:bCs/>
          <w:lang w:val="en"/>
        </w:rPr>
        <w:t>A2</w:t>
      </w:r>
      <w:r w:rsidR="00695CA7">
        <w:rPr>
          <w:b/>
          <w:bCs/>
          <w:lang w:val="en"/>
        </w:rPr>
        <w:t>.6</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xml:space="preserve">** p value less than 5%, *** p value less than 1%. </w:t>
      </w:r>
      <w:r w:rsidR="00594F32">
        <w:rPr>
          <w:lang w:val="en-US"/>
        </w:rPr>
        <w:t>Industry and occupation similarity have been build based on all job transitions that went through a period of unemployment</w:t>
      </w:r>
      <w:r>
        <w:rPr>
          <w:lang w:val="en-US"/>
        </w:rPr>
        <w:t xml:space="preserve">. </w:t>
      </w:r>
      <w:r w:rsidR="00BE0763">
        <w:rPr>
          <w:lang w:val="en-US"/>
        </w:rPr>
        <w:t>The sample in this regression comprises all the job-to-job transitions that do not include a period of unemployment.</w:t>
      </w:r>
    </w:p>
    <w:p w14:paraId="648A7E25" w14:textId="5514AA57" w:rsidR="00E04F5C" w:rsidRDefault="00E04F5C" w:rsidP="002F0A15">
      <w:pPr>
        <w:pBdr>
          <w:top w:val="nil"/>
          <w:left w:val="nil"/>
          <w:bottom w:val="nil"/>
          <w:right w:val="nil"/>
          <w:between w:val="nil"/>
        </w:pBdr>
        <w:spacing w:after="0"/>
        <w:rPr>
          <w:lang w:val="en-US"/>
        </w:rPr>
      </w:pPr>
    </w:p>
    <w:tbl>
      <w:tblPr>
        <w:tblW w:w="8972" w:type="dxa"/>
        <w:tblCellMar>
          <w:left w:w="70" w:type="dxa"/>
          <w:right w:w="70" w:type="dxa"/>
        </w:tblCellMar>
        <w:tblLook w:val="04A0" w:firstRow="1" w:lastRow="0" w:firstColumn="1" w:lastColumn="0" w:noHBand="0" w:noVBand="1"/>
      </w:tblPr>
      <w:tblGrid>
        <w:gridCol w:w="3936"/>
        <w:gridCol w:w="965"/>
        <w:gridCol w:w="865"/>
        <w:gridCol w:w="841"/>
        <w:gridCol w:w="660"/>
        <w:gridCol w:w="660"/>
        <w:gridCol w:w="1045"/>
      </w:tblGrid>
      <w:tr w:rsidR="00E04F5C" w:rsidRPr="00124C67" w14:paraId="690C70C6" w14:textId="77777777" w:rsidTr="00836669">
        <w:trPr>
          <w:trHeight w:val="279"/>
        </w:trPr>
        <w:tc>
          <w:tcPr>
            <w:tcW w:w="3936" w:type="dxa"/>
            <w:tcBorders>
              <w:top w:val="single" w:sz="4" w:space="0" w:color="auto"/>
              <w:left w:val="nil"/>
              <w:bottom w:val="single" w:sz="4" w:space="0" w:color="auto"/>
              <w:right w:val="nil"/>
            </w:tcBorders>
            <w:shd w:val="clear" w:color="auto" w:fill="auto"/>
            <w:noWrap/>
            <w:vAlign w:val="center"/>
            <w:hideMark/>
          </w:tcPr>
          <w:p w14:paraId="31BEC365" w14:textId="77777777" w:rsidR="00E04F5C" w:rsidRPr="002F0A15" w:rsidRDefault="00E04F5C" w:rsidP="00836669">
            <w:pPr>
              <w:spacing w:after="0"/>
              <w:rPr>
                <w:rFonts w:eastAsia="Times New Roman"/>
                <w:color w:val="000000"/>
                <w:sz w:val="20"/>
                <w:szCs w:val="20"/>
                <w:lang w:val="es-AR"/>
              </w:rPr>
            </w:pPr>
            <w:proofErr w:type="spellStart"/>
            <w:r w:rsidRPr="002F0A15">
              <w:rPr>
                <w:rFonts w:eastAsia="Times New Roman"/>
                <w:color w:val="000000"/>
                <w:sz w:val="20"/>
                <w:szCs w:val="20"/>
                <w:lang w:val="es-AR"/>
              </w:rPr>
              <w:t>Dep</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var</w:t>
            </w:r>
            <w:proofErr w:type="spellEnd"/>
          </w:p>
          <w:p w14:paraId="7E5ACBE2" w14:textId="77777777" w:rsidR="00E04F5C" w:rsidRPr="002F0A15" w:rsidRDefault="00E04F5C" w:rsidP="00836669">
            <w:pPr>
              <w:spacing w:after="0"/>
              <w:rPr>
                <w:rFonts w:eastAsia="Times New Roman"/>
                <w:color w:val="000000"/>
                <w:sz w:val="20"/>
                <w:szCs w:val="20"/>
                <w:lang w:val="es-AR"/>
              </w:rPr>
            </w:pPr>
            <w:proofErr w:type="spellStart"/>
            <w:r w:rsidRPr="002F0A15">
              <w:rPr>
                <w:rFonts w:eastAsia="Times New Roman"/>
                <w:color w:val="000000"/>
                <w:sz w:val="20"/>
                <w:szCs w:val="20"/>
                <w:lang w:val="es-AR"/>
              </w:rPr>
              <w:t>QuarterlyChangeRealHourlyWage</w:t>
            </w:r>
            <w:proofErr w:type="spellEnd"/>
          </w:p>
        </w:tc>
        <w:tc>
          <w:tcPr>
            <w:tcW w:w="965" w:type="dxa"/>
            <w:tcBorders>
              <w:top w:val="single" w:sz="4" w:space="0" w:color="auto"/>
              <w:left w:val="nil"/>
              <w:bottom w:val="single" w:sz="4" w:space="0" w:color="auto"/>
              <w:right w:val="nil"/>
            </w:tcBorders>
            <w:shd w:val="clear" w:color="auto" w:fill="auto"/>
            <w:noWrap/>
            <w:vAlign w:val="center"/>
            <w:hideMark/>
          </w:tcPr>
          <w:p w14:paraId="7C4CA744"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estimate</w:t>
            </w:r>
            <w:proofErr w:type="spellEnd"/>
          </w:p>
        </w:tc>
        <w:tc>
          <w:tcPr>
            <w:tcW w:w="865" w:type="dxa"/>
            <w:tcBorders>
              <w:top w:val="single" w:sz="4" w:space="0" w:color="auto"/>
              <w:left w:val="nil"/>
              <w:bottom w:val="single" w:sz="4" w:space="0" w:color="auto"/>
              <w:right w:val="nil"/>
            </w:tcBorders>
            <w:shd w:val="clear" w:color="auto" w:fill="auto"/>
            <w:noWrap/>
            <w:vAlign w:val="center"/>
            <w:hideMark/>
          </w:tcPr>
          <w:p w14:paraId="23B9D9CF" w14:textId="77777777" w:rsidR="00E04F5C" w:rsidRPr="002F0A15" w:rsidRDefault="00E04F5C" w:rsidP="00836669">
            <w:pPr>
              <w:spacing w:after="0"/>
              <w:jc w:val="center"/>
              <w:rPr>
                <w:rFonts w:eastAsia="Times New Roman"/>
                <w:color w:val="000000"/>
                <w:sz w:val="20"/>
                <w:szCs w:val="20"/>
                <w:lang w:val="es-AR"/>
              </w:rPr>
            </w:pPr>
            <w:proofErr w:type="spellStart"/>
            <w:proofErr w:type="gramStart"/>
            <w:r w:rsidRPr="002F0A15">
              <w:rPr>
                <w:rFonts w:eastAsia="Times New Roman"/>
                <w:color w:val="000000"/>
                <w:sz w:val="20"/>
                <w:szCs w:val="20"/>
                <w:lang w:val="es-AR"/>
              </w:rPr>
              <w:t>std.error</w:t>
            </w:r>
            <w:proofErr w:type="spellEnd"/>
            <w:proofErr w:type="gramEnd"/>
          </w:p>
        </w:tc>
        <w:tc>
          <w:tcPr>
            <w:tcW w:w="841" w:type="dxa"/>
            <w:tcBorders>
              <w:top w:val="single" w:sz="4" w:space="0" w:color="auto"/>
              <w:left w:val="nil"/>
              <w:bottom w:val="single" w:sz="4" w:space="0" w:color="auto"/>
              <w:right w:val="nil"/>
            </w:tcBorders>
            <w:shd w:val="clear" w:color="auto" w:fill="auto"/>
            <w:noWrap/>
            <w:vAlign w:val="center"/>
            <w:hideMark/>
          </w:tcPr>
          <w:p w14:paraId="2BE5A8A7"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p.value</w:t>
            </w:r>
            <w:proofErr w:type="spellEnd"/>
          </w:p>
        </w:tc>
        <w:tc>
          <w:tcPr>
            <w:tcW w:w="660" w:type="dxa"/>
            <w:tcBorders>
              <w:top w:val="single" w:sz="4" w:space="0" w:color="auto"/>
              <w:left w:val="nil"/>
              <w:bottom w:val="single" w:sz="4" w:space="0" w:color="auto"/>
              <w:right w:val="nil"/>
            </w:tcBorders>
            <w:shd w:val="clear" w:color="auto" w:fill="auto"/>
            <w:noWrap/>
            <w:vAlign w:val="center"/>
            <w:hideMark/>
          </w:tcPr>
          <w:p w14:paraId="2483C8F7" w14:textId="77777777" w:rsidR="00E04F5C" w:rsidRPr="002F0A15" w:rsidRDefault="00E04F5C" w:rsidP="00836669">
            <w:pPr>
              <w:spacing w:after="0"/>
              <w:jc w:val="center"/>
              <w:rPr>
                <w:rFonts w:eastAsia="Times New Roman"/>
                <w:color w:val="000000"/>
                <w:sz w:val="20"/>
                <w:szCs w:val="20"/>
                <w:lang w:val="es-AR"/>
              </w:rPr>
            </w:pPr>
            <w:r w:rsidRPr="002F0A15">
              <w:rPr>
                <w:rFonts w:eastAsia="Times New Roman"/>
                <w:color w:val="000000"/>
                <w:sz w:val="20"/>
                <w:szCs w:val="20"/>
                <w:lang w:val="es-AR"/>
              </w:rPr>
              <w:t>Lb (CI 90%)</w:t>
            </w:r>
          </w:p>
        </w:tc>
        <w:tc>
          <w:tcPr>
            <w:tcW w:w="660" w:type="dxa"/>
            <w:tcBorders>
              <w:top w:val="single" w:sz="4" w:space="0" w:color="auto"/>
              <w:left w:val="nil"/>
              <w:bottom w:val="single" w:sz="4" w:space="0" w:color="auto"/>
              <w:right w:val="nil"/>
            </w:tcBorders>
            <w:shd w:val="clear" w:color="auto" w:fill="auto"/>
            <w:noWrap/>
            <w:vAlign w:val="center"/>
            <w:hideMark/>
          </w:tcPr>
          <w:p w14:paraId="6EC16B58"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Ub</w:t>
            </w:r>
            <w:proofErr w:type="spellEnd"/>
            <w:r w:rsidRPr="002F0A15">
              <w:rPr>
                <w:rFonts w:eastAsia="Times New Roman"/>
                <w:color w:val="000000"/>
                <w:sz w:val="20"/>
                <w:szCs w:val="20"/>
                <w:lang w:val="es-AR"/>
              </w:rPr>
              <w:t xml:space="preserve"> (CI 90%)</w:t>
            </w:r>
          </w:p>
        </w:tc>
        <w:tc>
          <w:tcPr>
            <w:tcW w:w="1045" w:type="dxa"/>
            <w:tcBorders>
              <w:top w:val="single" w:sz="4" w:space="0" w:color="auto"/>
              <w:left w:val="nil"/>
              <w:bottom w:val="single" w:sz="4" w:space="0" w:color="auto"/>
              <w:right w:val="nil"/>
            </w:tcBorders>
            <w:shd w:val="clear" w:color="auto" w:fill="auto"/>
            <w:noWrap/>
            <w:vAlign w:val="center"/>
            <w:hideMark/>
          </w:tcPr>
          <w:p w14:paraId="0D3FF0FA"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coefPvalue</w:t>
            </w:r>
            <w:proofErr w:type="spellEnd"/>
          </w:p>
        </w:tc>
      </w:tr>
      <w:tr w:rsidR="00B836B4" w:rsidRPr="00124C67" w14:paraId="1048F993" w14:textId="77777777" w:rsidTr="00836669">
        <w:trPr>
          <w:trHeight w:val="279"/>
        </w:trPr>
        <w:tc>
          <w:tcPr>
            <w:tcW w:w="3936" w:type="dxa"/>
            <w:tcBorders>
              <w:top w:val="nil"/>
              <w:left w:val="nil"/>
              <w:bottom w:val="nil"/>
              <w:right w:val="nil"/>
            </w:tcBorders>
            <w:shd w:val="clear" w:color="auto" w:fill="auto"/>
            <w:noWrap/>
            <w:vAlign w:val="center"/>
            <w:hideMark/>
          </w:tcPr>
          <w:p w14:paraId="1D4F407C" w14:textId="77777777" w:rsidR="00B836B4" w:rsidRPr="002F0A15" w:rsidRDefault="00B836B4" w:rsidP="00B836B4">
            <w:pPr>
              <w:spacing w:after="0"/>
              <w:jc w:val="left"/>
              <w:rPr>
                <w:rFonts w:eastAsia="Times New Roman"/>
                <w:color w:val="000000"/>
                <w:sz w:val="20"/>
                <w:szCs w:val="20"/>
                <w:lang w:val="es-AR"/>
              </w:rPr>
            </w:pPr>
            <w:r w:rsidRPr="002F0A15">
              <w:rPr>
                <w:rFonts w:eastAsia="Times New Roman"/>
                <w:color w:val="000000"/>
                <w:sz w:val="20"/>
                <w:szCs w:val="20"/>
                <w:lang w:val="es-AR"/>
              </w:rPr>
              <w:t>(</w:t>
            </w:r>
            <w:proofErr w:type="spellStart"/>
            <w:r w:rsidRPr="002F0A15">
              <w:rPr>
                <w:rFonts w:eastAsia="Times New Roman"/>
                <w:color w:val="000000"/>
                <w:sz w:val="20"/>
                <w:szCs w:val="20"/>
                <w:lang w:val="es-AR"/>
              </w:rPr>
              <w:t>Intercept</w:t>
            </w:r>
            <w:proofErr w:type="spellEnd"/>
            <w:r w:rsidRPr="002F0A15">
              <w:rPr>
                <w:rFonts w:eastAsia="Times New Roman"/>
                <w:color w:val="000000"/>
                <w:sz w:val="20"/>
                <w:szCs w:val="20"/>
                <w:lang w:val="es-AR"/>
              </w:rPr>
              <w:t>)</w:t>
            </w:r>
          </w:p>
        </w:tc>
        <w:tc>
          <w:tcPr>
            <w:tcW w:w="965" w:type="dxa"/>
            <w:tcBorders>
              <w:top w:val="nil"/>
              <w:left w:val="nil"/>
              <w:bottom w:val="nil"/>
              <w:right w:val="nil"/>
            </w:tcBorders>
            <w:shd w:val="clear" w:color="auto" w:fill="auto"/>
            <w:noWrap/>
            <w:hideMark/>
          </w:tcPr>
          <w:p w14:paraId="0469A5C0" w14:textId="5A22E00B" w:rsidR="00B836B4" w:rsidRPr="002F0A15" w:rsidRDefault="00B836B4" w:rsidP="00B836B4">
            <w:pPr>
              <w:spacing w:after="0"/>
              <w:jc w:val="center"/>
              <w:rPr>
                <w:rFonts w:eastAsia="Times New Roman"/>
                <w:color w:val="000000"/>
                <w:sz w:val="20"/>
                <w:szCs w:val="20"/>
                <w:lang w:val="es-AR"/>
              </w:rPr>
            </w:pPr>
            <w:r w:rsidRPr="003950B9">
              <w:t>0.08</w:t>
            </w:r>
          </w:p>
        </w:tc>
        <w:tc>
          <w:tcPr>
            <w:tcW w:w="865" w:type="dxa"/>
            <w:tcBorders>
              <w:top w:val="nil"/>
              <w:left w:val="nil"/>
              <w:bottom w:val="nil"/>
              <w:right w:val="nil"/>
            </w:tcBorders>
            <w:shd w:val="clear" w:color="auto" w:fill="auto"/>
            <w:noWrap/>
            <w:hideMark/>
          </w:tcPr>
          <w:p w14:paraId="64085BEA" w14:textId="3CDBB198" w:rsidR="00B836B4" w:rsidRPr="002F0A15" w:rsidRDefault="00B836B4" w:rsidP="00B836B4">
            <w:pPr>
              <w:spacing w:after="0"/>
              <w:jc w:val="center"/>
              <w:rPr>
                <w:rFonts w:eastAsia="Times New Roman"/>
                <w:color w:val="000000"/>
                <w:sz w:val="20"/>
                <w:szCs w:val="20"/>
                <w:lang w:val="es-AR"/>
              </w:rPr>
            </w:pPr>
            <w:r w:rsidRPr="003950B9">
              <w:t>0.03</w:t>
            </w:r>
          </w:p>
        </w:tc>
        <w:tc>
          <w:tcPr>
            <w:tcW w:w="841" w:type="dxa"/>
            <w:tcBorders>
              <w:top w:val="nil"/>
              <w:left w:val="nil"/>
              <w:bottom w:val="nil"/>
              <w:right w:val="nil"/>
            </w:tcBorders>
            <w:shd w:val="clear" w:color="auto" w:fill="auto"/>
            <w:noWrap/>
            <w:hideMark/>
          </w:tcPr>
          <w:p w14:paraId="2FBAFD72" w14:textId="484E3B6D" w:rsidR="00B836B4" w:rsidRPr="002F0A15" w:rsidRDefault="00B836B4" w:rsidP="00B836B4">
            <w:pPr>
              <w:spacing w:after="0"/>
              <w:jc w:val="center"/>
              <w:rPr>
                <w:rFonts w:eastAsia="Times New Roman"/>
                <w:color w:val="000000"/>
                <w:sz w:val="20"/>
                <w:szCs w:val="20"/>
                <w:lang w:val="es-AR"/>
              </w:rPr>
            </w:pPr>
            <w:r w:rsidRPr="003950B9">
              <w:t>2.28</w:t>
            </w:r>
          </w:p>
        </w:tc>
        <w:tc>
          <w:tcPr>
            <w:tcW w:w="660" w:type="dxa"/>
            <w:tcBorders>
              <w:top w:val="nil"/>
              <w:left w:val="nil"/>
              <w:bottom w:val="nil"/>
              <w:right w:val="nil"/>
            </w:tcBorders>
            <w:shd w:val="clear" w:color="auto" w:fill="auto"/>
            <w:noWrap/>
            <w:hideMark/>
          </w:tcPr>
          <w:p w14:paraId="3399C54C" w14:textId="54D56A0F" w:rsidR="00B836B4" w:rsidRPr="002F0A15" w:rsidRDefault="00B836B4" w:rsidP="00B836B4">
            <w:pPr>
              <w:spacing w:after="0"/>
              <w:jc w:val="center"/>
              <w:rPr>
                <w:rFonts w:eastAsia="Times New Roman"/>
                <w:color w:val="000000"/>
                <w:sz w:val="20"/>
                <w:szCs w:val="20"/>
                <w:lang w:val="es-AR"/>
              </w:rPr>
            </w:pPr>
            <w:r w:rsidRPr="003950B9">
              <w:t>0.02</w:t>
            </w:r>
          </w:p>
        </w:tc>
        <w:tc>
          <w:tcPr>
            <w:tcW w:w="660" w:type="dxa"/>
            <w:tcBorders>
              <w:top w:val="nil"/>
              <w:left w:val="nil"/>
              <w:bottom w:val="nil"/>
              <w:right w:val="nil"/>
            </w:tcBorders>
            <w:shd w:val="clear" w:color="auto" w:fill="auto"/>
            <w:noWrap/>
            <w:hideMark/>
          </w:tcPr>
          <w:p w14:paraId="2D32C802" w14:textId="6E613473" w:rsidR="00B836B4" w:rsidRPr="002F0A15" w:rsidRDefault="00B836B4" w:rsidP="00B836B4">
            <w:pPr>
              <w:spacing w:after="0"/>
              <w:jc w:val="center"/>
              <w:rPr>
                <w:rFonts w:eastAsia="Times New Roman"/>
                <w:color w:val="000000"/>
                <w:sz w:val="20"/>
                <w:szCs w:val="20"/>
                <w:lang w:val="es-AR"/>
              </w:rPr>
            </w:pPr>
            <w:r w:rsidRPr="003950B9">
              <w:t>0.02</w:t>
            </w:r>
          </w:p>
        </w:tc>
        <w:tc>
          <w:tcPr>
            <w:tcW w:w="1045" w:type="dxa"/>
            <w:tcBorders>
              <w:top w:val="nil"/>
              <w:left w:val="nil"/>
              <w:bottom w:val="nil"/>
              <w:right w:val="nil"/>
            </w:tcBorders>
            <w:shd w:val="clear" w:color="auto" w:fill="auto"/>
            <w:noWrap/>
            <w:hideMark/>
          </w:tcPr>
          <w:p w14:paraId="102FAE93" w14:textId="284198FD" w:rsidR="00B836B4" w:rsidRPr="002F0A15" w:rsidRDefault="00B836B4" w:rsidP="00B836B4">
            <w:pPr>
              <w:spacing w:after="0"/>
              <w:jc w:val="center"/>
              <w:rPr>
                <w:rFonts w:eastAsia="Times New Roman"/>
                <w:color w:val="000000"/>
                <w:sz w:val="20"/>
                <w:szCs w:val="20"/>
                <w:lang w:val="es-AR"/>
              </w:rPr>
            </w:pPr>
            <w:r w:rsidRPr="003950B9">
              <w:t>0.13</w:t>
            </w:r>
          </w:p>
        </w:tc>
      </w:tr>
      <w:tr w:rsidR="00B836B4" w:rsidRPr="00124C67" w14:paraId="3E793A7A" w14:textId="77777777" w:rsidTr="00836669">
        <w:trPr>
          <w:trHeight w:val="279"/>
        </w:trPr>
        <w:tc>
          <w:tcPr>
            <w:tcW w:w="3936" w:type="dxa"/>
            <w:tcBorders>
              <w:top w:val="nil"/>
              <w:left w:val="nil"/>
              <w:bottom w:val="nil"/>
              <w:right w:val="nil"/>
            </w:tcBorders>
            <w:shd w:val="clear" w:color="auto" w:fill="auto"/>
            <w:noWrap/>
            <w:vAlign w:val="center"/>
            <w:hideMark/>
          </w:tcPr>
          <w:p w14:paraId="5A9B2A68"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RijOccupation</w:t>
            </w:r>
            <w:proofErr w:type="spellEnd"/>
          </w:p>
        </w:tc>
        <w:tc>
          <w:tcPr>
            <w:tcW w:w="965" w:type="dxa"/>
            <w:tcBorders>
              <w:top w:val="nil"/>
              <w:left w:val="nil"/>
              <w:bottom w:val="nil"/>
              <w:right w:val="nil"/>
            </w:tcBorders>
            <w:shd w:val="clear" w:color="auto" w:fill="auto"/>
            <w:noWrap/>
            <w:hideMark/>
          </w:tcPr>
          <w:p w14:paraId="0DB6C5DB" w14:textId="7408C028" w:rsidR="00B836B4" w:rsidRPr="002F0A15" w:rsidRDefault="00B836B4" w:rsidP="00B836B4">
            <w:pPr>
              <w:spacing w:after="0"/>
              <w:jc w:val="center"/>
              <w:rPr>
                <w:rFonts w:eastAsia="Times New Roman"/>
                <w:color w:val="000000"/>
                <w:sz w:val="20"/>
                <w:szCs w:val="20"/>
                <w:lang w:val="es-AR"/>
              </w:rPr>
            </w:pPr>
            <w:r w:rsidRPr="003950B9">
              <w:t>-0.01</w:t>
            </w:r>
          </w:p>
        </w:tc>
        <w:tc>
          <w:tcPr>
            <w:tcW w:w="865" w:type="dxa"/>
            <w:tcBorders>
              <w:top w:val="nil"/>
              <w:left w:val="nil"/>
              <w:bottom w:val="nil"/>
              <w:right w:val="nil"/>
            </w:tcBorders>
            <w:shd w:val="clear" w:color="auto" w:fill="auto"/>
            <w:noWrap/>
            <w:hideMark/>
          </w:tcPr>
          <w:p w14:paraId="37D10F84" w14:textId="0FBEADF3" w:rsidR="00B836B4" w:rsidRPr="002F0A15" w:rsidRDefault="00B836B4" w:rsidP="00B836B4">
            <w:pPr>
              <w:spacing w:after="0"/>
              <w:jc w:val="center"/>
              <w:rPr>
                <w:rFonts w:eastAsia="Times New Roman"/>
                <w:color w:val="000000"/>
                <w:sz w:val="20"/>
                <w:szCs w:val="20"/>
                <w:lang w:val="es-AR"/>
              </w:rPr>
            </w:pPr>
            <w:r w:rsidRPr="003950B9">
              <w:t>0.02</w:t>
            </w:r>
          </w:p>
        </w:tc>
        <w:tc>
          <w:tcPr>
            <w:tcW w:w="841" w:type="dxa"/>
            <w:tcBorders>
              <w:top w:val="nil"/>
              <w:left w:val="nil"/>
              <w:bottom w:val="nil"/>
              <w:right w:val="nil"/>
            </w:tcBorders>
            <w:shd w:val="clear" w:color="auto" w:fill="auto"/>
            <w:noWrap/>
            <w:hideMark/>
          </w:tcPr>
          <w:p w14:paraId="6A4D1431" w14:textId="7B98BD77" w:rsidR="00B836B4" w:rsidRPr="002F0A15" w:rsidRDefault="00B836B4" w:rsidP="00B836B4">
            <w:pPr>
              <w:spacing w:after="0"/>
              <w:jc w:val="center"/>
              <w:rPr>
                <w:rFonts w:eastAsia="Times New Roman"/>
                <w:color w:val="000000"/>
                <w:sz w:val="20"/>
                <w:szCs w:val="20"/>
                <w:lang w:val="es-AR"/>
              </w:rPr>
            </w:pPr>
            <w:r w:rsidRPr="003950B9">
              <w:t>-0.48</w:t>
            </w:r>
          </w:p>
        </w:tc>
        <w:tc>
          <w:tcPr>
            <w:tcW w:w="660" w:type="dxa"/>
            <w:tcBorders>
              <w:top w:val="nil"/>
              <w:left w:val="nil"/>
              <w:bottom w:val="nil"/>
              <w:right w:val="nil"/>
            </w:tcBorders>
            <w:shd w:val="clear" w:color="auto" w:fill="auto"/>
            <w:noWrap/>
            <w:hideMark/>
          </w:tcPr>
          <w:p w14:paraId="2A0C8274" w14:textId="56DAC2BC" w:rsidR="00B836B4" w:rsidRPr="002F0A15" w:rsidRDefault="00B836B4" w:rsidP="00B836B4">
            <w:pPr>
              <w:spacing w:after="0"/>
              <w:jc w:val="center"/>
              <w:rPr>
                <w:rFonts w:eastAsia="Times New Roman"/>
                <w:color w:val="000000"/>
                <w:sz w:val="20"/>
                <w:szCs w:val="20"/>
                <w:lang w:val="es-AR"/>
              </w:rPr>
            </w:pPr>
            <w:r w:rsidRPr="003950B9">
              <w:t>0.63</w:t>
            </w:r>
          </w:p>
        </w:tc>
        <w:tc>
          <w:tcPr>
            <w:tcW w:w="660" w:type="dxa"/>
            <w:tcBorders>
              <w:top w:val="nil"/>
              <w:left w:val="nil"/>
              <w:bottom w:val="nil"/>
              <w:right w:val="nil"/>
            </w:tcBorders>
            <w:shd w:val="clear" w:color="auto" w:fill="auto"/>
            <w:noWrap/>
            <w:hideMark/>
          </w:tcPr>
          <w:p w14:paraId="3CF57023" w14:textId="7FD9BBE5" w:rsidR="00B836B4" w:rsidRPr="002F0A15" w:rsidRDefault="00B836B4" w:rsidP="00B836B4">
            <w:pPr>
              <w:spacing w:after="0"/>
              <w:jc w:val="center"/>
              <w:rPr>
                <w:rFonts w:eastAsia="Times New Roman"/>
                <w:color w:val="000000"/>
                <w:sz w:val="20"/>
                <w:szCs w:val="20"/>
                <w:lang w:val="es-AR"/>
              </w:rPr>
            </w:pPr>
            <w:r w:rsidRPr="003950B9">
              <w:t>-0.03</w:t>
            </w:r>
          </w:p>
        </w:tc>
        <w:tc>
          <w:tcPr>
            <w:tcW w:w="1045" w:type="dxa"/>
            <w:tcBorders>
              <w:top w:val="nil"/>
              <w:left w:val="nil"/>
              <w:bottom w:val="nil"/>
              <w:right w:val="nil"/>
            </w:tcBorders>
            <w:shd w:val="clear" w:color="auto" w:fill="auto"/>
            <w:noWrap/>
            <w:hideMark/>
          </w:tcPr>
          <w:p w14:paraId="2EDBB9F2" w14:textId="24BD323D" w:rsidR="00B836B4" w:rsidRPr="002F0A15" w:rsidRDefault="00B836B4" w:rsidP="00B836B4">
            <w:pPr>
              <w:spacing w:after="0"/>
              <w:jc w:val="center"/>
              <w:rPr>
                <w:rFonts w:eastAsia="Times New Roman"/>
                <w:color w:val="000000"/>
                <w:sz w:val="20"/>
                <w:szCs w:val="20"/>
                <w:lang w:val="es-AR"/>
              </w:rPr>
            </w:pPr>
            <w:r w:rsidRPr="003950B9">
              <w:t>0.02</w:t>
            </w:r>
          </w:p>
        </w:tc>
      </w:tr>
      <w:tr w:rsidR="00B836B4" w:rsidRPr="00124C67" w14:paraId="6802E140" w14:textId="77777777" w:rsidTr="00836669">
        <w:trPr>
          <w:trHeight w:val="279"/>
        </w:trPr>
        <w:tc>
          <w:tcPr>
            <w:tcW w:w="3936" w:type="dxa"/>
            <w:tcBorders>
              <w:top w:val="nil"/>
              <w:left w:val="nil"/>
              <w:bottom w:val="nil"/>
              <w:right w:val="nil"/>
            </w:tcBorders>
            <w:shd w:val="clear" w:color="auto" w:fill="auto"/>
            <w:noWrap/>
            <w:vAlign w:val="center"/>
            <w:hideMark/>
          </w:tcPr>
          <w:p w14:paraId="4BC531B0"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RijIndustry</w:t>
            </w:r>
            <w:proofErr w:type="spellEnd"/>
          </w:p>
        </w:tc>
        <w:tc>
          <w:tcPr>
            <w:tcW w:w="965" w:type="dxa"/>
            <w:tcBorders>
              <w:top w:val="nil"/>
              <w:left w:val="nil"/>
              <w:bottom w:val="nil"/>
              <w:right w:val="nil"/>
            </w:tcBorders>
            <w:shd w:val="clear" w:color="auto" w:fill="auto"/>
            <w:noWrap/>
            <w:hideMark/>
          </w:tcPr>
          <w:p w14:paraId="670FFED5" w14:textId="091206BD" w:rsidR="00B836B4" w:rsidRPr="002F0A15" w:rsidRDefault="00B836B4" w:rsidP="00B836B4">
            <w:pPr>
              <w:spacing w:after="0"/>
              <w:jc w:val="center"/>
              <w:rPr>
                <w:rFonts w:eastAsia="Times New Roman"/>
                <w:color w:val="000000"/>
                <w:sz w:val="20"/>
                <w:szCs w:val="20"/>
                <w:lang w:val="es-AR"/>
              </w:rPr>
            </w:pPr>
            <w:r w:rsidRPr="003950B9">
              <w:t>0.01</w:t>
            </w:r>
          </w:p>
        </w:tc>
        <w:tc>
          <w:tcPr>
            <w:tcW w:w="865" w:type="dxa"/>
            <w:tcBorders>
              <w:top w:val="nil"/>
              <w:left w:val="nil"/>
              <w:bottom w:val="nil"/>
              <w:right w:val="nil"/>
            </w:tcBorders>
            <w:shd w:val="clear" w:color="auto" w:fill="auto"/>
            <w:noWrap/>
            <w:hideMark/>
          </w:tcPr>
          <w:p w14:paraId="6BB01FAC" w14:textId="76835F1E" w:rsidR="00B836B4" w:rsidRPr="002F0A15" w:rsidRDefault="00B836B4" w:rsidP="00B836B4">
            <w:pPr>
              <w:spacing w:after="0"/>
              <w:jc w:val="center"/>
              <w:rPr>
                <w:rFonts w:eastAsia="Times New Roman"/>
                <w:color w:val="000000"/>
                <w:sz w:val="20"/>
                <w:szCs w:val="20"/>
                <w:lang w:val="es-AR"/>
              </w:rPr>
            </w:pPr>
            <w:r w:rsidRPr="003950B9">
              <w:t>0.01</w:t>
            </w:r>
          </w:p>
        </w:tc>
        <w:tc>
          <w:tcPr>
            <w:tcW w:w="841" w:type="dxa"/>
            <w:tcBorders>
              <w:top w:val="nil"/>
              <w:left w:val="nil"/>
              <w:bottom w:val="nil"/>
              <w:right w:val="nil"/>
            </w:tcBorders>
            <w:shd w:val="clear" w:color="auto" w:fill="auto"/>
            <w:noWrap/>
            <w:hideMark/>
          </w:tcPr>
          <w:p w14:paraId="5EBBF1B5" w14:textId="7401979A" w:rsidR="00B836B4" w:rsidRPr="002F0A15" w:rsidRDefault="00B836B4" w:rsidP="00B836B4">
            <w:pPr>
              <w:spacing w:after="0"/>
              <w:jc w:val="center"/>
              <w:rPr>
                <w:rFonts w:eastAsia="Times New Roman"/>
                <w:color w:val="000000"/>
                <w:sz w:val="20"/>
                <w:szCs w:val="20"/>
                <w:lang w:val="es-AR"/>
              </w:rPr>
            </w:pPr>
            <w:r w:rsidRPr="003950B9">
              <w:t>0.45</w:t>
            </w:r>
          </w:p>
        </w:tc>
        <w:tc>
          <w:tcPr>
            <w:tcW w:w="660" w:type="dxa"/>
            <w:tcBorders>
              <w:top w:val="nil"/>
              <w:left w:val="nil"/>
              <w:bottom w:val="nil"/>
              <w:right w:val="nil"/>
            </w:tcBorders>
            <w:shd w:val="clear" w:color="auto" w:fill="auto"/>
            <w:noWrap/>
            <w:hideMark/>
          </w:tcPr>
          <w:p w14:paraId="6B34A011" w14:textId="3AAA101B" w:rsidR="00B836B4" w:rsidRPr="002F0A15" w:rsidRDefault="00B836B4" w:rsidP="00B836B4">
            <w:pPr>
              <w:spacing w:after="0"/>
              <w:jc w:val="center"/>
              <w:rPr>
                <w:rFonts w:eastAsia="Times New Roman"/>
                <w:color w:val="000000"/>
                <w:sz w:val="20"/>
                <w:szCs w:val="20"/>
                <w:lang w:val="es-AR"/>
              </w:rPr>
            </w:pPr>
            <w:r w:rsidRPr="003950B9">
              <w:t>0.65</w:t>
            </w:r>
          </w:p>
        </w:tc>
        <w:tc>
          <w:tcPr>
            <w:tcW w:w="660" w:type="dxa"/>
            <w:tcBorders>
              <w:top w:val="nil"/>
              <w:left w:val="nil"/>
              <w:bottom w:val="nil"/>
              <w:right w:val="nil"/>
            </w:tcBorders>
            <w:shd w:val="clear" w:color="auto" w:fill="auto"/>
            <w:noWrap/>
            <w:hideMark/>
          </w:tcPr>
          <w:p w14:paraId="5CED9AEB" w14:textId="7CD4930C" w:rsidR="00B836B4" w:rsidRPr="002F0A15" w:rsidRDefault="00B836B4" w:rsidP="00B836B4">
            <w:pPr>
              <w:spacing w:after="0"/>
              <w:jc w:val="center"/>
              <w:rPr>
                <w:rFonts w:eastAsia="Times New Roman"/>
                <w:color w:val="000000"/>
                <w:sz w:val="20"/>
                <w:szCs w:val="20"/>
                <w:lang w:val="es-AR"/>
              </w:rPr>
            </w:pPr>
            <w:r w:rsidRPr="003950B9">
              <w:t>-0.02</w:t>
            </w:r>
          </w:p>
        </w:tc>
        <w:tc>
          <w:tcPr>
            <w:tcW w:w="1045" w:type="dxa"/>
            <w:tcBorders>
              <w:top w:val="nil"/>
              <w:left w:val="nil"/>
              <w:bottom w:val="nil"/>
              <w:right w:val="nil"/>
            </w:tcBorders>
            <w:shd w:val="clear" w:color="auto" w:fill="auto"/>
            <w:noWrap/>
            <w:hideMark/>
          </w:tcPr>
          <w:p w14:paraId="225D1532" w14:textId="4016C5A2" w:rsidR="00B836B4" w:rsidRPr="002F0A15" w:rsidRDefault="00B836B4" w:rsidP="00B836B4">
            <w:pPr>
              <w:spacing w:after="0"/>
              <w:jc w:val="center"/>
              <w:rPr>
                <w:rFonts w:eastAsia="Times New Roman"/>
                <w:color w:val="000000"/>
                <w:sz w:val="20"/>
                <w:szCs w:val="20"/>
                <w:lang w:val="es-AR"/>
              </w:rPr>
            </w:pPr>
            <w:r w:rsidRPr="003950B9">
              <w:t>0.03</w:t>
            </w:r>
          </w:p>
        </w:tc>
      </w:tr>
      <w:tr w:rsidR="00B836B4" w:rsidRPr="00124C67" w14:paraId="65F37F82" w14:textId="77777777" w:rsidTr="00836669">
        <w:trPr>
          <w:trHeight w:val="279"/>
        </w:trPr>
        <w:tc>
          <w:tcPr>
            <w:tcW w:w="3936" w:type="dxa"/>
            <w:tcBorders>
              <w:top w:val="nil"/>
              <w:left w:val="nil"/>
              <w:bottom w:val="nil"/>
              <w:right w:val="nil"/>
            </w:tcBorders>
            <w:shd w:val="clear" w:color="auto" w:fill="auto"/>
            <w:noWrap/>
            <w:vAlign w:val="center"/>
            <w:hideMark/>
          </w:tcPr>
          <w:p w14:paraId="51883608"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IndustryAboveAvg_Lagged</w:t>
            </w:r>
            <w:proofErr w:type="spellEnd"/>
          </w:p>
        </w:tc>
        <w:tc>
          <w:tcPr>
            <w:tcW w:w="965" w:type="dxa"/>
            <w:tcBorders>
              <w:top w:val="nil"/>
              <w:left w:val="nil"/>
              <w:bottom w:val="nil"/>
              <w:right w:val="nil"/>
            </w:tcBorders>
            <w:shd w:val="clear" w:color="auto" w:fill="auto"/>
            <w:noWrap/>
            <w:hideMark/>
          </w:tcPr>
          <w:p w14:paraId="718DAC51" w14:textId="144BB7C9" w:rsidR="00B836B4" w:rsidRPr="002F0A15" w:rsidRDefault="00B836B4" w:rsidP="00B836B4">
            <w:pPr>
              <w:spacing w:after="0"/>
              <w:jc w:val="center"/>
              <w:rPr>
                <w:rFonts w:eastAsia="Times New Roman"/>
                <w:color w:val="000000"/>
                <w:sz w:val="20"/>
                <w:szCs w:val="20"/>
                <w:lang w:val="es-AR"/>
              </w:rPr>
            </w:pPr>
            <w:r w:rsidRPr="003950B9">
              <w:t>-0.03</w:t>
            </w:r>
          </w:p>
        </w:tc>
        <w:tc>
          <w:tcPr>
            <w:tcW w:w="865" w:type="dxa"/>
            <w:tcBorders>
              <w:top w:val="nil"/>
              <w:left w:val="nil"/>
              <w:bottom w:val="nil"/>
              <w:right w:val="nil"/>
            </w:tcBorders>
            <w:shd w:val="clear" w:color="auto" w:fill="auto"/>
            <w:noWrap/>
            <w:hideMark/>
          </w:tcPr>
          <w:p w14:paraId="63189057" w14:textId="32879CE6" w:rsidR="00B836B4" w:rsidRPr="002F0A15" w:rsidRDefault="00B836B4" w:rsidP="00B836B4">
            <w:pPr>
              <w:spacing w:after="0"/>
              <w:jc w:val="center"/>
              <w:rPr>
                <w:rFonts w:eastAsia="Times New Roman"/>
                <w:color w:val="000000"/>
                <w:sz w:val="20"/>
                <w:szCs w:val="20"/>
                <w:lang w:val="es-AR"/>
              </w:rPr>
            </w:pPr>
            <w:r w:rsidRPr="003950B9">
              <w:t>0.01</w:t>
            </w:r>
          </w:p>
        </w:tc>
        <w:tc>
          <w:tcPr>
            <w:tcW w:w="841" w:type="dxa"/>
            <w:tcBorders>
              <w:top w:val="nil"/>
              <w:left w:val="nil"/>
              <w:bottom w:val="nil"/>
              <w:right w:val="nil"/>
            </w:tcBorders>
            <w:shd w:val="clear" w:color="auto" w:fill="auto"/>
            <w:noWrap/>
            <w:hideMark/>
          </w:tcPr>
          <w:p w14:paraId="40664F9E" w14:textId="2C548744" w:rsidR="00B836B4" w:rsidRPr="002F0A15" w:rsidRDefault="00B836B4" w:rsidP="00B836B4">
            <w:pPr>
              <w:spacing w:after="0"/>
              <w:jc w:val="center"/>
              <w:rPr>
                <w:rFonts w:eastAsia="Times New Roman"/>
                <w:color w:val="000000"/>
                <w:sz w:val="20"/>
                <w:szCs w:val="20"/>
                <w:lang w:val="es-AR"/>
              </w:rPr>
            </w:pPr>
            <w:r w:rsidRPr="003950B9">
              <w:t>-1.97</w:t>
            </w:r>
          </w:p>
        </w:tc>
        <w:tc>
          <w:tcPr>
            <w:tcW w:w="660" w:type="dxa"/>
            <w:tcBorders>
              <w:top w:val="nil"/>
              <w:left w:val="nil"/>
              <w:bottom w:val="nil"/>
              <w:right w:val="nil"/>
            </w:tcBorders>
            <w:shd w:val="clear" w:color="auto" w:fill="auto"/>
            <w:noWrap/>
            <w:hideMark/>
          </w:tcPr>
          <w:p w14:paraId="30093D76" w14:textId="4BD494E0" w:rsidR="00B836B4" w:rsidRPr="002F0A15" w:rsidRDefault="00B836B4" w:rsidP="00B836B4">
            <w:pPr>
              <w:spacing w:after="0"/>
              <w:jc w:val="center"/>
              <w:rPr>
                <w:rFonts w:eastAsia="Times New Roman"/>
                <w:color w:val="000000"/>
                <w:sz w:val="20"/>
                <w:szCs w:val="20"/>
                <w:lang w:val="es-AR"/>
              </w:rPr>
            </w:pPr>
            <w:r w:rsidRPr="003950B9">
              <w:t>0.05</w:t>
            </w:r>
          </w:p>
        </w:tc>
        <w:tc>
          <w:tcPr>
            <w:tcW w:w="660" w:type="dxa"/>
            <w:tcBorders>
              <w:top w:val="nil"/>
              <w:left w:val="nil"/>
              <w:bottom w:val="nil"/>
              <w:right w:val="nil"/>
            </w:tcBorders>
            <w:shd w:val="clear" w:color="auto" w:fill="auto"/>
            <w:noWrap/>
            <w:hideMark/>
          </w:tcPr>
          <w:p w14:paraId="6D87A245" w14:textId="482809D2" w:rsidR="00B836B4" w:rsidRPr="002F0A15" w:rsidRDefault="00B836B4" w:rsidP="00B836B4">
            <w:pPr>
              <w:spacing w:after="0"/>
              <w:jc w:val="center"/>
              <w:rPr>
                <w:rFonts w:eastAsia="Times New Roman"/>
                <w:color w:val="000000"/>
                <w:sz w:val="20"/>
                <w:szCs w:val="20"/>
                <w:lang w:val="es-AR"/>
              </w:rPr>
            </w:pPr>
            <w:r w:rsidRPr="003950B9">
              <w:t>-0.05</w:t>
            </w:r>
          </w:p>
        </w:tc>
        <w:tc>
          <w:tcPr>
            <w:tcW w:w="1045" w:type="dxa"/>
            <w:tcBorders>
              <w:top w:val="nil"/>
              <w:left w:val="nil"/>
              <w:bottom w:val="nil"/>
              <w:right w:val="nil"/>
            </w:tcBorders>
            <w:shd w:val="clear" w:color="auto" w:fill="auto"/>
            <w:noWrap/>
            <w:hideMark/>
          </w:tcPr>
          <w:p w14:paraId="07691912" w14:textId="7D82469A" w:rsidR="00B836B4" w:rsidRPr="002F0A15" w:rsidRDefault="00B836B4" w:rsidP="00B836B4">
            <w:pPr>
              <w:spacing w:after="0"/>
              <w:jc w:val="center"/>
              <w:rPr>
                <w:rFonts w:eastAsia="Times New Roman"/>
                <w:color w:val="000000"/>
                <w:sz w:val="20"/>
                <w:szCs w:val="20"/>
                <w:lang w:val="es-AR"/>
              </w:rPr>
            </w:pPr>
            <w:r w:rsidRPr="003950B9">
              <w:t>0.00</w:t>
            </w:r>
          </w:p>
        </w:tc>
      </w:tr>
      <w:tr w:rsidR="00B836B4" w:rsidRPr="00124C67" w14:paraId="72205DCF" w14:textId="77777777" w:rsidTr="00836669">
        <w:trPr>
          <w:trHeight w:val="279"/>
        </w:trPr>
        <w:tc>
          <w:tcPr>
            <w:tcW w:w="3936" w:type="dxa"/>
            <w:tcBorders>
              <w:top w:val="nil"/>
              <w:left w:val="nil"/>
              <w:bottom w:val="nil"/>
              <w:right w:val="nil"/>
            </w:tcBorders>
            <w:shd w:val="clear" w:color="auto" w:fill="auto"/>
            <w:noWrap/>
            <w:vAlign w:val="center"/>
            <w:hideMark/>
          </w:tcPr>
          <w:p w14:paraId="496F925D"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w:t>
            </w:r>
            <w:proofErr w:type="spellEnd"/>
          </w:p>
        </w:tc>
        <w:tc>
          <w:tcPr>
            <w:tcW w:w="965" w:type="dxa"/>
            <w:tcBorders>
              <w:top w:val="nil"/>
              <w:left w:val="nil"/>
              <w:bottom w:val="nil"/>
              <w:right w:val="nil"/>
            </w:tcBorders>
            <w:shd w:val="clear" w:color="auto" w:fill="auto"/>
            <w:noWrap/>
            <w:hideMark/>
          </w:tcPr>
          <w:p w14:paraId="584EE874" w14:textId="45283D09" w:rsidR="00B836B4" w:rsidRPr="002F0A15" w:rsidRDefault="00B836B4" w:rsidP="00B836B4">
            <w:pPr>
              <w:spacing w:after="0"/>
              <w:jc w:val="center"/>
              <w:rPr>
                <w:rFonts w:eastAsia="Times New Roman"/>
                <w:color w:val="000000"/>
                <w:sz w:val="20"/>
                <w:szCs w:val="20"/>
                <w:lang w:val="es-AR"/>
              </w:rPr>
            </w:pPr>
            <w:r w:rsidRPr="003950B9">
              <w:t>0.03</w:t>
            </w:r>
          </w:p>
        </w:tc>
        <w:tc>
          <w:tcPr>
            <w:tcW w:w="865" w:type="dxa"/>
            <w:tcBorders>
              <w:top w:val="nil"/>
              <w:left w:val="nil"/>
              <w:bottom w:val="nil"/>
              <w:right w:val="nil"/>
            </w:tcBorders>
            <w:shd w:val="clear" w:color="auto" w:fill="auto"/>
            <w:noWrap/>
            <w:hideMark/>
          </w:tcPr>
          <w:p w14:paraId="66388ED8" w14:textId="0DEE210C" w:rsidR="00B836B4" w:rsidRPr="002F0A15" w:rsidRDefault="00B836B4" w:rsidP="00B836B4">
            <w:pPr>
              <w:spacing w:after="0"/>
              <w:jc w:val="center"/>
              <w:rPr>
                <w:rFonts w:eastAsia="Times New Roman"/>
                <w:color w:val="000000"/>
                <w:sz w:val="20"/>
                <w:szCs w:val="20"/>
                <w:lang w:val="es-AR"/>
              </w:rPr>
            </w:pPr>
            <w:r w:rsidRPr="003950B9">
              <w:t>0.01</w:t>
            </w:r>
          </w:p>
        </w:tc>
        <w:tc>
          <w:tcPr>
            <w:tcW w:w="841" w:type="dxa"/>
            <w:tcBorders>
              <w:top w:val="nil"/>
              <w:left w:val="nil"/>
              <w:bottom w:val="nil"/>
              <w:right w:val="nil"/>
            </w:tcBorders>
            <w:shd w:val="clear" w:color="auto" w:fill="auto"/>
            <w:noWrap/>
            <w:hideMark/>
          </w:tcPr>
          <w:p w14:paraId="22CCD31B" w14:textId="75353D2D" w:rsidR="00B836B4" w:rsidRPr="002F0A15" w:rsidRDefault="00B836B4" w:rsidP="00B836B4">
            <w:pPr>
              <w:spacing w:after="0"/>
              <w:jc w:val="center"/>
              <w:rPr>
                <w:rFonts w:eastAsia="Times New Roman"/>
                <w:color w:val="000000"/>
                <w:sz w:val="20"/>
                <w:szCs w:val="20"/>
                <w:lang w:val="es-AR"/>
              </w:rPr>
            </w:pPr>
            <w:r w:rsidRPr="003950B9">
              <w:t>1.81</w:t>
            </w:r>
          </w:p>
        </w:tc>
        <w:tc>
          <w:tcPr>
            <w:tcW w:w="660" w:type="dxa"/>
            <w:tcBorders>
              <w:top w:val="nil"/>
              <w:left w:val="nil"/>
              <w:bottom w:val="nil"/>
              <w:right w:val="nil"/>
            </w:tcBorders>
            <w:shd w:val="clear" w:color="auto" w:fill="auto"/>
            <w:noWrap/>
            <w:hideMark/>
          </w:tcPr>
          <w:p w14:paraId="26CB7619" w14:textId="366F0885" w:rsidR="00B836B4" w:rsidRPr="002F0A15" w:rsidRDefault="00B836B4" w:rsidP="00B836B4">
            <w:pPr>
              <w:spacing w:after="0"/>
              <w:jc w:val="center"/>
              <w:rPr>
                <w:rFonts w:eastAsia="Times New Roman"/>
                <w:color w:val="000000"/>
                <w:sz w:val="20"/>
                <w:szCs w:val="20"/>
                <w:lang w:val="es-AR"/>
              </w:rPr>
            </w:pPr>
            <w:r w:rsidRPr="003950B9">
              <w:t>0.07</w:t>
            </w:r>
          </w:p>
        </w:tc>
        <w:tc>
          <w:tcPr>
            <w:tcW w:w="660" w:type="dxa"/>
            <w:tcBorders>
              <w:top w:val="nil"/>
              <w:left w:val="nil"/>
              <w:bottom w:val="nil"/>
              <w:right w:val="nil"/>
            </w:tcBorders>
            <w:shd w:val="clear" w:color="auto" w:fill="auto"/>
            <w:noWrap/>
            <w:hideMark/>
          </w:tcPr>
          <w:p w14:paraId="667E54E7" w14:textId="020E5CB7" w:rsidR="00B836B4" w:rsidRPr="002F0A15" w:rsidRDefault="00B836B4" w:rsidP="00B836B4">
            <w:pPr>
              <w:spacing w:after="0"/>
              <w:jc w:val="center"/>
              <w:rPr>
                <w:rFonts w:eastAsia="Times New Roman"/>
                <w:color w:val="000000"/>
                <w:sz w:val="20"/>
                <w:szCs w:val="20"/>
                <w:lang w:val="es-AR"/>
              </w:rPr>
            </w:pPr>
            <w:r w:rsidRPr="003950B9">
              <w:t>0.00</w:t>
            </w:r>
          </w:p>
        </w:tc>
        <w:tc>
          <w:tcPr>
            <w:tcW w:w="1045" w:type="dxa"/>
            <w:tcBorders>
              <w:top w:val="nil"/>
              <w:left w:val="nil"/>
              <w:bottom w:val="nil"/>
              <w:right w:val="nil"/>
            </w:tcBorders>
            <w:shd w:val="clear" w:color="auto" w:fill="auto"/>
            <w:noWrap/>
            <w:hideMark/>
          </w:tcPr>
          <w:p w14:paraId="178C081F" w14:textId="491261DC" w:rsidR="00B836B4" w:rsidRPr="002F0A15" w:rsidRDefault="00B836B4" w:rsidP="00B836B4">
            <w:pPr>
              <w:spacing w:after="0"/>
              <w:jc w:val="center"/>
              <w:rPr>
                <w:rFonts w:eastAsia="Times New Roman"/>
                <w:color w:val="000000"/>
                <w:sz w:val="20"/>
                <w:szCs w:val="20"/>
                <w:lang w:val="es-AR"/>
              </w:rPr>
            </w:pPr>
            <w:r w:rsidRPr="003950B9">
              <w:t>0.05</w:t>
            </w:r>
          </w:p>
        </w:tc>
      </w:tr>
      <w:tr w:rsidR="00B836B4" w:rsidRPr="00BF5447" w14:paraId="35EA0D5C" w14:textId="77777777" w:rsidTr="00836669">
        <w:trPr>
          <w:trHeight w:val="558"/>
        </w:trPr>
        <w:tc>
          <w:tcPr>
            <w:tcW w:w="3936" w:type="dxa"/>
            <w:tcBorders>
              <w:top w:val="nil"/>
              <w:left w:val="nil"/>
              <w:bottom w:val="nil"/>
              <w:right w:val="nil"/>
            </w:tcBorders>
            <w:shd w:val="clear" w:color="auto" w:fill="auto"/>
            <w:vAlign w:val="center"/>
            <w:hideMark/>
          </w:tcPr>
          <w:p w14:paraId="5EBBB227" w14:textId="77777777" w:rsidR="00B836B4" w:rsidRPr="002F0A15" w:rsidRDefault="00B836B4" w:rsidP="00B836B4">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LaborContractLagged</w:t>
            </w:r>
            <w:proofErr w:type="spellEnd"/>
            <w:r w:rsidRPr="002F0A15">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61AE67FE" w14:textId="77777777" w:rsidR="00B836B4" w:rsidRPr="002F0A15" w:rsidRDefault="00B836B4" w:rsidP="00B836B4">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7AD875B4"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5D2872F3"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73CEB827"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5C7BB53D"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10E4D5C8"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r>
      <w:tr w:rsidR="00B836B4" w:rsidRPr="00124C67" w14:paraId="493A6846" w14:textId="77777777" w:rsidTr="00836669">
        <w:trPr>
          <w:trHeight w:val="279"/>
        </w:trPr>
        <w:tc>
          <w:tcPr>
            <w:tcW w:w="3936" w:type="dxa"/>
            <w:tcBorders>
              <w:top w:val="nil"/>
              <w:left w:val="nil"/>
              <w:bottom w:val="nil"/>
              <w:right w:val="nil"/>
            </w:tcBorders>
            <w:shd w:val="clear" w:color="auto" w:fill="auto"/>
            <w:noWrap/>
            <w:vAlign w:val="center"/>
            <w:hideMark/>
          </w:tcPr>
          <w:p w14:paraId="6F0F42A2" w14:textId="77777777" w:rsidR="00B836B4" w:rsidRPr="002F0A15" w:rsidRDefault="00B836B4" w:rsidP="00B836B4">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377C343E" w14:textId="1675F0CF" w:rsidR="00B836B4" w:rsidRPr="002F0A15" w:rsidRDefault="00B836B4" w:rsidP="00B836B4">
            <w:pPr>
              <w:spacing w:after="0"/>
              <w:jc w:val="center"/>
              <w:rPr>
                <w:rFonts w:eastAsia="Times New Roman"/>
                <w:color w:val="000000"/>
                <w:sz w:val="20"/>
                <w:szCs w:val="20"/>
                <w:lang w:val="es-AR"/>
              </w:rPr>
            </w:pPr>
            <w:r w:rsidRPr="003950B9">
              <w:t>-0.05</w:t>
            </w:r>
          </w:p>
        </w:tc>
        <w:tc>
          <w:tcPr>
            <w:tcW w:w="865" w:type="dxa"/>
            <w:tcBorders>
              <w:top w:val="nil"/>
              <w:left w:val="nil"/>
              <w:bottom w:val="nil"/>
              <w:right w:val="nil"/>
            </w:tcBorders>
            <w:shd w:val="clear" w:color="auto" w:fill="auto"/>
            <w:noWrap/>
            <w:hideMark/>
          </w:tcPr>
          <w:p w14:paraId="32ECFDE0" w14:textId="3F2463DC" w:rsidR="00B836B4" w:rsidRPr="002F0A15" w:rsidRDefault="00B836B4" w:rsidP="00B836B4">
            <w:pPr>
              <w:spacing w:after="0"/>
              <w:jc w:val="center"/>
              <w:rPr>
                <w:rFonts w:eastAsia="Times New Roman"/>
                <w:color w:val="000000"/>
                <w:sz w:val="20"/>
                <w:szCs w:val="20"/>
                <w:lang w:val="es-AR"/>
              </w:rPr>
            </w:pPr>
            <w:r w:rsidRPr="003950B9">
              <w:t>0.02</w:t>
            </w:r>
          </w:p>
        </w:tc>
        <w:tc>
          <w:tcPr>
            <w:tcW w:w="841" w:type="dxa"/>
            <w:tcBorders>
              <w:top w:val="nil"/>
              <w:left w:val="nil"/>
              <w:bottom w:val="nil"/>
              <w:right w:val="nil"/>
            </w:tcBorders>
            <w:shd w:val="clear" w:color="auto" w:fill="auto"/>
            <w:noWrap/>
            <w:hideMark/>
          </w:tcPr>
          <w:p w14:paraId="48D43B90" w14:textId="16A2E553" w:rsidR="00B836B4" w:rsidRPr="002F0A15" w:rsidRDefault="00B836B4" w:rsidP="00B836B4">
            <w:pPr>
              <w:spacing w:after="0"/>
              <w:jc w:val="center"/>
              <w:rPr>
                <w:rFonts w:eastAsia="Times New Roman"/>
                <w:color w:val="000000"/>
                <w:sz w:val="20"/>
                <w:szCs w:val="20"/>
                <w:lang w:val="es-AR"/>
              </w:rPr>
            </w:pPr>
            <w:r w:rsidRPr="003950B9">
              <w:t>-3.12</w:t>
            </w:r>
          </w:p>
        </w:tc>
        <w:tc>
          <w:tcPr>
            <w:tcW w:w="660" w:type="dxa"/>
            <w:tcBorders>
              <w:top w:val="nil"/>
              <w:left w:val="nil"/>
              <w:bottom w:val="nil"/>
              <w:right w:val="nil"/>
            </w:tcBorders>
            <w:shd w:val="clear" w:color="auto" w:fill="auto"/>
            <w:noWrap/>
            <w:hideMark/>
          </w:tcPr>
          <w:p w14:paraId="10FDDE34" w14:textId="129D7418" w:rsidR="00B836B4" w:rsidRPr="002F0A15" w:rsidRDefault="00B836B4" w:rsidP="00B836B4">
            <w:pPr>
              <w:spacing w:after="0"/>
              <w:jc w:val="center"/>
              <w:rPr>
                <w:rFonts w:eastAsia="Times New Roman"/>
                <w:color w:val="000000"/>
                <w:sz w:val="20"/>
                <w:szCs w:val="20"/>
                <w:lang w:val="es-AR"/>
              </w:rPr>
            </w:pPr>
            <w:r w:rsidRPr="003950B9">
              <w:t>0.00</w:t>
            </w:r>
          </w:p>
        </w:tc>
        <w:tc>
          <w:tcPr>
            <w:tcW w:w="660" w:type="dxa"/>
            <w:tcBorders>
              <w:top w:val="nil"/>
              <w:left w:val="nil"/>
              <w:bottom w:val="nil"/>
              <w:right w:val="nil"/>
            </w:tcBorders>
            <w:shd w:val="clear" w:color="auto" w:fill="auto"/>
            <w:noWrap/>
            <w:hideMark/>
          </w:tcPr>
          <w:p w14:paraId="76423107" w14:textId="4518C4FE" w:rsidR="00B836B4" w:rsidRPr="002F0A15" w:rsidRDefault="00B836B4" w:rsidP="00B836B4">
            <w:pPr>
              <w:spacing w:after="0"/>
              <w:jc w:val="center"/>
              <w:rPr>
                <w:rFonts w:eastAsia="Times New Roman"/>
                <w:color w:val="000000"/>
                <w:sz w:val="20"/>
                <w:szCs w:val="20"/>
                <w:lang w:val="es-AR"/>
              </w:rPr>
            </w:pPr>
            <w:r w:rsidRPr="003950B9">
              <w:t>-0.07</w:t>
            </w:r>
          </w:p>
        </w:tc>
        <w:tc>
          <w:tcPr>
            <w:tcW w:w="1045" w:type="dxa"/>
            <w:tcBorders>
              <w:top w:val="nil"/>
              <w:left w:val="nil"/>
              <w:bottom w:val="nil"/>
              <w:right w:val="nil"/>
            </w:tcBorders>
            <w:shd w:val="clear" w:color="auto" w:fill="auto"/>
            <w:noWrap/>
            <w:hideMark/>
          </w:tcPr>
          <w:p w14:paraId="645FC5F6" w14:textId="5007B4FE" w:rsidR="00B836B4" w:rsidRPr="002F0A15" w:rsidRDefault="00B836B4" w:rsidP="00B836B4">
            <w:pPr>
              <w:spacing w:after="0"/>
              <w:jc w:val="center"/>
              <w:rPr>
                <w:rFonts w:eastAsia="Times New Roman"/>
                <w:color w:val="000000"/>
                <w:sz w:val="20"/>
                <w:szCs w:val="20"/>
                <w:lang w:val="es-AR"/>
              </w:rPr>
            </w:pPr>
            <w:r w:rsidRPr="003950B9">
              <w:t>-0.02</w:t>
            </w:r>
          </w:p>
        </w:tc>
      </w:tr>
      <w:tr w:rsidR="00B836B4" w:rsidRPr="00124C67" w14:paraId="695C173A" w14:textId="77777777" w:rsidTr="00836669">
        <w:trPr>
          <w:trHeight w:val="279"/>
        </w:trPr>
        <w:tc>
          <w:tcPr>
            <w:tcW w:w="3936" w:type="dxa"/>
            <w:tcBorders>
              <w:top w:val="nil"/>
              <w:left w:val="nil"/>
              <w:bottom w:val="nil"/>
              <w:right w:val="nil"/>
            </w:tcBorders>
            <w:shd w:val="clear" w:color="auto" w:fill="auto"/>
            <w:noWrap/>
            <w:vAlign w:val="center"/>
            <w:hideMark/>
          </w:tcPr>
          <w:p w14:paraId="60BF3393"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222A68B1" w14:textId="5D05E2AA" w:rsidR="00B836B4" w:rsidRPr="002F0A15" w:rsidRDefault="00B836B4" w:rsidP="00B836B4">
            <w:pPr>
              <w:spacing w:after="0"/>
              <w:jc w:val="center"/>
              <w:rPr>
                <w:rFonts w:eastAsia="Times New Roman"/>
                <w:color w:val="000000"/>
                <w:sz w:val="20"/>
                <w:szCs w:val="20"/>
                <w:lang w:val="es-AR"/>
              </w:rPr>
            </w:pPr>
            <w:r w:rsidRPr="003950B9">
              <w:t>0.05</w:t>
            </w:r>
          </w:p>
        </w:tc>
        <w:tc>
          <w:tcPr>
            <w:tcW w:w="865" w:type="dxa"/>
            <w:tcBorders>
              <w:top w:val="nil"/>
              <w:left w:val="nil"/>
              <w:bottom w:val="nil"/>
              <w:right w:val="nil"/>
            </w:tcBorders>
            <w:shd w:val="clear" w:color="auto" w:fill="auto"/>
            <w:noWrap/>
            <w:hideMark/>
          </w:tcPr>
          <w:p w14:paraId="4FFF236B" w14:textId="28057651" w:rsidR="00B836B4" w:rsidRPr="002F0A15" w:rsidRDefault="00B836B4" w:rsidP="00B836B4">
            <w:pPr>
              <w:spacing w:after="0"/>
              <w:jc w:val="center"/>
              <w:rPr>
                <w:rFonts w:eastAsia="Times New Roman"/>
                <w:color w:val="000000"/>
                <w:sz w:val="20"/>
                <w:szCs w:val="20"/>
                <w:lang w:val="es-AR"/>
              </w:rPr>
            </w:pPr>
            <w:r w:rsidRPr="003950B9">
              <w:t>0.01</w:t>
            </w:r>
          </w:p>
        </w:tc>
        <w:tc>
          <w:tcPr>
            <w:tcW w:w="841" w:type="dxa"/>
            <w:tcBorders>
              <w:top w:val="nil"/>
              <w:left w:val="nil"/>
              <w:bottom w:val="nil"/>
              <w:right w:val="nil"/>
            </w:tcBorders>
            <w:shd w:val="clear" w:color="auto" w:fill="auto"/>
            <w:noWrap/>
            <w:hideMark/>
          </w:tcPr>
          <w:p w14:paraId="09FEA6E7" w14:textId="238B9AA2" w:rsidR="00B836B4" w:rsidRPr="002F0A15" w:rsidRDefault="00B836B4" w:rsidP="00B836B4">
            <w:pPr>
              <w:spacing w:after="0"/>
              <w:jc w:val="center"/>
              <w:rPr>
                <w:rFonts w:eastAsia="Times New Roman"/>
                <w:color w:val="000000"/>
                <w:sz w:val="20"/>
                <w:szCs w:val="20"/>
                <w:lang w:val="es-AR"/>
              </w:rPr>
            </w:pPr>
            <w:r w:rsidRPr="003950B9">
              <w:t>3.58</w:t>
            </w:r>
          </w:p>
        </w:tc>
        <w:tc>
          <w:tcPr>
            <w:tcW w:w="660" w:type="dxa"/>
            <w:tcBorders>
              <w:top w:val="nil"/>
              <w:left w:val="nil"/>
              <w:bottom w:val="nil"/>
              <w:right w:val="nil"/>
            </w:tcBorders>
            <w:shd w:val="clear" w:color="auto" w:fill="auto"/>
            <w:noWrap/>
            <w:hideMark/>
          </w:tcPr>
          <w:p w14:paraId="09559608" w14:textId="556D931E" w:rsidR="00B836B4" w:rsidRPr="002F0A15" w:rsidRDefault="00B836B4" w:rsidP="00B836B4">
            <w:pPr>
              <w:spacing w:after="0"/>
              <w:jc w:val="center"/>
              <w:rPr>
                <w:rFonts w:eastAsia="Times New Roman"/>
                <w:color w:val="000000"/>
                <w:sz w:val="20"/>
                <w:szCs w:val="20"/>
                <w:lang w:val="es-AR"/>
              </w:rPr>
            </w:pPr>
            <w:r w:rsidRPr="003950B9">
              <w:t>0.00</w:t>
            </w:r>
          </w:p>
        </w:tc>
        <w:tc>
          <w:tcPr>
            <w:tcW w:w="660" w:type="dxa"/>
            <w:tcBorders>
              <w:top w:val="nil"/>
              <w:left w:val="nil"/>
              <w:bottom w:val="nil"/>
              <w:right w:val="nil"/>
            </w:tcBorders>
            <w:shd w:val="clear" w:color="auto" w:fill="auto"/>
            <w:noWrap/>
            <w:hideMark/>
          </w:tcPr>
          <w:p w14:paraId="33696788" w14:textId="27FBD402" w:rsidR="00B836B4" w:rsidRPr="002F0A15" w:rsidRDefault="00B836B4" w:rsidP="00B836B4">
            <w:pPr>
              <w:spacing w:after="0"/>
              <w:jc w:val="center"/>
              <w:rPr>
                <w:rFonts w:eastAsia="Times New Roman"/>
                <w:color w:val="000000"/>
                <w:sz w:val="20"/>
                <w:szCs w:val="20"/>
                <w:lang w:val="es-AR"/>
              </w:rPr>
            </w:pPr>
            <w:r w:rsidRPr="003950B9">
              <w:t>0.03</w:t>
            </w:r>
          </w:p>
        </w:tc>
        <w:tc>
          <w:tcPr>
            <w:tcW w:w="1045" w:type="dxa"/>
            <w:tcBorders>
              <w:top w:val="nil"/>
              <w:left w:val="nil"/>
              <w:bottom w:val="nil"/>
              <w:right w:val="nil"/>
            </w:tcBorders>
            <w:shd w:val="clear" w:color="auto" w:fill="auto"/>
            <w:noWrap/>
            <w:hideMark/>
          </w:tcPr>
          <w:p w14:paraId="6DB58FD7" w14:textId="5C01EE6B" w:rsidR="00B836B4" w:rsidRPr="002F0A15" w:rsidRDefault="00B836B4" w:rsidP="00B836B4">
            <w:pPr>
              <w:spacing w:after="0"/>
              <w:jc w:val="center"/>
              <w:rPr>
                <w:rFonts w:eastAsia="Times New Roman"/>
                <w:color w:val="000000"/>
                <w:sz w:val="20"/>
                <w:szCs w:val="20"/>
                <w:lang w:val="es-AR"/>
              </w:rPr>
            </w:pPr>
            <w:r w:rsidRPr="003950B9">
              <w:t>0.07</w:t>
            </w:r>
          </w:p>
        </w:tc>
      </w:tr>
      <w:tr w:rsidR="00B836B4" w:rsidRPr="00BF5447" w14:paraId="5ED2C436" w14:textId="77777777" w:rsidTr="00836669">
        <w:trPr>
          <w:trHeight w:val="558"/>
        </w:trPr>
        <w:tc>
          <w:tcPr>
            <w:tcW w:w="3936" w:type="dxa"/>
            <w:tcBorders>
              <w:top w:val="nil"/>
              <w:left w:val="nil"/>
              <w:bottom w:val="nil"/>
              <w:right w:val="nil"/>
            </w:tcBorders>
            <w:shd w:val="clear" w:color="auto" w:fill="auto"/>
            <w:vAlign w:val="center"/>
            <w:hideMark/>
          </w:tcPr>
          <w:p w14:paraId="0CF3EA1C" w14:textId="77777777" w:rsidR="00B836B4" w:rsidRPr="002F0A15" w:rsidRDefault="00B836B4" w:rsidP="00B836B4">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w:t>
            </w:r>
            <w:proofErr w:type="spellEnd"/>
            <w:r w:rsidRPr="002F0A15">
              <w:rPr>
                <w:rFonts w:eastAsia="Times New Roman"/>
                <w:b/>
                <w:bCs/>
                <w:color w:val="000000"/>
                <w:sz w:val="20"/>
                <w:szCs w:val="20"/>
                <w:lang w:val="en-US"/>
              </w:rPr>
              <w:t xml:space="preserve"> (base case: informal wage worker)</w:t>
            </w:r>
          </w:p>
        </w:tc>
        <w:tc>
          <w:tcPr>
            <w:tcW w:w="965" w:type="dxa"/>
            <w:tcBorders>
              <w:top w:val="nil"/>
              <w:left w:val="nil"/>
              <w:bottom w:val="nil"/>
              <w:right w:val="nil"/>
            </w:tcBorders>
            <w:shd w:val="clear" w:color="auto" w:fill="auto"/>
            <w:noWrap/>
            <w:hideMark/>
          </w:tcPr>
          <w:p w14:paraId="0468E614" w14:textId="77777777" w:rsidR="00B836B4" w:rsidRPr="002F0A15" w:rsidRDefault="00B836B4" w:rsidP="00B836B4">
            <w:pPr>
              <w:spacing w:after="0"/>
              <w:jc w:val="center"/>
              <w:rPr>
                <w:rFonts w:eastAsia="Times New Roman"/>
                <w:b/>
                <w:bCs/>
                <w:color w:val="000000"/>
                <w:sz w:val="20"/>
                <w:szCs w:val="20"/>
                <w:lang w:val="en-US"/>
              </w:rPr>
            </w:pPr>
          </w:p>
        </w:tc>
        <w:tc>
          <w:tcPr>
            <w:tcW w:w="865" w:type="dxa"/>
            <w:tcBorders>
              <w:top w:val="nil"/>
              <w:left w:val="nil"/>
              <w:bottom w:val="nil"/>
              <w:right w:val="nil"/>
            </w:tcBorders>
            <w:shd w:val="clear" w:color="auto" w:fill="auto"/>
            <w:noWrap/>
            <w:hideMark/>
          </w:tcPr>
          <w:p w14:paraId="474F3FB1"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841" w:type="dxa"/>
            <w:tcBorders>
              <w:top w:val="nil"/>
              <w:left w:val="nil"/>
              <w:bottom w:val="nil"/>
              <w:right w:val="nil"/>
            </w:tcBorders>
            <w:shd w:val="clear" w:color="auto" w:fill="auto"/>
            <w:noWrap/>
            <w:hideMark/>
          </w:tcPr>
          <w:p w14:paraId="464B4C81"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51C2DD95"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660" w:type="dxa"/>
            <w:tcBorders>
              <w:top w:val="nil"/>
              <w:left w:val="nil"/>
              <w:bottom w:val="nil"/>
              <w:right w:val="nil"/>
            </w:tcBorders>
            <w:shd w:val="clear" w:color="auto" w:fill="auto"/>
            <w:noWrap/>
            <w:hideMark/>
          </w:tcPr>
          <w:p w14:paraId="3BBB8C79"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c>
          <w:tcPr>
            <w:tcW w:w="1045" w:type="dxa"/>
            <w:tcBorders>
              <w:top w:val="nil"/>
              <w:left w:val="nil"/>
              <w:bottom w:val="nil"/>
              <w:right w:val="nil"/>
            </w:tcBorders>
            <w:shd w:val="clear" w:color="auto" w:fill="auto"/>
            <w:noWrap/>
            <w:hideMark/>
          </w:tcPr>
          <w:p w14:paraId="2508D4A7" w14:textId="77777777" w:rsidR="00B836B4" w:rsidRPr="002F0A15" w:rsidRDefault="00B836B4" w:rsidP="00B836B4">
            <w:pPr>
              <w:spacing w:after="0"/>
              <w:jc w:val="center"/>
              <w:rPr>
                <w:rFonts w:ascii="Times New Roman" w:eastAsia="Times New Roman" w:hAnsi="Times New Roman" w:cs="Times New Roman"/>
                <w:sz w:val="20"/>
                <w:szCs w:val="20"/>
                <w:lang w:val="en-US"/>
              </w:rPr>
            </w:pPr>
          </w:p>
        </w:tc>
      </w:tr>
      <w:tr w:rsidR="00B836B4" w:rsidRPr="00124C67" w14:paraId="2C4B0710" w14:textId="77777777" w:rsidTr="00836669">
        <w:trPr>
          <w:trHeight w:val="279"/>
        </w:trPr>
        <w:tc>
          <w:tcPr>
            <w:tcW w:w="3936" w:type="dxa"/>
            <w:tcBorders>
              <w:top w:val="nil"/>
              <w:left w:val="nil"/>
              <w:bottom w:val="nil"/>
              <w:right w:val="nil"/>
            </w:tcBorders>
            <w:shd w:val="clear" w:color="auto" w:fill="auto"/>
            <w:noWrap/>
            <w:vAlign w:val="center"/>
            <w:hideMark/>
          </w:tcPr>
          <w:p w14:paraId="56BE38A3" w14:textId="77777777" w:rsidR="00B836B4" w:rsidRPr="002F0A15" w:rsidRDefault="00B836B4" w:rsidP="00B836B4">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5A8FAA11" w14:textId="7E09BD25" w:rsidR="00B836B4" w:rsidRPr="002F0A15" w:rsidRDefault="00B836B4" w:rsidP="00B836B4">
            <w:pPr>
              <w:spacing w:after="0"/>
              <w:jc w:val="center"/>
              <w:rPr>
                <w:rFonts w:eastAsia="Times New Roman"/>
                <w:color w:val="000000"/>
                <w:sz w:val="20"/>
                <w:szCs w:val="20"/>
                <w:lang w:val="es-AR"/>
              </w:rPr>
            </w:pPr>
            <w:r w:rsidRPr="003950B9">
              <w:t>0.02</w:t>
            </w:r>
          </w:p>
        </w:tc>
        <w:tc>
          <w:tcPr>
            <w:tcW w:w="865" w:type="dxa"/>
            <w:tcBorders>
              <w:top w:val="nil"/>
              <w:left w:val="nil"/>
              <w:bottom w:val="nil"/>
              <w:right w:val="nil"/>
            </w:tcBorders>
            <w:shd w:val="clear" w:color="auto" w:fill="auto"/>
            <w:noWrap/>
            <w:hideMark/>
          </w:tcPr>
          <w:p w14:paraId="547C3ABF" w14:textId="5BA10507" w:rsidR="00B836B4" w:rsidRPr="002F0A15" w:rsidRDefault="00B836B4" w:rsidP="00B836B4">
            <w:pPr>
              <w:spacing w:after="0"/>
              <w:jc w:val="center"/>
              <w:rPr>
                <w:rFonts w:eastAsia="Times New Roman"/>
                <w:color w:val="000000"/>
                <w:sz w:val="20"/>
                <w:szCs w:val="20"/>
                <w:lang w:val="es-AR"/>
              </w:rPr>
            </w:pPr>
            <w:r w:rsidRPr="003950B9">
              <w:t>0.02</w:t>
            </w:r>
          </w:p>
        </w:tc>
        <w:tc>
          <w:tcPr>
            <w:tcW w:w="841" w:type="dxa"/>
            <w:tcBorders>
              <w:top w:val="nil"/>
              <w:left w:val="nil"/>
              <w:bottom w:val="nil"/>
              <w:right w:val="nil"/>
            </w:tcBorders>
            <w:shd w:val="clear" w:color="auto" w:fill="auto"/>
            <w:noWrap/>
            <w:hideMark/>
          </w:tcPr>
          <w:p w14:paraId="3CE692CB" w14:textId="0EEAFF70" w:rsidR="00B836B4" w:rsidRPr="002F0A15" w:rsidRDefault="00B836B4" w:rsidP="00B836B4">
            <w:pPr>
              <w:spacing w:after="0"/>
              <w:jc w:val="center"/>
              <w:rPr>
                <w:rFonts w:eastAsia="Times New Roman"/>
                <w:color w:val="000000"/>
                <w:sz w:val="20"/>
                <w:szCs w:val="20"/>
                <w:lang w:val="es-AR"/>
              </w:rPr>
            </w:pPr>
            <w:r w:rsidRPr="003950B9">
              <w:t>1.38</w:t>
            </w:r>
          </w:p>
        </w:tc>
        <w:tc>
          <w:tcPr>
            <w:tcW w:w="660" w:type="dxa"/>
            <w:tcBorders>
              <w:top w:val="nil"/>
              <w:left w:val="nil"/>
              <w:bottom w:val="nil"/>
              <w:right w:val="nil"/>
            </w:tcBorders>
            <w:shd w:val="clear" w:color="auto" w:fill="auto"/>
            <w:noWrap/>
            <w:hideMark/>
          </w:tcPr>
          <w:p w14:paraId="749A54AD" w14:textId="4B273DBB" w:rsidR="00B836B4" w:rsidRPr="002F0A15" w:rsidRDefault="00B836B4" w:rsidP="00B836B4">
            <w:pPr>
              <w:spacing w:after="0"/>
              <w:jc w:val="center"/>
              <w:rPr>
                <w:rFonts w:eastAsia="Times New Roman"/>
                <w:color w:val="000000"/>
                <w:sz w:val="20"/>
                <w:szCs w:val="20"/>
                <w:lang w:val="es-AR"/>
              </w:rPr>
            </w:pPr>
            <w:r w:rsidRPr="003950B9">
              <w:t>0.17</w:t>
            </w:r>
          </w:p>
        </w:tc>
        <w:tc>
          <w:tcPr>
            <w:tcW w:w="660" w:type="dxa"/>
            <w:tcBorders>
              <w:top w:val="nil"/>
              <w:left w:val="nil"/>
              <w:bottom w:val="nil"/>
              <w:right w:val="nil"/>
            </w:tcBorders>
            <w:shd w:val="clear" w:color="auto" w:fill="auto"/>
            <w:noWrap/>
            <w:hideMark/>
          </w:tcPr>
          <w:p w14:paraId="5FAF765E" w14:textId="07E3FADF" w:rsidR="00B836B4" w:rsidRPr="002F0A15" w:rsidRDefault="00B836B4" w:rsidP="00B836B4">
            <w:pPr>
              <w:spacing w:after="0"/>
              <w:jc w:val="center"/>
              <w:rPr>
                <w:rFonts w:eastAsia="Times New Roman"/>
                <w:color w:val="000000"/>
                <w:sz w:val="20"/>
                <w:szCs w:val="20"/>
                <w:lang w:val="es-AR"/>
              </w:rPr>
            </w:pPr>
            <w:r w:rsidRPr="003950B9">
              <w:t>0.00</w:t>
            </w:r>
          </w:p>
        </w:tc>
        <w:tc>
          <w:tcPr>
            <w:tcW w:w="1045" w:type="dxa"/>
            <w:tcBorders>
              <w:top w:val="nil"/>
              <w:left w:val="nil"/>
              <w:bottom w:val="nil"/>
              <w:right w:val="nil"/>
            </w:tcBorders>
            <w:shd w:val="clear" w:color="auto" w:fill="auto"/>
            <w:noWrap/>
            <w:hideMark/>
          </w:tcPr>
          <w:p w14:paraId="695CE85C" w14:textId="5B50184C" w:rsidR="00B836B4" w:rsidRPr="002F0A15" w:rsidRDefault="00B836B4" w:rsidP="00B836B4">
            <w:pPr>
              <w:spacing w:after="0"/>
              <w:jc w:val="center"/>
              <w:rPr>
                <w:rFonts w:eastAsia="Times New Roman"/>
                <w:color w:val="000000"/>
                <w:sz w:val="20"/>
                <w:szCs w:val="20"/>
                <w:lang w:val="es-AR"/>
              </w:rPr>
            </w:pPr>
            <w:r w:rsidRPr="003950B9">
              <w:t>0.05</w:t>
            </w:r>
          </w:p>
        </w:tc>
      </w:tr>
      <w:tr w:rsidR="00B836B4" w:rsidRPr="00124C67" w14:paraId="3595488E" w14:textId="77777777" w:rsidTr="00836669">
        <w:trPr>
          <w:trHeight w:val="279"/>
        </w:trPr>
        <w:tc>
          <w:tcPr>
            <w:tcW w:w="3936" w:type="dxa"/>
            <w:tcBorders>
              <w:top w:val="nil"/>
              <w:left w:val="nil"/>
              <w:bottom w:val="nil"/>
              <w:right w:val="nil"/>
            </w:tcBorders>
            <w:shd w:val="clear" w:color="auto" w:fill="auto"/>
            <w:noWrap/>
            <w:vAlign w:val="center"/>
            <w:hideMark/>
          </w:tcPr>
          <w:p w14:paraId="555AAB08" w14:textId="77777777" w:rsidR="00B836B4" w:rsidRPr="002F0A15" w:rsidRDefault="00B836B4" w:rsidP="00B836B4">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965" w:type="dxa"/>
            <w:tcBorders>
              <w:top w:val="nil"/>
              <w:left w:val="nil"/>
              <w:bottom w:val="nil"/>
              <w:right w:val="nil"/>
            </w:tcBorders>
            <w:shd w:val="clear" w:color="auto" w:fill="auto"/>
            <w:noWrap/>
            <w:hideMark/>
          </w:tcPr>
          <w:p w14:paraId="126030EB" w14:textId="47A92D8B" w:rsidR="00B836B4" w:rsidRPr="002F0A15" w:rsidRDefault="00B836B4" w:rsidP="00B836B4">
            <w:pPr>
              <w:spacing w:after="0"/>
              <w:jc w:val="center"/>
              <w:rPr>
                <w:rFonts w:eastAsia="Times New Roman"/>
                <w:color w:val="000000"/>
                <w:sz w:val="20"/>
                <w:szCs w:val="20"/>
                <w:lang w:val="es-AR"/>
              </w:rPr>
            </w:pPr>
            <w:r w:rsidRPr="003950B9">
              <w:t>-0.01</w:t>
            </w:r>
          </w:p>
        </w:tc>
        <w:tc>
          <w:tcPr>
            <w:tcW w:w="865" w:type="dxa"/>
            <w:tcBorders>
              <w:top w:val="nil"/>
              <w:left w:val="nil"/>
              <w:bottom w:val="nil"/>
              <w:right w:val="nil"/>
            </w:tcBorders>
            <w:shd w:val="clear" w:color="auto" w:fill="auto"/>
            <w:noWrap/>
            <w:hideMark/>
          </w:tcPr>
          <w:p w14:paraId="0F416723" w14:textId="34931044" w:rsidR="00B836B4" w:rsidRPr="002F0A15" w:rsidRDefault="00B836B4" w:rsidP="00B836B4">
            <w:pPr>
              <w:spacing w:after="0"/>
              <w:jc w:val="center"/>
              <w:rPr>
                <w:rFonts w:eastAsia="Times New Roman"/>
                <w:color w:val="000000"/>
                <w:sz w:val="20"/>
                <w:szCs w:val="20"/>
                <w:lang w:val="es-AR"/>
              </w:rPr>
            </w:pPr>
            <w:r w:rsidRPr="003950B9">
              <w:t>0.01</w:t>
            </w:r>
          </w:p>
        </w:tc>
        <w:tc>
          <w:tcPr>
            <w:tcW w:w="841" w:type="dxa"/>
            <w:tcBorders>
              <w:top w:val="nil"/>
              <w:left w:val="nil"/>
              <w:bottom w:val="nil"/>
              <w:right w:val="nil"/>
            </w:tcBorders>
            <w:shd w:val="clear" w:color="auto" w:fill="auto"/>
            <w:noWrap/>
            <w:hideMark/>
          </w:tcPr>
          <w:p w14:paraId="5B1E734B" w14:textId="283578D1" w:rsidR="00B836B4" w:rsidRPr="002F0A15" w:rsidRDefault="00B836B4" w:rsidP="00B836B4">
            <w:pPr>
              <w:spacing w:after="0"/>
              <w:jc w:val="center"/>
              <w:rPr>
                <w:rFonts w:eastAsia="Times New Roman"/>
                <w:color w:val="000000"/>
                <w:sz w:val="20"/>
                <w:szCs w:val="20"/>
                <w:lang w:val="es-AR"/>
              </w:rPr>
            </w:pPr>
            <w:r w:rsidRPr="003950B9">
              <w:t>-0.65</w:t>
            </w:r>
          </w:p>
        </w:tc>
        <w:tc>
          <w:tcPr>
            <w:tcW w:w="660" w:type="dxa"/>
            <w:tcBorders>
              <w:top w:val="nil"/>
              <w:left w:val="nil"/>
              <w:bottom w:val="nil"/>
              <w:right w:val="nil"/>
            </w:tcBorders>
            <w:shd w:val="clear" w:color="auto" w:fill="auto"/>
            <w:noWrap/>
            <w:hideMark/>
          </w:tcPr>
          <w:p w14:paraId="3A39EC52" w14:textId="1970874E" w:rsidR="00B836B4" w:rsidRPr="002F0A15" w:rsidRDefault="00B836B4" w:rsidP="00B836B4">
            <w:pPr>
              <w:spacing w:after="0"/>
              <w:jc w:val="center"/>
              <w:rPr>
                <w:rFonts w:eastAsia="Times New Roman"/>
                <w:color w:val="000000"/>
                <w:sz w:val="20"/>
                <w:szCs w:val="20"/>
                <w:lang w:val="es-AR"/>
              </w:rPr>
            </w:pPr>
            <w:r w:rsidRPr="003950B9">
              <w:t>0.52</w:t>
            </w:r>
          </w:p>
        </w:tc>
        <w:tc>
          <w:tcPr>
            <w:tcW w:w="660" w:type="dxa"/>
            <w:tcBorders>
              <w:top w:val="nil"/>
              <w:left w:val="nil"/>
              <w:bottom w:val="nil"/>
              <w:right w:val="nil"/>
            </w:tcBorders>
            <w:shd w:val="clear" w:color="auto" w:fill="auto"/>
            <w:noWrap/>
            <w:hideMark/>
          </w:tcPr>
          <w:p w14:paraId="5B2BEB17" w14:textId="58460D28" w:rsidR="00B836B4" w:rsidRPr="002F0A15" w:rsidRDefault="00B836B4" w:rsidP="00B836B4">
            <w:pPr>
              <w:spacing w:after="0"/>
              <w:jc w:val="center"/>
              <w:rPr>
                <w:rFonts w:eastAsia="Times New Roman"/>
                <w:color w:val="000000"/>
                <w:sz w:val="20"/>
                <w:szCs w:val="20"/>
                <w:lang w:val="es-AR"/>
              </w:rPr>
            </w:pPr>
            <w:r w:rsidRPr="003950B9">
              <w:t>-0.03</w:t>
            </w:r>
          </w:p>
        </w:tc>
        <w:tc>
          <w:tcPr>
            <w:tcW w:w="1045" w:type="dxa"/>
            <w:tcBorders>
              <w:top w:val="nil"/>
              <w:left w:val="nil"/>
              <w:bottom w:val="nil"/>
              <w:right w:val="nil"/>
            </w:tcBorders>
            <w:shd w:val="clear" w:color="auto" w:fill="auto"/>
            <w:noWrap/>
            <w:hideMark/>
          </w:tcPr>
          <w:p w14:paraId="3EE6C160" w14:textId="76439F31" w:rsidR="00B836B4" w:rsidRPr="002F0A15" w:rsidRDefault="00B836B4" w:rsidP="00B836B4">
            <w:pPr>
              <w:spacing w:after="0"/>
              <w:jc w:val="center"/>
              <w:rPr>
                <w:rFonts w:eastAsia="Times New Roman"/>
                <w:color w:val="000000"/>
                <w:sz w:val="20"/>
                <w:szCs w:val="20"/>
                <w:lang w:val="es-AR"/>
              </w:rPr>
            </w:pPr>
            <w:r w:rsidRPr="003950B9">
              <w:t>0.01</w:t>
            </w:r>
          </w:p>
        </w:tc>
      </w:tr>
      <w:tr w:rsidR="00B836B4" w:rsidRPr="00124C67" w14:paraId="333008D0" w14:textId="77777777" w:rsidTr="00836669">
        <w:trPr>
          <w:trHeight w:val="279"/>
        </w:trPr>
        <w:tc>
          <w:tcPr>
            <w:tcW w:w="3936" w:type="dxa"/>
            <w:tcBorders>
              <w:top w:val="single" w:sz="4" w:space="0" w:color="auto"/>
              <w:left w:val="nil"/>
              <w:bottom w:val="nil"/>
              <w:right w:val="nil"/>
            </w:tcBorders>
            <w:shd w:val="clear" w:color="auto" w:fill="auto"/>
            <w:noWrap/>
            <w:vAlign w:val="center"/>
            <w:hideMark/>
          </w:tcPr>
          <w:p w14:paraId="3B0D50C5" w14:textId="77777777" w:rsidR="00B836B4" w:rsidRPr="002F0A15" w:rsidRDefault="00B836B4" w:rsidP="00B836B4">
            <w:pPr>
              <w:spacing w:after="0"/>
              <w:jc w:val="left"/>
              <w:rPr>
                <w:rFonts w:eastAsia="Times New Roman"/>
                <w:color w:val="000000"/>
                <w:sz w:val="20"/>
                <w:szCs w:val="20"/>
                <w:lang w:val="es-AR"/>
              </w:rPr>
            </w:pPr>
            <w:r w:rsidRPr="002F0A15">
              <w:rPr>
                <w:rFonts w:eastAsia="Times New Roman"/>
                <w:color w:val="000000"/>
                <w:sz w:val="20"/>
                <w:szCs w:val="20"/>
                <w:lang w:val="es-AR"/>
              </w:rPr>
              <w:t>R2</w:t>
            </w:r>
          </w:p>
        </w:tc>
        <w:tc>
          <w:tcPr>
            <w:tcW w:w="965" w:type="dxa"/>
            <w:tcBorders>
              <w:top w:val="single" w:sz="4" w:space="0" w:color="auto"/>
              <w:left w:val="nil"/>
              <w:bottom w:val="nil"/>
              <w:right w:val="nil"/>
            </w:tcBorders>
            <w:shd w:val="clear" w:color="auto" w:fill="auto"/>
            <w:noWrap/>
            <w:hideMark/>
          </w:tcPr>
          <w:p w14:paraId="08E05F99" w14:textId="5B109452" w:rsidR="00B836B4" w:rsidRPr="002F0A15" w:rsidRDefault="00B836B4" w:rsidP="00B836B4">
            <w:pPr>
              <w:spacing w:after="0"/>
              <w:jc w:val="center"/>
              <w:rPr>
                <w:rFonts w:eastAsia="Times New Roman"/>
                <w:color w:val="000000"/>
                <w:sz w:val="20"/>
                <w:szCs w:val="20"/>
                <w:lang w:val="es-AR"/>
              </w:rPr>
            </w:pPr>
            <w:r w:rsidRPr="003950B9">
              <w:t>0.03</w:t>
            </w:r>
          </w:p>
        </w:tc>
        <w:tc>
          <w:tcPr>
            <w:tcW w:w="865" w:type="dxa"/>
            <w:tcBorders>
              <w:top w:val="single" w:sz="4" w:space="0" w:color="auto"/>
              <w:left w:val="nil"/>
              <w:bottom w:val="nil"/>
              <w:right w:val="nil"/>
            </w:tcBorders>
            <w:shd w:val="clear" w:color="auto" w:fill="auto"/>
            <w:noWrap/>
            <w:hideMark/>
          </w:tcPr>
          <w:p w14:paraId="22C035BE" w14:textId="77777777" w:rsidR="00B836B4" w:rsidRPr="002F0A15" w:rsidRDefault="00B836B4" w:rsidP="00B836B4">
            <w:pPr>
              <w:spacing w:after="0"/>
              <w:jc w:val="center"/>
              <w:rPr>
                <w:rFonts w:eastAsia="Times New Roman"/>
                <w:color w:val="000000"/>
                <w:sz w:val="20"/>
                <w:szCs w:val="20"/>
                <w:lang w:val="es-AR"/>
              </w:rPr>
            </w:pPr>
          </w:p>
        </w:tc>
        <w:tc>
          <w:tcPr>
            <w:tcW w:w="841" w:type="dxa"/>
            <w:tcBorders>
              <w:top w:val="single" w:sz="4" w:space="0" w:color="auto"/>
              <w:left w:val="nil"/>
              <w:bottom w:val="nil"/>
              <w:right w:val="nil"/>
            </w:tcBorders>
            <w:shd w:val="clear" w:color="auto" w:fill="auto"/>
            <w:noWrap/>
            <w:hideMark/>
          </w:tcPr>
          <w:p w14:paraId="42DA869A" w14:textId="77777777" w:rsidR="00B836B4" w:rsidRPr="002F0A15" w:rsidRDefault="00B836B4" w:rsidP="00B836B4">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hideMark/>
          </w:tcPr>
          <w:p w14:paraId="546A8DD9" w14:textId="77777777" w:rsidR="00B836B4" w:rsidRPr="002F0A15" w:rsidRDefault="00B836B4" w:rsidP="00B836B4">
            <w:pPr>
              <w:spacing w:after="0"/>
              <w:jc w:val="center"/>
              <w:rPr>
                <w:rFonts w:eastAsia="Times New Roman"/>
                <w:color w:val="000000"/>
                <w:sz w:val="20"/>
                <w:szCs w:val="20"/>
                <w:lang w:val="es-AR"/>
              </w:rPr>
            </w:pPr>
          </w:p>
        </w:tc>
        <w:tc>
          <w:tcPr>
            <w:tcW w:w="660" w:type="dxa"/>
            <w:tcBorders>
              <w:top w:val="single" w:sz="4" w:space="0" w:color="auto"/>
              <w:left w:val="nil"/>
              <w:bottom w:val="nil"/>
              <w:right w:val="nil"/>
            </w:tcBorders>
            <w:shd w:val="clear" w:color="auto" w:fill="auto"/>
            <w:noWrap/>
            <w:hideMark/>
          </w:tcPr>
          <w:p w14:paraId="16D097C0" w14:textId="77777777" w:rsidR="00B836B4" w:rsidRPr="002F0A15" w:rsidRDefault="00B836B4" w:rsidP="00B836B4">
            <w:pPr>
              <w:spacing w:after="0"/>
              <w:jc w:val="center"/>
              <w:rPr>
                <w:rFonts w:eastAsia="Times New Roman"/>
                <w:color w:val="000000"/>
                <w:sz w:val="20"/>
                <w:szCs w:val="20"/>
                <w:lang w:val="es-AR"/>
              </w:rPr>
            </w:pPr>
          </w:p>
        </w:tc>
        <w:tc>
          <w:tcPr>
            <w:tcW w:w="1045" w:type="dxa"/>
            <w:tcBorders>
              <w:top w:val="single" w:sz="4" w:space="0" w:color="auto"/>
              <w:left w:val="nil"/>
              <w:bottom w:val="nil"/>
              <w:right w:val="nil"/>
            </w:tcBorders>
            <w:shd w:val="clear" w:color="auto" w:fill="auto"/>
            <w:noWrap/>
            <w:hideMark/>
          </w:tcPr>
          <w:p w14:paraId="5B5A5307" w14:textId="77777777" w:rsidR="00B836B4" w:rsidRPr="002F0A15" w:rsidRDefault="00B836B4" w:rsidP="00B836B4">
            <w:pPr>
              <w:spacing w:after="0"/>
              <w:jc w:val="center"/>
              <w:rPr>
                <w:rFonts w:eastAsia="Times New Roman"/>
                <w:color w:val="000000"/>
                <w:sz w:val="20"/>
                <w:szCs w:val="20"/>
                <w:lang w:val="es-AR"/>
              </w:rPr>
            </w:pPr>
          </w:p>
        </w:tc>
      </w:tr>
      <w:tr w:rsidR="00B836B4" w:rsidRPr="00124C67" w14:paraId="617D1D76" w14:textId="77777777" w:rsidTr="00836669">
        <w:trPr>
          <w:trHeight w:val="279"/>
        </w:trPr>
        <w:tc>
          <w:tcPr>
            <w:tcW w:w="3936" w:type="dxa"/>
            <w:tcBorders>
              <w:top w:val="nil"/>
              <w:left w:val="nil"/>
              <w:bottom w:val="single" w:sz="4" w:space="0" w:color="auto"/>
              <w:right w:val="nil"/>
            </w:tcBorders>
            <w:shd w:val="clear" w:color="auto" w:fill="auto"/>
            <w:noWrap/>
            <w:vAlign w:val="center"/>
            <w:hideMark/>
          </w:tcPr>
          <w:p w14:paraId="54CEE229" w14:textId="77777777" w:rsidR="00B836B4" w:rsidRPr="002F0A15" w:rsidRDefault="00B836B4" w:rsidP="00B836B4">
            <w:pPr>
              <w:spacing w:after="0"/>
              <w:jc w:val="left"/>
              <w:rPr>
                <w:rFonts w:eastAsia="Times New Roman"/>
                <w:color w:val="000000"/>
                <w:sz w:val="20"/>
                <w:szCs w:val="20"/>
                <w:lang w:val="es-AR"/>
              </w:rPr>
            </w:pPr>
            <w:r w:rsidRPr="002F0A15">
              <w:rPr>
                <w:rFonts w:eastAsia="Times New Roman"/>
                <w:color w:val="000000"/>
                <w:sz w:val="20"/>
                <w:szCs w:val="20"/>
                <w:lang w:val="es-AR"/>
              </w:rPr>
              <w:t>n</w:t>
            </w:r>
          </w:p>
        </w:tc>
        <w:tc>
          <w:tcPr>
            <w:tcW w:w="965" w:type="dxa"/>
            <w:tcBorders>
              <w:top w:val="nil"/>
              <w:left w:val="nil"/>
              <w:bottom w:val="single" w:sz="4" w:space="0" w:color="auto"/>
              <w:right w:val="nil"/>
            </w:tcBorders>
            <w:shd w:val="clear" w:color="auto" w:fill="auto"/>
            <w:noWrap/>
            <w:hideMark/>
          </w:tcPr>
          <w:p w14:paraId="1FC72D7E" w14:textId="33F50B40" w:rsidR="00B836B4" w:rsidRPr="002F0A15" w:rsidRDefault="00B836B4" w:rsidP="00B836B4">
            <w:pPr>
              <w:spacing w:after="0"/>
              <w:jc w:val="center"/>
              <w:rPr>
                <w:rFonts w:eastAsia="Times New Roman"/>
                <w:color w:val="000000"/>
                <w:sz w:val="20"/>
                <w:szCs w:val="20"/>
                <w:lang w:val="es-AR"/>
              </w:rPr>
            </w:pPr>
            <w:r w:rsidRPr="003950B9">
              <w:t>2272</w:t>
            </w:r>
          </w:p>
        </w:tc>
        <w:tc>
          <w:tcPr>
            <w:tcW w:w="865" w:type="dxa"/>
            <w:tcBorders>
              <w:top w:val="nil"/>
              <w:left w:val="nil"/>
              <w:bottom w:val="single" w:sz="4" w:space="0" w:color="auto"/>
              <w:right w:val="nil"/>
            </w:tcBorders>
            <w:shd w:val="clear" w:color="auto" w:fill="auto"/>
            <w:noWrap/>
            <w:hideMark/>
          </w:tcPr>
          <w:p w14:paraId="3728F225" w14:textId="77777777" w:rsidR="00B836B4" w:rsidRPr="002F0A15" w:rsidRDefault="00B836B4" w:rsidP="00B836B4">
            <w:pPr>
              <w:spacing w:after="0"/>
              <w:jc w:val="center"/>
              <w:rPr>
                <w:rFonts w:eastAsia="Times New Roman"/>
                <w:color w:val="000000"/>
                <w:sz w:val="20"/>
                <w:szCs w:val="20"/>
                <w:lang w:val="es-AR"/>
              </w:rPr>
            </w:pPr>
          </w:p>
        </w:tc>
        <w:tc>
          <w:tcPr>
            <w:tcW w:w="841" w:type="dxa"/>
            <w:tcBorders>
              <w:top w:val="nil"/>
              <w:left w:val="nil"/>
              <w:bottom w:val="single" w:sz="4" w:space="0" w:color="auto"/>
              <w:right w:val="nil"/>
            </w:tcBorders>
            <w:shd w:val="clear" w:color="auto" w:fill="auto"/>
            <w:noWrap/>
            <w:hideMark/>
          </w:tcPr>
          <w:p w14:paraId="38DE5833" w14:textId="77777777" w:rsidR="00B836B4" w:rsidRPr="002F0A15" w:rsidRDefault="00B836B4" w:rsidP="00B836B4">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hideMark/>
          </w:tcPr>
          <w:p w14:paraId="44EA5F70" w14:textId="77777777" w:rsidR="00B836B4" w:rsidRPr="002F0A15" w:rsidRDefault="00B836B4" w:rsidP="00B836B4">
            <w:pPr>
              <w:spacing w:after="0"/>
              <w:jc w:val="center"/>
              <w:rPr>
                <w:rFonts w:eastAsia="Times New Roman"/>
                <w:color w:val="000000"/>
                <w:sz w:val="20"/>
                <w:szCs w:val="20"/>
                <w:lang w:val="es-AR"/>
              </w:rPr>
            </w:pPr>
          </w:p>
        </w:tc>
        <w:tc>
          <w:tcPr>
            <w:tcW w:w="660" w:type="dxa"/>
            <w:tcBorders>
              <w:top w:val="nil"/>
              <w:left w:val="nil"/>
              <w:bottom w:val="single" w:sz="4" w:space="0" w:color="auto"/>
              <w:right w:val="nil"/>
            </w:tcBorders>
            <w:shd w:val="clear" w:color="auto" w:fill="auto"/>
            <w:noWrap/>
            <w:hideMark/>
          </w:tcPr>
          <w:p w14:paraId="6E5C2D64" w14:textId="77777777" w:rsidR="00B836B4" w:rsidRPr="002F0A15" w:rsidRDefault="00B836B4" w:rsidP="00B836B4">
            <w:pPr>
              <w:spacing w:after="0"/>
              <w:jc w:val="center"/>
              <w:rPr>
                <w:rFonts w:eastAsia="Times New Roman"/>
                <w:color w:val="000000"/>
                <w:sz w:val="20"/>
                <w:szCs w:val="20"/>
                <w:lang w:val="es-AR"/>
              </w:rPr>
            </w:pPr>
          </w:p>
        </w:tc>
        <w:tc>
          <w:tcPr>
            <w:tcW w:w="1045" w:type="dxa"/>
            <w:tcBorders>
              <w:top w:val="nil"/>
              <w:left w:val="nil"/>
              <w:bottom w:val="single" w:sz="4" w:space="0" w:color="auto"/>
              <w:right w:val="nil"/>
            </w:tcBorders>
            <w:shd w:val="clear" w:color="auto" w:fill="auto"/>
            <w:noWrap/>
            <w:hideMark/>
          </w:tcPr>
          <w:p w14:paraId="61465022" w14:textId="77777777" w:rsidR="00B836B4" w:rsidRPr="002F0A15" w:rsidRDefault="00B836B4" w:rsidP="00B836B4">
            <w:pPr>
              <w:spacing w:after="0"/>
              <w:jc w:val="center"/>
              <w:rPr>
                <w:rFonts w:eastAsia="Times New Roman"/>
                <w:color w:val="000000"/>
                <w:sz w:val="20"/>
                <w:szCs w:val="20"/>
                <w:lang w:val="es-AR"/>
              </w:rPr>
            </w:pPr>
          </w:p>
        </w:tc>
      </w:tr>
    </w:tbl>
    <w:p w14:paraId="744668DF" w14:textId="37810029" w:rsidR="00DE4321" w:rsidRDefault="00E04F5C" w:rsidP="00DE4321">
      <w:pPr>
        <w:pBdr>
          <w:top w:val="nil"/>
          <w:left w:val="nil"/>
          <w:bottom w:val="nil"/>
          <w:right w:val="nil"/>
          <w:between w:val="nil"/>
        </w:pBdr>
        <w:spacing w:after="0"/>
        <w:rPr>
          <w:lang w:val="en-US"/>
        </w:rPr>
      </w:pPr>
      <w:r w:rsidRPr="007D3DD1">
        <w:rPr>
          <w:b/>
          <w:bCs/>
          <w:lang w:val="en"/>
        </w:rPr>
        <w:t xml:space="preserve">Table </w:t>
      </w:r>
      <w:r>
        <w:rPr>
          <w:b/>
          <w:bCs/>
          <w:lang w:val="en"/>
        </w:rPr>
        <w:t>A2.7</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p value less than 5%, *** p value less than 1%.</w:t>
      </w:r>
      <w:r w:rsidR="00DE4321" w:rsidRPr="00DE4321">
        <w:rPr>
          <w:lang w:val="en-US"/>
        </w:rPr>
        <w:t xml:space="preserve"> </w:t>
      </w:r>
      <w:r w:rsidR="00DE4321">
        <w:rPr>
          <w:lang w:val="en-US"/>
        </w:rPr>
        <w:t>Industry and occupation similarity have been build based on all job transitions. The sample in this regression comprises all the job-to-job transitions that include a period of unemployment.</w:t>
      </w:r>
    </w:p>
    <w:p w14:paraId="17E03467" w14:textId="4C3224C1" w:rsidR="00E04F5C" w:rsidRPr="00546537" w:rsidRDefault="00E04F5C" w:rsidP="00E04F5C">
      <w:pPr>
        <w:pBdr>
          <w:top w:val="nil"/>
          <w:left w:val="nil"/>
          <w:bottom w:val="nil"/>
          <w:right w:val="nil"/>
          <w:between w:val="nil"/>
        </w:pBdr>
        <w:spacing w:after="0"/>
        <w:rPr>
          <w:lang w:val="en-US"/>
        </w:rPr>
      </w:pPr>
    </w:p>
    <w:p w14:paraId="0F47028D" w14:textId="77777777" w:rsidR="00E04F5C" w:rsidRDefault="00E04F5C" w:rsidP="00E04F5C">
      <w:pPr>
        <w:rPr>
          <w:lang w:val="en-US"/>
        </w:rPr>
      </w:pPr>
    </w:p>
    <w:tbl>
      <w:tblPr>
        <w:tblW w:w="8949" w:type="dxa"/>
        <w:tblCellMar>
          <w:left w:w="70" w:type="dxa"/>
          <w:right w:w="70" w:type="dxa"/>
        </w:tblCellMar>
        <w:tblLook w:val="04A0" w:firstRow="1" w:lastRow="0" w:firstColumn="1" w:lastColumn="0" w:noHBand="0" w:noVBand="1"/>
      </w:tblPr>
      <w:tblGrid>
        <w:gridCol w:w="3696"/>
        <w:gridCol w:w="1192"/>
        <w:gridCol w:w="863"/>
        <w:gridCol w:w="839"/>
        <w:gridCol w:w="658"/>
        <w:gridCol w:w="658"/>
        <w:gridCol w:w="1043"/>
      </w:tblGrid>
      <w:tr w:rsidR="00E04F5C" w:rsidRPr="00124C67" w14:paraId="24AF56EC" w14:textId="77777777" w:rsidTr="00836669">
        <w:trPr>
          <w:trHeight w:val="268"/>
        </w:trPr>
        <w:tc>
          <w:tcPr>
            <w:tcW w:w="3696" w:type="dxa"/>
            <w:tcBorders>
              <w:top w:val="single" w:sz="4" w:space="0" w:color="auto"/>
              <w:left w:val="nil"/>
              <w:bottom w:val="single" w:sz="4" w:space="0" w:color="auto"/>
              <w:right w:val="nil"/>
            </w:tcBorders>
            <w:shd w:val="clear" w:color="auto" w:fill="auto"/>
            <w:noWrap/>
            <w:vAlign w:val="center"/>
            <w:hideMark/>
          </w:tcPr>
          <w:p w14:paraId="3239985E" w14:textId="77777777" w:rsidR="00E04F5C" w:rsidRPr="002F0A15" w:rsidRDefault="00E04F5C" w:rsidP="00836669">
            <w:pPr>
              <w:spacing w:after="0"/>
              <w:rPr>
                <w:rFonts w:eastAsia="Times New Roman"/>
                <w:color w:val="000000"/>
                <w:sz w:val="20"/>
                <w:szCs w:val="20"/>
                <w:lang w:val="es-AR"/>
              </w:rPr>
            </w:pPr>
            <w:proofErr w:type="spellStart"/>
            <w:r w:rsidRPr="002F0A15">
              <w:rPr>
                <w:rFonts w:eastAsia="Times New Roman"/>
                <w:color w:val="000000"/>
                <w:sz w:val="20"/>
                <w:szCs w:val="20"/>
                <w:lang w:val="es-AR"/>
              </w:rPr>
              <w:t>Dep</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var</w:t>
            </w:r>
            <w:proofErr w:type="spellEnd"/>
          </w:p>
          <w:p w14:paraId="66970A04" w14:textId="77777777" w:rsidR="00E04F5C" w:rsidRPr="002F0A15" w:rsidRDefault="00E04F5C" w:rsidP="00836669">
            <w:pPr>
              <w:spacing w:after="0"/>
              <w:rPr>
                <w:rFonts w:eastAsia="Times New Roman"/>
                <w:color w:val="000000"/>
                <w:sz w:val="20"/>
                <w:szCs w:val="20"/>
                <w:lang w:val="es-AR"/>
              </w:rPr>
            </w:pPr>
            <w:proofErr w:type="spellStart"/>
            <w:r w:rsidRPr="002F0A15">
              <w:rPr>
                <w:rFonts w:eastAsia="Times New Roman"/>
                <w:color w:val="000000"/>
                <w:sz w:val="20"/>
                <w:szCs w:val="20"/>
                <w:lang w:val="es-AR"/>
              </w:rPr>
              <w:t>QuarterlyChangeRealHourlyWage</w:t>
            </w:r>
            <w:proofErr w:type="spellEnd"/>
          </w:p>
        </w:tc>
        <w:tc>
          <w:tcPr>
            <w:tcW w:w="1192" w:type="dxa"/>
            <w:tcBorders>
              <w:top w:val="single" w:sz="4" w:space="0" w:color="auto"/>
              <w:left w:val="nil"/>
              <w:bottom w:val="single" w:sz="4" w:space="0" w:color="auto"/>
              <w:right w:val="nil"/>
            </w:tcBorders>
            <w:shd w:val="clear" w:color="auto" w:fill="auto"/>
            <w:noWrap/>
            <w:vAlign w:val="center"/>
            <w:hideMark/>
          </w:tcPr>
          <w:p w14:paraId="4B681A50"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estimate</w:t>
            </w:r>
            <w:proofErr w:type="spellEnd"/>
          </w:p>
        </w:tc>
        <w:tc>
          <w:tcPr>
            <w:tcW w:w="863" w:type="dxa"/>
            <w:tcBorders>
              <w:top w:val="single" w:sz="4" w:space="0" w:color="auto"/>
              <w:left w:val="nil"/>
              <w:bottom w:val="single" w:sz="4" w:space="0" w:color="auto"/>
              <w:right w:val="nil"/>
            </w:tcBorders>
            <w:shd w:val="clear" w:color="auto" w:fill="auto"/>
            <w:noWrap/>
            <w:vAlign w:val="center"/>
            <w:hideMark/>
          </w:tcPr>
          <w:p w14:paraId="73C64740" w14:textId="77777777" w:rsidR="00E04F5C" w:rsidRPr="002F0A15" w:rsidRDefault="00E04F5C" w:rsidP="00836669">
            <w:pPr>
              <w:spacing w:after="0"/>
              <w:jc w:val="center"/>
              <w:rPr>
                <w:rFonts w:eastAsia="Times New Roman"/>
                <w:color w:val="000000"/>
                <w:sz w:val="20"/>
                <w:szCs w:val="20"/>
                <w:lang w:val="es-AR"/>
              </w:rPr>
            </w:pPr>
            <w:proofErr w:type="spellStart"/>
            <w:proofErr w:type="gramStart"/>
            <w:r w:rsidRPr="002F0A15">
              <w:rPr>
                <w:rFonts w:eastAsia="Times New Roman"/>
                <w:color w:val="000000"/>
                <w:sz w:val="20"/>
                <w:szCs w:val="20"/>
                <w:lang w:val="es-AR"/>
              </w:rPr>
              <w:t>std.error</w:t>
            </w:r>
            <w:proofErr w:type="spellEnd"/>
            <w:proofErr w:type="gramEnd"/>
          </w:p>
        </w:tc>
        <w:tc>
          <w:tcPr>
            <w:tcW w:w="839" w:type="dxa"/>
            <w:tcBorders>
              <w:top w:val="single" w:sz="4" w:space="0" w:color="auto"/>
              <w:left w:val="nil"/>
              <w:bottom w:val="single" w:sz="4" w:space="0" w:color="auto"/>
              <w:right w:val="nil"/>
            </w:tcBorders>
            <w:shd w:val="clear" w:color="auto" w:fill="auto"/>
            <w:noWrap/>
            <w:vAlign w:val="center"/>
            <w:hideMark/>
          </w:tcPr>
          <w:p w14:paraId="18A85A70"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p.value</w:t>
            </w:r>
            <w:proofErr w:type="spellEnd"/>
          </w:p>
        </w:tc>
        <w:tc>
          <w:tcPr>
            <w:tcW w:w="658" w:type="dxa"/>
            <w:tcBorders>
              <w:top w:val="single" w:sz="4" w:space="0" w:color="auto"/>
              <w:left w:val="nil"/>
              <w:bottom w:val="single" w:sz="4" w:space="0" w:color="auto"/>
              <w:right w:val="nil"/>
            </w:tcBorders>
            <w:shd w:val="clear" w:color="auto" w:fill="auto"/>
            <w:noWrap/>
            <w:vAlign w:val="center"/>
            <w:hideMark/>
          </w:tcPr>
          <w:p w14:paraId="0DA23BA7" w14:textId="77777777" w:rsidR="00E04F5C" w:rsidRPr="002F0A15" w:rsidRDefault="00E04F5C" w:rsidP="00836669">
            <w:pPr>
              <w:spacing w:after="0"/>
              <w:jc w:val="center"/>
              <w:rPr>
                <w:rFonts w:eastAsia="Times New Roman"/>
                <w:color w:val="000000"/>
                <w:sz w:val="20"/>
                <w:szCs w:val="20"/>
                <w:lang w:val="es-AR"/>
              </w:rPr>
            </w:pPr>
            <w:r w:rsidRPr="002F0A15">
              <w:rPr>
                <w:rFonts w:eastAsia="Times New Roman"/>
                <w:color w:val="000000"/>
                <w:sz w:val="20"/>
                <w:szCs w:val="20"/>
                <w:lang w:val="es-AR"/>
              </w:rPr>
              <w:t>Lb (CI 90%)</w:t>
            </w:r>
          </w:p>
        </w:tc>
        <w:tc>
          <w:tcPr>
            <w:tcW w:w="658" w:type="dxa"/>
            <w:tcBorders>
              <w:top w:val="single" w:sz="4" w:space="0" w:color="auto"/>
              <w:left w:val="nil"/>
              <w:bottom w:val="single" w:sz="4" w:space="0" w:color="auto"/>
              <w:right w:val="nil"/>
            </w:tcBorders>
            <w:shd w:val="clear" w:color="auto" w:fill="auto"/>
            <w:noWrap/>
            <w:vAlign w:val="center"/>
            <w:hideMark/>
          </w:tcPr>
          <w:p w14:paraId="23D73BA7"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Ub</w:t>
            </w:r>
            <w:proofErr w:type="spellEnd"/>
            <w:r w:rsidRPr="002F0A15">
              <w:rPr>
                <w:rFonts w:eastAsia="Times New Roman"/>
                <w:color w:val="000000"/>
                <w:sz w:val="20"/>
                <w:szCs w:val="20"/>
                <w:lang w:val="es-AR"/>
              </w:rPr>
              <w:t xml:space="preserve"> (CI 90%)</w:t>
            </w:r>
          </w:p>
        </w:tc>
        <w:tc>
          <w:tcPr>
            <w:tcW w:w="1043" w:type="dxa"/>
            <w:tcBorders>
              <w:top w:val="single" w:sz="4" w:space="0" w:color="auto"/>
              <w:left w:val="nil"/>
              <w:bottom w:val="single" w:sz="4" w:space="0" w:color="auto"/>
              <w:right w:val="nil"/>
            </w:tcBorders>
            <w:shd w:val="clear" w:color="auto" w:fill="auto"/>
            <w:noWrap/>
            <w:vAlign w:val="center"/>
            <w:hideMark/>
          </w:tcPr>
          <w:p w14:paraId="1318422C" w14:textId="77777777" w:rsidR="00E04F5C" w:rsidRPr="002F0A15" w:rsidRDefault="00E04F5C" w:rsidP="00836669">
            <w:pPr>
              <w:spacing w:after="0"/>
              <w:jc w:val="center"/>
              <w:rPr>
                <w:rFonts w:eastAsia="Times New Roman"/>
                <w:color w:val="000000"/>
                <w:sz w:val="20"/>
                <w:szCs w:val="20"/>
                <w:lang w:val="es-AR"/>
              </w:rPr>
            </w:pPr>
            <w:proofErr w:type="spellStart"/>
            <w:r w:rsidRPr="002F0A15">
              <w:rPr>
                <w:rFonts w:eastAsia="Times New Roman"/>
                <w:color w:val="000000"/>
                <w:sz w:val="20"/>
                <w:szCs w:val="20"/>
                <w:lang w:val="es-AR"/>
              </w:rPr>
              <w:t>coefPvalue</w:t>
            </w:r>
            <w:proofErr w:type="spellEnd"/>
          </w:p>
        </w:tc>
      </w:tr>
      <w:tr w:rsidR="00836669" w:rsidRPr="00124C67" w14:paraId="1040B058" w14:textId="77777777" w:rsidTr="00836669">
        <w:trPr>
          <w:trHeight w:val="268"/>
        </w:trPr>
        <w:tc>
          <w:tcPr>
            <w:tcW w:w="3696" w:type="dxa"/>
            <w:tcBorders>
              <w:top w:val="nil"/>
              <w:left w:val="nil"/>
              <w:bottom w:val="nil"/>
              <w:right w:val="nil"/>
            </w:tcBorders>
            <w:shd w:val="clear" w:color="auto" w:fill="auto"/>
            <w:noWrap/>
            <w:vAlign w:val="center"/>
            <w:hideMark/>
          </w:tcPr>
          <w:p w14:paraId="75A65367" w14:textId="77777777" w:rsidR="00836669" w:rsidRPr="002F0A15" w:rsidRDefault="00836669" w:rsidP="00836669">
            <w:pPr>
              <w:spacing w:after="0"/>
              <w:jc w:val="left"/>
              <w:rPr>
                <w:rFonts w:eastAsia="Times New Roman"/>
                <w:color w:val="000000"/>
                <w:sz w:val="20"/>
                <w:szCs w:val="20"/>
                <w:lang w:val="es-AR"/>
              </w:rPr>
            </w:pPr>
            <w:r w:rsidRPr="002F0A15">
              <w:rPr>
                <w:rFonts w:eastAsia="Times New Roman"/>
                <w:color w:val="000000"/>
                <w:sz w:val="20"/>
                <w:szCs w:val="20"/>
                <w:lang w:val="es-AR"/>
              </w:rPr>
              <w:lastRenderedPageBreak/>
              <w:t>(</w:t>
            </w:r>
            <w:proofErr w:type="spellStart"/>
            <w:r w:rsidRPr="002F0A15">
              <w:rPr>
                <w:rFonts w:eastAsia="Times New Roman"/>
                <w:color w:val="000000"/>
                <w:sz w:val="20"/>
                <w:szCs w:val="20"/>
                <w:lang w:val="es-AR"/>
              </w:rPr>
              <w:t>Intercept</w:t>
            </w:r>
            <w:proofErr w:type="spellEnd"/>
            <w:r w:rsidRPr="002F0A15">
              <w:rPr>
                <w:rFonts w:eastAsia="Times New Roman"/>
                <w:color w:val="000000"/>
                <w:sz w:val="20"/>
                <w:szCs w:val="20"/>
                <w:lang w:val="es-AR"/>
              </w:rPr>
              <w:t>)</w:t>
            </w:r>
          </w:p>
        </w:tc>
        <w:tc>
          <w:tcPr>
            <w:tcW w:w="1192" w:type="dxa"/>
            <w:tcBorders>
              <w:top w:val="nil"/>
              <w:left w:val="nil"/>
              <w:bottom w:val="nil"/>
              <w:right w:val="nil"/>
            </w:tcBorders>
            <w:shd w:val="clear" w:color="auto" w:fill="auto"/>
            <w:noWrap/>
            <w:hideMark/>
          </w:tcPr>
          <w:p w14:paraId="08DA950D" w14:textId="7FB3EB05" w:rsidR="00836669" w:rsidRPr="002F0A15" w:rsidRDefault="00836669" w:rsidP="00836669">
            <w:pPr>
              <w:spacing w:after="0"/>
              <w:jc w:val="center"/>
              <w:rPr>
                <w:rFonts w:eastAsia="Times New Roman"/>
                <w:color w:val="000000"/>
                <w:sz w:val="20"/>
                <w:szCs w:val="20"/>
                <w:lang w:val="es-AR"/>
              </w:rPr>
            </w:pPr>
            <w:r w:rsidRPr="00363281">
              <w:t>0.03</w:t>
            </w:r>
          </w:p>
        </w:tc>
        <w:tc>
          <w:tcPr>
            <w:tcW w:w="863" w:type="dxa"/>
            <w:tcBorders>
              <w:top w:val="nil"/>
              <w:left w:val="nil"/>
              <w:bottom w:val="nil"/>
              <w:right w:val="nil"/>
            </w:tcBorders>
            <w:shd w:val="clear" w:color="auto" w:fill="auto"/>
            <w:noWrap/>
            <w:hideMark/>
          </w:tcPr>
          <w:p w14:paraId="4494C64D" w14:textId="67BC0FA6" w:rsidR="00836669" w:rsidRPr="002F0A15" w:rsidRDefault="00836669" w:rsidP="00836669">
            <w:pPr>
              <w:spacing w:after="0"/>
              <w:jc w:val="center"/>
              <w:rPr>
                <w:rFonts w:eastAsia="Times New Roman"/>
                <w:color w:val="000000"/>
                <w:sz w:val="20"/>
                <w:szCs w:val="20"/>
                <w:lang w:val="es-AR"/>
              </w:rPr>
            </w:pPr>
            <w:r w:rsidRPr="00363281">
              <w:t>0.03</w:t>
            </w:r>
          </w:p>
        </w:tc>
        <w:tc>
          <w:tcPr>
            <w:tcW w:w="839" w:type="dxa"/>
            <w:tcBorders>
              <w:top w:val="nil"/>
              <w:left w:val="nil"/>
              <w:bottom w:val="nil"/>
              <w:right w:val="nil"/>
            </w:tcBorders>
            <w:shd w:val="clear" w:color="auto" w:fill="auto"/>
            <w:noWrap/>
            <w:hideMark/>
          </w:tcPr>
          <w:p w14:paraId="1A8842C1" w14:textId="0C9F104C" w:rsidR="00836669" w:rsidRPr="002F0A15" w:rsidRDefault="00836669" w:rsidP="00836669">
            <w:pPr>
              <w:spacing w:after="0"/>
              <w:jc w:val="center"/>
              <w:rPr>
                <w:rFonts w:eastAsia="Times New Roman"/>
                <w:color w:val="000000"/>
                <w:sz w:val="20"/>
                <w:szCs w:val="20"/>
                <w:lang w:val="es-AR"/>
              </w:rPr>
            </w:pPr>
            <w:r w:rsidRPr="00363281">
              <w:t>0.98</w:t>
            </w:r>
          </w:p>
        </w:tc>
        <w:tc>
          <w:tcPr>
            <w:tcW w:w="658" w:type="dxa"/>
            <w:tcBorders>
              <w:top w:val="nil"/>
              <w:left w:val="nil"/>
              <w:bottom w:val="nil"/>
              <w:right w:val="nil"/>
            </w:tcBorders>
            <w:shd w:val="clear" w:color="auto" w:fill="auto"/>
            <w:noWrap/>
            <w:hideMark/>
          </w:tcPr>
          <w:p w14:paraId="7875A43A" w14:textId="4ED11E72" w:rsidR="00836669" w:rsidRPr="002F0A15" w:rsidRDefault="00836669" w:rsidP="00836669">
            <w:pPr>
              <w:spacing w:after="0"/>
              <w:jc w:val="center"/>
              <w:rPr>
                <w:rFonts w:eastAsia="Times New Roman"/>
                <w:color w:val="000000"/>
                <w:sz w:val="20"/>
                <w:szCs w:val="20"/>
                <w:lang w:val="es-AR"/>
              </w:rPr>
            </w:pPr>
            <w:r w:rsidRPr="00363281">
              <w:t>0.33</w:t>
            </w:r>
          </w:p>
        </w:tc>
        <w:tc>
          <w:tcPr>
            <w:tcW w:w="658" w:type="dxa"/>
            <w:tcBorders>
              <w:top w:val="nil"/>
              <w:left w:val="nil"/>
              <w:bottom w:val="nil"/>
              <w:right w:val="nil"/>
            </w:tcBorders>
            <w:shd w:val="clear" w:color="auto" w:fill="auto"/>
            <w:noWrap/>
            <w:hideMark/>
          </w:tcPr>
          <w:p w14:paraId="542A352A" w14:textId="10A9AF0D" w:rsidR="00836669" w:rsidRPr="002F0A15" w:rsidRDefault="00836669" w:rsidP="00836669">
            <w:pPr>
              <w:spacing w:after="0"/>
              <w:jc w:val="center"/>
              <w:rPr>
                <w:rFonts w:eastAsia="Times New Roman"/>
                <w:color w:val="000000"/>
                <w:sz w:val="20"/>
                <w:szCs w:val="20"/>
                <w:lang w:val="es-AR"/>
              </w:rPr>
            </w:pPr>
            <w:r w:rsidRPr="00363281">
              <w:t>-0.02</w:t>
            </w:r>
          </w:p>
        </w:tc>
        <w:tc>
          <w:tcPr>
            <w:tcW w:w="1043" w:type="dxa"/>
            <w:tcBorders>
              <w:top w:val="nil"/>
              <w:left w:val="nil"/>
              <w:bottom w:val="nil"/>
              <w:right w:val="nil"/>
            </w:tcBorders>
            <w:shd w:val="clear" w:color="auto" w:fill="auto"/>
            <w:noWrap/>
            <w:hideMark/>
          </w:tcPr>
          <w:p w14:paraId="72465BE7" w14:textId="0AA8B1FC" w:rsidR="00836669" w:rsidRPr="002F0A15" w:rsidRDefault="00836669" w:rsidP="00836669">
            <w:pPr>
              <w:spacing w:after="0"/>
              <w:jc w:val="center"/>
              <w:rPr>
                <w:rFonts w:eastAsia="Times New Roman"/>
                <w:color w:val="000000"/>
                <w:sz w:val="20"/>
                <w:szCs w:val="20"/>
                <w:lang w:val="es-AR"/>
              </w:rPr>
            </w:pPr>
            <w:r w:rsidRPr="00363281">
              <w:t>0.09</w:t>
            </w:r>
          </w:p>
        </w:tc>
      </w:tr>
      <w:tr w:rsidR="00836669" w:rsidRPr="00124C67" w14:paraId="574AC012" w14:textId="77777777" w:rsidTr="00836669">
        <w:trPr>
          <w:trHeight w:val="268"/>
        </w:trPr>
        <w:tc>
          <w:tcPr>
            <w:tcW w:w="3696" w:type="dxa"/>
            <w:tcBorders>
              <w:top w:val="nil"/>
              <w:left w:val="nil"/>
              <w:bottom w:val="nil"/>
              <w:right w:val="nil"/>
            </w:tcBorders>
            <w:shd w:val="clear" w:color="auto" w:fill="auto"/>
            <w:noWrap/>
            <w:vAlign w:val="center"/>
            <w:hideMark/>
          </w:tcPr>
          <w:p w14:paraId="1CB9EA86"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RijOccupation</w:t>
            </w:r>
            <w:proofErr w:type="spellEnd"/>
          </w:p>
        </w:tc>
        <w:tc>
          <w:tcPr>
            <w:tcW w:w="1192" w:type="dxa"/>
            <w:tcBorders>
              <w:top w:val="nil"/>
              <w:left w:val="nil"/>
              <w:bottom w:val="nil"/>
              <w:right w:val="nil"/>
            </w:tcBorders>
            <w:shd w:val="clear" w:color="auto" w:fill="auto"/>
            <w:noWrap/>
            <w:hideMark/>
          </w:tcPr>
          <w:p w14:paraId="2366E641" w14:textId="72694922" w:rsidR="00836669" w:rsidRPr="002F0A15" w:rsidRDefault="00836669" w:rsidP="00836669">
            <w:pPr>
              <w:spacing w:after="0"/>
              <w:jc w:val="center"/>
              <w:rPr>
                <w:rFonts w:eastAsia="Times New Roman"/>
                <w:color w:val="000000"/>
                <w:sz w:val="20"/>
                <w:szCs w:val="20"/>
                <w:lang w:val="es-AR"/>
              </w:rPr>
            </w:pPr>
            <w:r w:rsidRPr="00363281">
              <w:t>-0.01</w:t>
            </w:r>
          </w:p>
        </w:tc>
        <w:tc>
          <w:tcPr>
            <w:tcW w:w="863" w:type="dxa"/>
            <w:tcBorders>
              <w:top w:val="nil"/>
              <w:left w:val="nil"/>
              <w:bottom w:val="nil"/>
              <w:right w:val="nil"/>
            </w:tcBorders>
            <w:shd w:val="clear" w:color="auto" w:fill="auto"/>
            <w:noWrap/>
            <w:hideMark/>
          </w:tcPr>
          <w:p w14:paraId="3D9C21B5" w14:textId="254A5421" w:rsidR="00836669" w:rsidRPr="002F0A15" w:rsidRDefault="00836669" w:rsidP="00836669">
            <w:pPr>
              <w:spacing w:after="0"/>
              <w:jc w:val="center"/>
              <w:rPr>
                <w:rFonts w:eastAsia="Times New Roman"/>
                <w:color w:val="000000"/>
                <w:sz w:val="20"/>
                <w:szCs w:val="20"/>
                <w:lang w:val="es-AR"/>
              </w:rPr>
            </w:pPr>
            <w:r w:rsidRPr="00363281">
              <w:t>0.01</w:t>
            </w:r>
          </w:p>
        </w:tc>
        <w:tc>
          <w:tcPr>
            <w:tcW w:w="839" w:type="dxa"/>
            <w:tcBorders>
              <w:top w:val="nil"/>
              <w:left w:val="nil"/>
              <w:bottom w:val="nil"/>
              <w:right w:val="nil"/>
            </w:tcBorders>
            <w:shd w:val="clear" w:color="auto" w:fill="auto"/>
            <w:noWrap/>
            <w:hideMark/>
          </w:tcPr>
          <w:p w14:paraId="29C5EB48" w14:textId="62CA2760" w:rsidR="00836669" w:rsidRPr="002F0A15" w:rsidRDefault="00836669" w:rsidP="00836669">
            <w:pPr>
              <w:spacing w:after="0"/>
              <w:jc w:val="center"/>
              <w:rPr>
                <w:rFonts w:eastAsia="Times New Roman"/>
                <w:color w:val="000000"/>
                <w:sz w:val="20"/>
                <w:szCs w:val="20"/>
                <w:lang w:val="es-AR"/>
              </w:rPr>
            </w:pPr>
            <w:r w:rsidRPr="00363281">
              <w:t>-1.27</w:t>
            </w:r>
          </w:p>
        </w:tc>
        <w:tc>
          <w:tcPr>
            <w:tcW w:w="658" w:type="dxa"/>
            <w:tcBorders>
              <w:top w:val="nil"/>
              <w:left w:val="nil"/>
              <w:bottom w:val="nil"/>
              <w:right w:val="nil"/>
            </w:tcBorders>
            <w:shd w:val="clear" w:color="auto" w:fill="auto"/>
            <w:noWrap/>
            <w:hideMark/>
          </w:tcPr>
          <w:p w14:paraId="28DFEA6C" w14:textId="68C8FA05" w:rsidR="00836669" w:rsidRPr="002F0A15" w:rsidRDefault="00836669" w:rsidP="00836669">
            <w:pPr>
              <w:spacing w:after="0"/>
              <w:jc w:val="center"/>
              <w:rPr>
                <w:rFonts w:eastAsia="Times New Roman"/>
                <w:color w:val="000000"/>
                <w:sz w:val="20"/>
                <w:szCs w:val="20"/>
                <w:lang w:val="es-AR"/>
              </w:rPr>
            </w:pPr>
            <w:r w:rsidRPr="00363281">
              <w:t>0.20</w:t>
            </w:r>
          </w:p>
        </w:tc>
        <w:tc>
          <w:tcPr>
            <w:tcW w:w="658" w:type="dxa"/>
            <w:tcBorders>
              <w:top w:val="nil"/>
              <w:left w:val="nil"/>
              <w:bottom w:val="nil"/>
              <w:right w:val="nil"/>
            </w:tcBorders>
            <w:shd w:val="clear" w:color="auto" w:fill="auto"/>
            <w:noWrap/>
            <w:hideMark/>
          </w:tcPr>
          <w:p w14:paraId="3130ECBB" w14:textId="2294F049" w:rsidR="00836669" w:rsidRPr="002F0A15" w:rsidRDefault="00836669" w:rsidP="00836669">
            <w:pPr>
              <w:spacing w:after="0"/>
              <w:jc w:val="center"/>
              <w:rPr>
                <w:rFonts w:eastAsia="Times New Roman"/>
                <w:color w:val="000000"/>
                <w:sz w:val="20"/>
                <w:szCs w:val="20"/>
                <w:lang w:val="es-AR"/>
              </w:rPr>
            </w:pPr>
            <w:r w:rsidRPr="00363281">
              <w:t>-0.02</w:t>
            </w:r>
          </w:p>
        </w:tc>
        <w:tc>
          <w:tcPr>
            <w:tcW w:w="1043" w:type="dxa"/>
            <w:tcBorders>
              <w:top w:val="nil"/>
              <w:left w:val="nil"/>
              <w:bottom w:val="nil"/>
              <w:right w:val="nil"/>
            </w:tcBorders>
            <w:shd w:val="clear" w:color="auto" w:fill="auto"/>
            <w:noWrap/>
            <w:hideMark/>
          </w:tcPr>
          <w:p w14:paraId="3CF67DF4" w14:textId="258567FD" w:rsidR="00836669" w:rsidRPr="002F0A15" w:rsidRDefault="00836669" w:rsidP="00836669">
            <w:pPr>
              <w:spacing w:after="0"/>
              <w:jc w:val="center"/>
              <w:rPr>
                <w:rFonts w:eastAsia="Times New Roman"/>
                <w:color w:val="000000"/>
                <w:sz w:val="20"/>
                <w:szCs w:val="20"/>
                <w:lang w:val="es-AR"/>
              </w:rPr>
            </w:pPr>
            <w:r w:rsidRPr="00363281">
              <w:t>0.00</w:t>
            </w:r>
          </w:p>
        </w:tc>
      </w:tr>
      <w:tr w:rsidR="00836669" w:rsidRPr="00124C67" w14:paraId="29967909" w14:textId="77777777" w:rsidTr="00836669">
        <w:trPr>
          <w:trHeight w:val="268"/>
        </w:trPr>
        <w:tc>
          <w:tcPr>
            <w:tcW w:w="3696" w:type="dxa"/>
            <w:tcBorders>
              <w:top w:val="nil"/>
              <w:left w:val="nil"/>
              <w:bottom w:val="nil"/>
              <w:right w:val="nil"/>
            </w:tcBorders>
            <w:shd w:val="clear" w:color="auto" w:fill="auto"/>
            <w:noWrap/>
            <w:vAlign w:val="center"/>
            <w:hideMark/>
          </w:tcPr>
          <w:p w14:paraId="69B768D9"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RijIndustry</w:t>
            </w:r>
            <w:proofErr w:type="spellEnd"/>
          </w:p>
        </w:tc>
        <w:tc>
          <w:tcPr>
            <w:tcW w:w="1192" w:type="dxa"/>
            <w:tcBorders>
              <w:top w:val="nil"/>
              <w:left w:val="nil"/>
              <w:bottom w:val="nil"/>
              <w:right w:val="nil"/>
            </w:tcBorders>
            <w:shd w:val="clear" w:color="auto" w:fill="auto"/>
            <w:noWrap/>
            <w:hideMark/>
          </w:tcPr>
          <w:p w14:paraId="3C3E45C4" w14:textId="4C78A56B" w:rsidR="00836669" w:rsidRPr="002F0A15" w:rsidRDefault="00836669" w:rsidP="00836669">
            <w:pPr>
              <w:spacing w:after="0"/>
              <w:jc w:val="center"/>
              <w:rPr>
                <w:rFonts w:eastAsia="Times New Roman"/>
                <w:color w:val="000000"/>
                <w:sz w:val="20"/>
                <w:szCs w:val="20"/>
                <w:lang w:val="es-AR"/>
              </w:rPr>
            </w:pPr>
            <w:r w:rsidRPr="00363281">
              <w:t>0.01</w:t>
            </w:r>
          </w:p>
        </w:tc>
        <w:tc>
          <w:tcPr>
            <w:tcW w:w="863" w:type="dxa"/>
            <w:tcBorders>
              <w:top w:val="nil"/>
              <w:left w:val="nil"/>
              <w:bottom w:val="nil"/>
              <w:right w:val="nil"/>
            </w:tcBorders>
            <w:shd w:val="clear" w:color="auto" w:fill="auto"/>
            <w:noWrap/>
            <w:hideMark/>
          </w:tcPr>
          <w:p w14:paraId="3C07507D" w14:textId="789F7D8D" w:rsidR="00836669" w:rsidRPr="002F0A15" w:rsidRDefault="00836669" w:rsidP="00836669">
            <w:pPr>
              <w:spacing w:after="0"/>
              <w:jc w:val="center"/>
              <w:rPr>
                <w:rFonts w:eastAsia="Times New Roman"/>
                <w:color w:val="000000"/>
                <w:sz w:val="20"/>
                <w:szCs w:val="20"/>
                <w:lang w:val="es-AR"/>
              </w:rPr>
            </w:pPr>
            <w:r w:rsidRPr="00363281">
              <w:t>0.01</w:t>
            </w:r>
          </w:p>
        </w:tc>
        <w:tc>
          <w:tcPr>
            <w:tcW w:w="839" w:type="dxa"/>
            <w:tcBorders>
              <w:top w:val="nil"/>
              <w:left w:val="nil"/>
              <w:bottom w:val="nil"/>
              <w:right w:val="nil"/>
            </w:tcBorders>
            <w:shd w:val="clear" w:color="auto" w:fill="auto"/>
            <w:noWrap/>
            <w:hideMark/>
          </w:tcPr>
          <w:p w14:paraId="7FA78E8B" w14:textId="3B5C126B" w:rsidR="00836669" w:rsidRPr="002F0A15" w:rsidRDefault="00836669" w:rsidP="00836669">
            <w:pPr>
              <w:spacing w:after="0"/>
              <w:jc w:val="center"/>
              <w:rPr>
                <w:rFonts w:eastAsia="Times New Roman"/>
                <w:color w:val="000000"/>
                <w:sz w:val="20"/>
                <w:szCs w:val="20"/>
                <w:lang w:val="es-AR"/>
              </w:rPr>
            </w:pPr>
            <w:r w:rsidRPr="00363281">
              <w:t>0.74</w:t>
            </w:r>
          </w:p>
        </w:tc>
        <w:tc>
          <w:tcPr>
            <w:tcW w:w="658" w:type="dxa"/>
            <w:tcBorders>
              <w:top w:val="nil"/>
              <w:left w:val="nil"/>
              <w:bottom w:val="nil"/>
              <w:right w:val="nil"/>
            </w:tcBorders>
            <w:shd w:val="clear" w:color="auto" w:fill="auto"/>
            <w:noWrap/>
            <w:hideMark/>
          </w:tcPr>
          <w:p w14:paraId="5A14611B" w14:textId="3D599B3C" w:rsidR="00836669" w:rsidRPr="002F0A15" w:rsidRDefault="00836669" w:rsidP="00836669">
            <w:pPr>
              <w:spacing w:after="0"/>
              <w:jc w:val="center"/>
              <w:rPr>
                <w:rFonts w:eastAsia="Times New Roman"/>
                <w:color w:val="000000"/>
                <w:sz w:val="20"/>
                <w:szCs w:val="20"/>
                <w:lang w:val="es-AR"/>
              </w:rPr>
            </w:pPr>
            <w:r w:rsidRPr="00363281">
              <w:t>0.46</w:t>
            </w:r>
          </w:p>
        </w:tc>
        <w:tc>
          <w:tcPr>
            <w:tcW w:w="658" w:type="dxa"/>
            <w:tcBorders>
              <w:top w:val="nil"/>
              <w:left w:val="nil"/>
              <w:bottom w:val="nil"/>
              <w:right w:val="nil"/>
            </w:tcBorders>
            <w:shd w:val="clear" w:color="auto" w:fill="auto"/>
            <w:noWrap/>
            <w:hideMark/>
          </w:tcPr>
          <w:p w14:paraId="5ADE3754" w14:textId="265AFD50" w:rsidR="00836669" w:rsidRPr="002F0A15" w:rsidRDefault="00836669" w:rsidP="00836669">
            <w:pPr>
              <w:spacing w:after="0"/>
              <w:jc w:val="center"/>
              <w:rPr>
                <w:rFonts w:eastAsia="Times New Roman"/>
                <w:color w:val="000000"/>
                <w:sz w:val="20"/>
                <w:szCs w:val="20"/>
                <w:lang w:val="es-AR"/>
              </w:rPr>
            </w:pPr>
            <w:r w:rsidRPr="00363281">
              <w:t>-0.01</w:t>
            </w:r>
          </w:p>
        </w:tc>
        <w:tc>
          <w:tcPr>
            <w:tcW w:w="1043" w:type="dxa"/>
            <w:tcBorders>
              <w:top w:val="nil"/>
              <w:left w:val="nil"/>
              <w:bottom w:val="nil"/>
              <w:right w:val="nil"/>
            </w:tcBorders>
            <w:shd w:val="clear" w:color="auto" w:fill="auto"/>
            <w:noWrap/>
            <w:hideMark/>
          </w:tcPr>
          <w:p w14:paraId="19FD6849" w14:textId="2E138B09" w:rsidR="00836669" w:rsidRPr="002F0A15" w:rsidRDefault="00836669" w:rsidP="00836669">
            <w:pPr>
              <w:spacing w:after="0"/>
              <w:jc w:val="center"/>
              <w:rPr>
                <w:rFonts w:eastAsia="Times New Roman"/>
                <w:color w:val="000000"/>
                <w:sz w:val="20"/>
                <w:szCs w:val="20"/>
                <w:lang w:val="es-AR"/>
              </w:rPr>
            </w:pPr>
            <w:r w:rsidRPr="00363281">
              <w:t>0.02</w:t>
            </w:r>
          </w:p>
        </w:tc>
      </w:tr>
      <w:tr w:rsidR="00836669" w:rsidRPr="00124C67" w14:paraId="000180FE" w14:textId="77777777" w:rsidTr="00836669">
        <w:trPr>
          <w:trHeight w:val="268"/>
        </w:trPr>
        <w:tc>
          <w:tcPr>
            <w:tcW w:w="3696" w:type="dxa"/>
            <w:tcBorders>
              <w:top w:val="nil"/>
              <w:left w:val="nil"/>
              <w:bottom w:val="nil"/>
              <w:right w:val="nil"/>
            </w:tcBorders>
            <w:shd w:val="clear" w:color="auto" w:fill="auto"/>
            <w:noWrap/>
            <w:vAlign w:val="center"/>
            <w:hideMark/>
          </w:tcPr>
          <w:p w14:paraId="0CAE10CF"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IndustryAboveAvg_Lagged</w:t>
            </w:r>
            <w:proofErr w:type="spellEnd"/>
          </w:p>
        </w:tc>
        <w:tc>
          <w:tcPr>
            <w:tcW w:w="1192" w:type="dxa"/>
            <w:tcBorders>
              <w:top w:val="nil"/>
              <w:left w:val="nil"/>
              <w:bottom w:val="nil"/>
              <w:right w:val="nil"/>
            </w:tcBorders>
            <w:shd w:val="clear" w:color="auto" w:fill="auto"/>
            <w:noWrap/>
            <w:hideMark/>
          </w:tcPr>
          <w:p w14:paraId="0CC79411" w14:textId="56AF3CCA" w:rsidR="00836669" w:rsidRPr="002F0A15" w:rsidRDefault="00836669" w:rsidP="00836669">
            <w:pPr>
              <w:spacing w:after="0"/>
              <w:jc w:val="center"/>
              <w:rPr>
                <w:rFonts w:eastAsia="Times New Roman"/>
                <w:color w:val="000000"/>
                <w:sz w:val="20"/>
                <w:szCs w:val="20"/>
                <w:lang w:val="es-AR"/>
              </w:rPr>
            </w:pPr>
            <w:r w:rsidRPr="00363281">
              <w:t>-0.02</w:t>
            </w:r>
          </w:p>
        </w:tc>
        <w:tc>
          <w:tcPr>
            <w:tcW w:w="863" w:type="dxa"/>
            <w:tcBorders>
              <w:top w:val="nil"/>
              <w:left w:val="nil"/>
              <w:bottom w:val="nil"/>
              <w:right w:val="nil"/>
            </w:tcBorders>
            <w:shd w:val="clear" w:color="auto" w:fill="auto"/>
            <w:noWrap/>
            <w:hideMark/>
          </w:tcPr>
          <w:p w14:paraId="5F8812DC" w14:textId="1321DC8C" w:rsidR="00836669" w:rsidRPr="002F0A15" w:rsidRDefault="00836669" w:rsidP="00836669">
            <w:pPr>
              <w:spacing w:after="0"/>
              <w:jc w:val="center"/>
              <w:rPr>
                <w:rFonts w:eastAsia="Times New Roman"/>
                <w:color w:val="000000"/>
                <w:sz w:val="20"/>
                <w:szCs w:val="20"/>
                <w:lang w:val="es-AR"/>
              </w:rPr>
            </w:pPr>
            <w:r w:rsidRPr="00363281">
              <w:t>0.02</w:t>
            </w:r>
          </w:p>
        </w:tc>
        <w:tc>
          <w:tcPr>
            <w:tcW w:w="839" w:type="dxa"/>
            <w:tcBorders>
              <w:top w:val="nil"/>
              <w:left w:val="nil"/>
              <w:bottom w:val="nil"/>
              <w:right w:val="nil"/>
            </w:tcBorders>
            <w:shd w:val="clear" w:color="auto" w:fill="auto"/>
            <w:noWrap/>
            <w:hideMark/>
          </w:tcPr>
          <w:p w14:paraId="02487517" w14:textId="1EE989E4" w:rsidR="00836669" w:rsidRPr="002F0A15" w:rsidRDefault="00836669" w:rsidP="00836669">
            <w:pPr>
              <w:spacing w:after="0"/>
              <w:jc w:val="center"/>
              <w:rPr>
                <w:rFonts w:eastAsia="Times New Roman"/>
                <w:color w:val="000000"/>
                <w:sz w:val="20"/>
                <w:szCs w:val="20"/>
                <w:lang w:val="es-AR"/>
              </w:rPr>
            </w:pPr>
            <w:r w:rsidRPr="00363281">
              <w:t>-1.66</w:t>
            </w:r>
          </w:p>
        </w:tc>
        <w:tc>
          <w:tcPr>
            <w:tcW w:w="658" w:type="dxa"/>
            <w:tcBorders>
              <w:top w:val="nil"/>
              <w:left w:val="nil"/>
              <w:bottom w:val="nil"/>
              <w:right w:val="nil"/>
            </w:tcBorders>
            <w:shd w:val="clear" w:color="auto" w:fill="auto"/>
            <w:noWrap/>
            <w:hideMark/>
          </w:tcPr>
          <w:p w14:paraId="30C0ADCD" w14:textId="59383A9D" w:rsidR="00836669" w:rsidRPr="002F0A15" w:rsidRDefault="00836669" w:rsidP="00836669">
            <w:pPr>
              <w:spacing w:after="0"/>
              <w:jc w:val="center"/>
              <w:rPr>
                <w:rFonts w:eastAsia="Times New Roman"/>
                <w:color w:val="000000"/>
                <w:sz w:val="20"/>
                <w:szCs w:val="20"/>
                <w:lang w:val="es-AR"/>
              </w:rPr>
            </w:pPr>
            <w:r w:rsidRPr="00363281">
              <w:t>0.10</w:t>
            </w:r>
          </w:p>
        </w:tc>
        <w:tc>
          <w:tcPr>
            <w:tcW w:w="658" w:type="dxa"/>
            <w:tcBorders>
              <w:top w:val="nil"/>
              <w:left w:val="nil"/>
              <w:bottom w:val="nil"/>
              <w:right w:val="nil"/>
            </w:tcBorders>
            <w:shd w:val="clear" w:color="auto" w:fill="auto"/>
            <w:noWrap/>
            <w:hideMark/>
          </w:tcPr>
          <w:p w14:paraId="6AD85F06" w14:textId="37E40A29" w:rsidR="00836669" w:rsidRPr="002F0A15" w:rsidRDefault="00836669" w:rsidP="00836669">
            <w:pPr>
              <w:spacing w:after="0"/>
              <w:jc w:val="center"/>
              <w:rPr>
                <w:rFonts w:eastAsia="Times New Roman"/>
                <w:color w:val="000000"/>
                <w:sz w:val="20"/>
                <w:szCs w:val="20"/>
                <w:lang w:val="es-AR"/>
              </w:rPr>
            </w:pPr>
            <w:r w:rsidRPr="00363281">
              <w:t>-0.05</w:t>
            </w:r>
          </w:p>
        </w:tc>
        <w:tc>
          <w:tcPr>
            <w:tcW w:w="1043" w:type="dxa"/>
            <w:tcBorders>
              <w:top w:val="nil"/>
              <w:left w:val="nil"/>
              <w:bottom w:val="nil"/>
              <w:right w:val="nil"/>
            </w:tcBorders>
            <w:shd w:val="clear" w:color="auto" w:fill="auto"/>
            <w:noWrap/>
            <w:hideMark/>
          </w:tcPr>
          <w:p w14:paraId="09C259F3" w14:textId="75D2423C" w:rsidR="00836669" w:rsidRPr="002F0A15" w:rsidRDefault="00836669" w:rsidP="00836669">
            <w:pPr>
              <w:spacing w:after="0"/>
              <w:jc w:val="center"/>
              <w:rPr>
                <w:rFonts w:eastAsia="Times New Roman"/>
                <w:color w:val="000000"/>
                <w:sz w:val="20"/>
                <w:szCs w:val="20"/>
                <w:lang w:val="es-AR"/>
              </w:rPr>
            </w:pPr>
            <w:r w:rsidRPr="00363281">
              <w:t>0.00</w:t>
            </w:r>
          </w:p>
        </w:tc>
      </w:tr>
      <w:tr w:rsidR="00836669" w:rsidRPr="00124C67" w14:paraId="40FF18F9" w14:textId="77777777" w:rsidTr="00836669">
        <w:trPr>
          <w:trHeight w:val="268"/>
        </w:trPr>
        <w:tc>
          <w:tcPr>
            <w:tcW w:w="3696" w:type="dxa"/>
            <w:tcBorders>
              <w:top w:val="nil"/>
              <w:left w:val="nil"/>
              <w:bottom w:val="nil"/>
              <w:right w:val="nil"/>
            </w:tcBorders>
            <w:shd w:val="clear" w:color="auto" w:fill="auto"/>
            <w:noWrap/>
            <w:vAlign w:val="center"/>
            <w:hideMark/>
          </w:tcPr>
          <w:p w14:paraId="54BE4F36"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IndustryAboveAvg</w:t>
            </w:r>
            <w:proofErr w:type="spellEnd"/>
          </w:p>
        </w:tc>
        <w:tc>
          <w:tcPr>
            <w:tcW w:w="1192" w:type="dxa"/>
            <w:tcBorders>
              <w:top w:val="nil"/>
              <w:left w:val="nil"/>
              <w:bottom w:val="nil"/>
              <w:right w:val="nil"/>
            </w:tcBorders>
            <w:shd w:val="clear" w:color="auto" w:fill="auto"/>
            <w:noWrap/>
            <w:hideMark/>
          </w:tcPr>
          <w:p w14:paraId="23F1BAA3" w14:textId="2DDEE895" w:rsidR="00836669" w:rsidRPr="002F0A15" w:rsidRDefault="00836669" w:rsidP="00836669">
            <w:pPr>
              <w:spacing w:after="0"/>
              <w:jc w:val="center"/>
              <w:rPr>
                <w:rFonts w:eastAsia="Times New Roman"/>
                <w:color w:val="000000"/>
                <w:sz w:val="20"/>
                <w:szCs w:val="20"/>
                <w:lang w:val="es-AR"/>
              </w:rPr>
            </w:pPr>
            <w:r w:rsidRPr="00363281">
              <w:t>0.02</w:t>
            </w:r>
          </w:p>
        </w:tc>
        <w:tc>
          <w:tcPr>
            <w:tcW w:w="863" w:type="dxa"/>
            <w:tcBorders>
              <w:top w:val="nil"/>
              <w:left w:val="nil"/>
              <w:bottom w:val="nil"/>
              <w:right w:val="nil"/>
            </w:tcBorders>
            <w:shd w:val="clear" w:color="auto" w:fill="auto"/>
            <w:noWrap/>
            <w:hideMark/>
          </w:tcPr>
          <w:p w14:paraId="0B91D5C3" w14:textId="5B023323" w:rsidR="00836669" w:rsidRPr="002F0A15" w:rsidRDefault="00836669" w:rsidP="00836669">
            <w:pPr>
              <w:spacing w:after="0"/>
              <w:jc w:val="center"/>
              <w:rPr>
                <w:rFonts w:eastAsia="Times New Roman"/>
                <w:color w:val="000000"/>
                <w:sz w:val="20"/>
                <w:szCs w:val="20"/>
                <w:lang w:val="es-AR"/>
              </w:rPr>
            </w:pPr>
            <w:r w:rsidRPr="00363281">
              <w:t>0.02</w:t>
            </w:r>
          </w:p>
        </w:tc>
        <w:tc>
          <w:tcPr>
            <w:tcW w:w="839" w:type="dxa"/>
            <w:tcBorders>
              <w:top w:val="nil"/>
              <w:left w:val="nil"/>
              <w:bottom w:val="nil"/>
              <w:right w:val="nil"/>
            </w:tcBorders>
            <w:shd w:val="clear" w:color="auto" w:fill="auto"/>
            <w:noWrap/>
            <w:hideMark/>
          </w:tcPr>
          <w:p w14:paraId="74C24572" w14:textId="44F0165E" w:rsidR="00836669" w:rsidRPr="002F0A15" w:rsidRDefault="00836669" w:rsidP="00836669">
            <w:pPr>
              <w:spacing w:after="0"/>
              <w:jc w:val="center"/>
              <w:rPr>
                <w:rFonts w:eastAsia="Times New Roman"/>
                <w:color w:val="000000"/>
                <w:sz w:val="20"/>
                <w:szCs w:val="20"/>
                <w:lang w:val="es-AR"/>
              </w:rPr>
            </w:pPr>
            <w:r w:rsidRPr="00363281">
              <w:t>1.55</w:t>
            </w:r>
          </w:p>
        </w:tc>
        <w:tc>
          <w:tcPr>
            <w:tcW w:w="658" w:type="dxa"/>
            <w:tcBorders>
              <w:top w:val="nil"/>
              <w:left w:val="nil"/>
              <w:bottom w:val="nil"/>
              <w:right w:val="nil"/>
            </w:tcBorders>
            <w:shd w:val="clear" w:color="auto" w:fill="auto"/>
            <w:noWrap/>
            <w:hideMark/>
          </w:tcPr>
          <w:p w14:paraId="5BEF1BAD" w14:textId="3B6BF4A8" w:rsidR="00836669" w:rsidRPr="002F0A15" w:rsidRDefault="00836669" w:rsidP="00836669">
            <w:pPr>
              <w:spacing w:after="0"/>
              <w:jc w:val="center"/>
              <w:rPr>
                <w:rFonts w:eastAsia="Times New Roman"/>
                <w:color w:val="000000"/>
                <w:sz w:val="20"/>
                <w:szCs w:val="20"/>
                <w:lang w:val="es-AR"/>
              </w:rPr>
            </w:pPr>
            <w:r w:rsidRPr="00363281">
              <w:t>0.12</w:t>
            </w:r>
          </w:p>
        </w:tc>
        <w:tc>
          <w:tcPr>
            <w:tcW w:w="658" w:type="dxa"/>
            <w:tcBorders>
              <w:top w:val="nil"/>
              <w:left w:val="nil"/>
              <w:bottom w:val="nil"/>
              <w:right w:val="nil"/>
            </w:tcBorders>
            <w:shd w:val="clear" w:color="auto" w:fill="auto"/>
            <w:noWrap/>
            <w:hideMark/>
          </w:tcPr>
          <w:p w14:paraId="7F05A006" w14:textId="01A6D742" w:rsidR="00836669" w:rsidRPr="002F0A15" w:rsidRDefault="00836669" w:rsidP="00836669">
            <w:pPr>
              <w:spacing w:after="0"/>
              <w:jc w:val="center"/>
              <w:rPr>
                <w:rFonts w:eastAsia="Times New Roman"/>
                <w:color w:val="000000"/>
                <w:sz w:val="20"/>
                <w:szCs w:val="20"/>
                <w:lang w:val="es-AR"/>
              </w:rPr>
            </w:pPr>
            <w:r w:rsidRPr="00363281">
              <w:t>0.00</w:t>
            </w:r>
          </w:p>
        </w:tc>
        <w:tc>
          <w:tcPr>
            <w:tcW w:w="1043" w:type="dxa"/>
            <w:tcBorders>
              <w:top w:val="nil"/>
              <w:left w:val="nil"/>
              <w:bottom w:val="nil"/>
              <w:right w:val="nil"/>
            </w:tcBorders>
            <w:shd w:val="clear" w:color="auto" w:fill="auto"/>
            <w:noWrap/>
            <w:hideMark/>
          </w:tcPr>
          <w:p w14:paraId="15D900C4" w14:textId="30C1436F" w:rsidR="00836669" w:rsidRPr="002F0A15" w:rsidRDefault="00836669" w:rsidP="00836669">
            <w:pPr>
              <w:spacing w:after="0"/>
              <w:jc w:val="center"/>
              <w:rPr>
                <w:rFonts w:eastAsia="Times New Roman"/>
                <w:color w:val="000000"/>
                <w:sz w:val="20"/>
                <w:szCs w:val="20"/>
                <w:lang w:val="es-AR"/>
              </w:rPr>
            </w:pPr>
            <w:r w:rsidRPr="00363281">
              <w:t>0.05</w:t>
            </w:r>
          </w:p>
        </w:tc>
      </w:tr>
      <w:tr w:rsidR="00836669" w:rsidRPr="00BF5447" w14:paraId="71C16E86" w14:textId="77777777" w:rsidTr="00836669">
        <w:trPr>
          <w:trHeight w:val="536"/>
        </w:trPr>
        <w:tc>
          <w:tcPr>
            <w:tcW w:w="3696" w:type="dxa"/>
            <w:tcBorders>
              <w:top w:val="nil"/>
              <w:left w:val="nil"/>
              <w:bottom w:val="nil"/>
              <w:right w:val="nil"/>
            </w:tcBorders>
            <w:shd w:val="clear" w:color="auto" w:fill="auto"/>
            <w:vAlign w:val="center"/>
            <w:hideMark/>
          </w:tcPr>
          <w:p w14:paraId="156DE406" w14:textId="77777777" w:rsidR="00836669" w:rsidRPr="002F0A15" w:rsidRDefault="00836669" w:rsidP="00836669">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LaborContractLagged</w:t>
            </w:r>
            <w:proofErr w:type="spellEnd"/>
            <w:r w:rsidRPr="002F0A15">
              <w:rPr>
                <w:rFonts w:eastAsia="Times New Roman"/>
                <w:b/>
                <w:bCs/>
                <w:color w:val="000000"/>
                <w:sz w:val="20"/>
                <w:szCs w:val="20"/>
                <w:lang w:val="en-US"/>
              </w:rPr>
              <w:t xml:space="preserve"> (base case: informal wage worker)</w:t>
            </w:r>
          </w:p>
        </w:tc>
        <w:tc>
          <w:tcPr>
            <w:tcW w:w="1192" w:type="dxa"/>
            <w:tcBorders>
              <w:top w:val="nil"/>
              <w:left w:val="nil"/>
              <w:bottom w:val="nil"/>
              <w:right w:val="nil"/>
            </w:tcBorders>
            <w:shd w:val="clear" w:color="auto" w:fill="auto"/>
            <w:noWrap/>
            <w:hideMark/>
          </w:tcPr>
          <w:p w14:paraId="33D16C4F" w14:textId="77777777" w:rsidR="00836669" w:rsidRPr="002F0A15" w:rsidRDefault="00836669" w:rsidP="00836669">
            <w:pPr>
              <w:spacing w:after="0"/>
              <w:jc w:val="center"/>
              <w:rPr>
                <w:rFonts w:eastAsia="Times New Roman"/>
                <w:b/>
                <w:bCs/>
                <w:color w:val="000000"/>
                <w:sz w:val="20"/>
                <w:szCs w:val="20"/>
                <w:lang w:val="en-US"/>
              </w:rPr>
            </w:pPr>
          </w:p>
        </w:tc>
        <w:tc>
          <w:tcPr>
            <w:tcW w:w="863" w:type="dxa"/>
            <w:tcBorders>
              <w:top w:val="nil"/>
              <w:left w:val="nil"/>
              <w:bottom w:val="nil"/>
              <w:right w:val="nil"/>
            </w:tcBorders>
            <w:shd w:val="clear" w:color="auto" w:fill="auto"/>
            <w:noWrap/>
            <w:hideMark/>
          </w:tcPr>
          <w:p w14:paraId="0434DA09"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839" w:type="dxa"/>
            <w:tcBorders>
              <w:top w:val="nil"/>
              <w:left w:val="nil"/>
              <w:bottom w:val="nil"/>
              <w:right w:val="nil"/>
            </w:tcBorders>
            <w:shd w:val="clear" w:color="auto" w:fill="auto"/>
            <w:noWrap/>
            <w:hideMark/>
          </w:tcPr>
          <w:p w14:paraId="7A9D3BBF"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7D09FC3A"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031E485E"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1043" w:type="dxa"/>
            <w:tcBorders>
              <w:top w:val="nil"/>
              <w:left w:val="nil"/>
              <w:bottom w:val="nil"/>
              <w:right w:val="nil"/>
            </w:tcBorders>
            <w:shd w:val="clear" w:color="auto" w:fill="auto"/>
            <w:noWrap/>
            <w:hideMark/>
          </w:tcPr>
          <w:p w14:paraId="3BCAE509"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r>
      <w:tr w:rsidR="00836669" w:rsidRPr="00124C67" w14:paraId="3453FD81" w14:textId="77777777" w:rsidTr="00836669">
        <w:trPr>
          <w:trHeight w:val="268"/>
        </w:trPr>
        <w:tc>
          <w:tcPr>
            <w:tcW w:w="3696" w:type="dxa"/>
            <w:tcBorders>
              <w:top w:val="nil"/>
              <w:left w:val="nil"/>
              <w:bottom w:val="nil"/>
              <w:right w:val="nil"/>
            </w:tcBorders>
            <w:shd w:val="clear" w:color="auto" w:fill="auto"/>
            <w:noWrap/>
            <w:vAlign w:val="center"/>
            <w:hideMark/>
          </w:tcPr>
          <w:p w14:paraId="24B9FCDF" w14:textId="77777777" w:rsidR="00836669" w:rsidRPr="002F0A15" w:rsidRDefault="00836669" w:rsidP="00836669">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0E26C9F6" w14:textId="44CDED50" w:rsidR="00836669" w:rsidRPr="002F0A15" w:rsidRDefault="00836669" w:rsidP="00836669">
            <w:pPr>
              <w:spacing w:after="0"/>
              <w:jc w:val="center"/>
              <w:rPr>
                <w:rFonts w:eastAsia="Times New Roman"/>
                <w:color w:val="000000"/>
                <w:sz w:val="20"/>
                <w:szCs w:val="20"/>
                <w:lang w:val="es-AR"/>
              </w:rPr>
            </w:pPr>
            <w:r w:rsidRPr="00363281">
              <w:t>-0.05</w:t>
            </w:r>
          </w:p>
        </w:tc>
        <w:tc>
          <w:tcPr>
            <w:tcW w:w="863" w:type="dxa"/>
            <w:tcBorders>
              <w:top w:val="nil"/>
              <w:left w:val="nil"/>
              <w:bottom w:val="nil"/>
              <w:right w:val="nil"/>
            </w:tcBorders>
            <w:shd w:val="clear" w:color="auto" w:fill="auto"/>
            <w:noWrap/>
            <w:hideMark/>
          </w:tcPr>
          <w:p w14:paraId="011E98C5" w14:textId="05B7F601" w:rsidR="00836669" w:rsidRPr="002F0A15" w:rsidRDefault="00836669" w:rsidP="00836669">
            <w:pPr>
              <w:spacing w:after="0"/>
              <w:jc w:val="center"/>
              <w:rPr>
                <w:rFonts w:eastAsia="Times New Roman"/>
                <w:color w:val="000000"/>
                <w:sz w:val="20"/>
                <w:szCs w:val="20"/>
                <w:lang w:val="es-AR"/>
              </w:rPr>
            </w:pPr>
            <w:r w:rsidRPr="00363281">
              <w:t>0.02</w:t>
            </w:r>
          </w:p>
        </w:tc>
        <w:tc>
          <w:tcPr>
            <w:tcW w:w="839" w:type="dxa"/>
            <w:tcBorders>
              <w:top w:val="nil"/>
              <w:left w:val="nil"/>
              <w:bottom w:val="nil"/>
              <w:right w:val="nil"/>
            </w:tcBorders>
            <w:shd w:val="clear" w:color="auto" w:fill="auto"/>
            <w:noWrap/>
            <w:hideMark/>
          </w:tcPr>
          <w:p w14:paraId="0DD76C1A" w14:textId="2DF3F219" w:rsidR="00836669" w:rsidRPr="002F0A15" w:rsidRDefault="00836669" w:rsidP="00836669">
            <w:pPr>
              <w:spacing w:after="0"/>
              <w:jc w:val="center"/>
              <w:rPr>
                <w:rFonts w:eastAsia="Times New Roman"/>
                <w:color w:val="000000"/>
                <w:sz w:val="20"/>
                <w:szCs w:val="20"/>
                <w:lang w:val="es-AR"/>
              </w:rPr>
            </w:pPr>
            <w:r w:rsidRPr="00363281">
              <w:t>-3.08</w:t>
            </w:r>
          </w:p>
        </w:tc>
        <w:tc>
          <w:tcPr>
            <w:tcW w:w="658" w:type="dxa"/>
            <w:tcBorders>
              <w:top w:val="nil"/>
              <w:left w:val="nil"/>
              <w:bottom w:val="nil"/>
              <w:right w:val="nil"/>
            </w:tcBorders>
            <w:shd w:val="clear" w:color="auto" w:fill="auto"/>
            <w:noWrap/>
            <w:hideMark/>
          </w:tcPr>
          <w:p w14:paraId="1C5ACD35" w14:textId="234AE5CA" w:rsidR="00836669" w:rsidRPr="002F0A15" w:rsidRDefault="00836669" w:rsidP="00836669">
            <w:pPr>
              <w:spacing w:after="0"/>
              <w:jc w:val="center"/>
              <w:rPr>
                <w:rFonts w:eastAsia="Times New Roman"/>
                <w:color w:val="000000"/>
                <w:sz w:val="20"/>
                <w:szCs w:val="20"/>
                <w:lang w:val="es-AR"/>
              </w:rPr>
            </w:pPr>
            <w:r w:rsidRPr="00363281">
              <w:t>0.00</w:t>
            </w:r>
          </w:p>
        </w:tc>
        <w:tc>
          <w:tcPr>
            <w:tcW w:w="658" w:type="dxa"/>
            <w:tcBorders>
              <w:top w:val="nil"/>
              <w:left w:val="nil"/>
              <w:bottom w:val="nil"/>
              <w:right w:val="nil"/>
            </w:tcBorders>
            <w:shd w:val="clear" w:color="auto" w:fill="auto"/>
            <w:noWrap/>
            <w:hideMark/>
          </w:tcPr>
          <w:p w14:paraId="627F2C3A" w14:textId="365C06E4" w:rsidR="00836669" w:rsidRPr="002F0A15" w:rsidRDefault="00836669" w:rsidP="00836669">
            <w:pPr>
              <w:spacing w:after="0"/>
              <w:jc w:val="center"/>
              <w:rPr>
                <w:rFonts w:eastAsia="Times New Roman"/>
                <w:color w:val="000000"/>
                <w:sz w:val="20"/>
                <w:szCs w:val="20"/>
                <w:lang w:val="es-AR"/>
              </w:rPr>
            </w:pPr>
            <w:r w:rsidRPr="00363281">
              <w:t>-0.07</w:t>
            </w:r>
          </w:p>
        </w:tc>
        <w:tc>
          <w:tcPr>
            <w:tcW w:w="1043" w:type="dxa"/>
            <w:tcBorders>
              <w:top w:val="nil"/>
              <w:left w:val="nil"/>
              <w:bottom w:val="nil"/>
              <w:right w:val="nil"/>
            </w:tcBorders>
            <w:shd w:val="clear" w:color="auto" w:fill="auto"/>
            <w:noWrap/>
            <w:hideMark/>
          </w:tcPr>
          <w:p w14:paraId="43D09795" w14:textId="0D81C74E" w:rsidR="00836669" w:rsidRPr="002F0A15" w:rsidRDefault="00836669" w:rsidP="00836669">
            <w:pPr>
              <w:spacing w:after="0"/>
              <w:jc w:val="center"/>
              <w:rPr>
                <w:rFonts w:eastAsia="Times New Roman"/>
                <w:color w:val="000000"/>
                <w:sz w:val="20"/>
                <w:szCs w:val="20"/>
                <w:lang w:val="es-AR"/>
              </w:rPr>
            </w:pPr>
            <w:r w:rsidRPr="00363281">
              <w:t>-0.02</w:t>
            </w:r>
          </w:p>
        </w:tc>
      </w:tr>
      <w:tr w:rsidR="00836669" w:rsidRPr="00124C67" w14:paraId="55285153" w14:textId="77777777" w:rsidTr="00836669">
        <w:trPr>
          <w:trHeight w:val="268"/>
        </w:trPr>
        <w:tc>
          <w:tcPr>
            <w:tcW w:w="3696" w:type="dxa"/>
            <w:tcBorders>
              <w:top w:val="nil"/>
              <w:left w:val="nil"/>
              <w:bottom w:val="nil"/>
              <w:right w:val="nil"/>
            </w:tcBorders>
            <w:shd w:val="clear" w:color="auto" w:fill="auto"/>
            <w:noWrap/>
            <w:vAlign w:val="center"/>
            <w:hideMark/>
          </w:tcPr>
          <w:p w14:paraId="1531178E"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17616653" w14:textId="78B1EEE4" w:rsidR="00836669" w:rsidRPr="002F0A15" w:rsidRDefault="00836669" w:rsidP="00836669">
            <w:pPr>
              <w:spacing w:after="0"/>
              <w:jc w:val="center"/>
              <w:rPr>
                <w:rFonts w:eastAsia="Times New Roman"/>
                <w:color w:val="000000"/>
                <w:sz w:val="20"/>
                <w:szCs w:val="20"/>
                <w:lang w:val="es-AR"/>
              </w:rPr>
            </w:pPr>
            <w:r w:rsidRPr="00363281">
              <w:t>0.05</w:t>
            </w:r>
          </w:p>
        </w:tc>
        <w:tc>
          <w:tcPr>
            <w:tcW w:w="863" w:type="dxa"/>
            <w:tcBorders>
              <w:top w:val="nil"/>
              <w:left w:val="nil"/>
              <w:bottom w:val="nil"/>
              <w:right w:val="nil"/>
            </w:tcBorders>
            <w:shd w:val="clear" w:color="auto" w:fill="auto"/>
            <w:noWrap/>
            <w:hideMark/>
          </w:tcPr>
          <w:p w14:paraId="0E9F396D" w14:textId="2CDA2ECB" w:rsidR="00836669" w:rsidRPr="002F0A15" w:rsidRDefault="00836669" w:rsidP="00836669">
            <w:pPr>
              <w:spacing w:after="0"/>
              <w:jc w:val="center"/>
              <w:rPr>
                <w:rFonts w:eastAsia="Times New Roman"/>
                <w:color w:val="000000"/>
                <w:sz w:val="20"/>
                <w:szCs w:val="20"/>
                <w:lang w:val="es-AR"/>
              </w:rPr>
            </w:pPr>
            <w:r w:rsidRPr="00363281">
              <w:t>0.01</w:t>
            </w:r>
          </w:p>
        </w:tc>
        <w:tc>
          <w:tcPr>
            <w:tcW w:w="839" w:type="dxa"/>
            <w:tcBorders>
              <w:top w:val="nil"/>
              <w:left w:val="nil"/>
              <w:bottom w:val="nil"/>
              <w:right w:val="nil"/>
            </w:tcBorders>
            <w:shd w:val="clear" w:color="auto" w:fill="auto"/>
            <w:noWrap/>
            <w:hideMark/>
          </w:tcPr>
          <w:p w14:paraId="0D6AB1B7" w14:textId="7EC5D00E" w:rsidR="00836669" w:rsidRPr="002F0A15" w:rsidRDefault="00836669" w:rsidP="00836669">
            <w:pPr>
              <w:spacing w:after="0"/>
              <w:jc w:val="center"/>
              <w:rPr>
                <w:rFonts w:eastAsia="Times New Roman"/>
                <w:color w:val="000000"/>
                <w:sz w:val="20"/>
                <w:szCs w:val="20"/>
                <w:lang w:val="es-AR"/>
              </w:rPr>
            </w:pPr>
            <w:r w:rsidRPr="00363281">
              <w:t>3.24</w:t>
            </w:r>
          </w:p>
        </w:tc>
        <w:tc>
          <w:tcPr>
            <w:tcW w:w="658" w:type="dxa"/>
            <w:tcBorders>
              <w:top w:val="nil"/>
              <w:left w:val="nil"/>
              <w:bottom w:val="nil"/>
              <w:right w:val="nil"/>
            </w:tcBorders>
            <w:shd w:val="clear" w:color="auto" w:fill="auto"/>
            <w:noWrap/>
            <w:hideMark/>
          </w:tcPr>
          <w:p w14:paraId="513065EA" w14:textId="70BA3299" w:rsidR="00836669" w:rsidRPr="002F0A15" w:rsidRDefault="00836669" w:rsidP="00836669">
            <w:pPr>
              <w:spacing w:after="0"/>
              <w:jc w:val="center"/>
              <w:rPr>
                <w:rFonts w:eastAsia="Times New Roman"/>
                <w:color w:val="000000"/>
                <w:sz w:val="20"/>
                <w:szCs w:val="20"/>
                <w:lang w:val="es-AR"/>
              </w:rPr>
            </w:pPr>
            <w:r w:rsidRPr="00363281">
              <w:t>0.00</w:t>
            </w:r>
          </w:p>
        </w:tc>
        <w:tc>
          <w:tcPr>
            <w:tcW w:w="658" w:type="dxa"/>
            <w:tcBorders>
              <w:top w:val="nil"/>
              <w:left w:val="nil"/>
              <w:bottom w:val="nil"/>
              <w:right w:val="nil"/>
            </w:tcBorders>
            <w:shd w:val="clear" w:color="auto" w:fill="auto"/>
            <w:noWrap/>
            <w:hideMark/>
          </w:tcPr>
          <w:p w14:paraId="48C290D5" w14:textId="0EC7224A" w:rsidR="00836669" w:rsidRPr="002F0A15" w:rsidRDefault="00836669" w:rsidP="00836669">
            <w:pPr>
              <w:spacing w:after="0"/>
              <w:jc w:val="center"/>
              <w:rPr>
                <w:rFonts w:eastAsia="Times New Roman"/>
                <w:color w:val="000000"/>
                <w:sz w:val="20"/>
                <w:szCs w:val="20"/>
                <w:lang w:val="es-AR"/>
              </w:rPr>
            </w:pPr>
            <w:r w:rsidRPr="00363281">
              <w:t>0.02</w:t>
            </w:r>
          </w:p>
        </w:tc>
        <w:tc>
          <w:tcPr>
            <w:tcW w:w="1043" w:type="dxa"/>
            <w:tcBorders>
              <w:top w:val="nil"/>
              <w:left w:val="nil"/>
              <w:bottom w:val="nil"/>
              <w:right w:val="nil"/>
            </w:tcBorders>
            <w:shd w:val="clear" w:color="auto" w:fill="auto"/>
            <w:noWrap/>
            <w:hideMark/>
          </w:tcPr>
          <w:p w14:paraId="6B3B1883" w14:textId="7A7EA8F0" w:rsidR="00836669" w:rsidRPr="002F0A15" w:rsidRDefault="00836669" w:rsidP="00836669">
            <w:pPr>
              <w:spacing w:after="0"/>
              <w:jc w:val="center"/>
              <w:rPr>
                <w:rFonts w:eastAsia="Times New Roman"/>
                <w:color w:val="000000"/>
                <w:sz w:val="20"/>
                <w:szCs w:val="20"/>
                <w:lang w:val="es-AR"/>
              </w:rPr>
            </w:pPr>
            <w:r w:rsidRPr="00363281">
              <w:t>0.07</w:t>
            </w:r>
          </w:p>
        </w:tc>
      </w:tr>
      <w:tr w:rsidR="00836669" w:rsidRPr="00BF5447" w14:paraId="29DF7B66" w14:textId="77777777" w:rsidTr="00836669">
        <w:trPr>
          <w:trHeight w:val="536"/>
        </w:trPr>
        <w:tc>
          <w:tcPr>
            <w:tcW w:w="3696" w:type="dxa"/>
            <w:tcBorders>
              <w:top w:val="nil"/>
              <w:left w:val="nil"/>
              <w:bottom w:val="nil"/>
              <w:right w:val="nil"/>
            </w:tcBorders>
            <w:shd w:val="clear" w:color="auto" w:fill="auto"/>
            <w:vAlign w:val="center"/>
            <w:hideMark/>
          </w:tcPr>
          <w:p w14:paraId="06C4C12F" w14:textId="77777777" w:rsidR="00836669" w:rsidRPr="002F0A15" w:rsidRDefault="00836669" w:rsidP="00836669">
            <w:pPr>
              <w:spacing w:after="0"/>
              <w:jc w:val="left"/>
              <w:rPr>
                <w:rFonts w:eastAsia="Times New Roman"/>
                <w:b/>
                <w:bCs/>
                <w:color w:val="000000"/>
                <w:sz w:val="20"/>
                <w:szCs w:val="20"/>
                <w:lang w:val="en-US"/>
              </w:rPr>
            </w:pPr>
            <w:proofErr w:type="spellStart"/>
            <w:r w:rsidRPr="002F0A15">
              <w:rPr>
                <w:rFonts w:eastAsia="Times New Roman"/>
                <w:b/>
                <w:bCs/>
                <w:color w:val="000000"/>
                <w:sz w:val="20"/>
                <w:szCs w:val="20"/>
                <w:lang w:val="en-US"/>
              </w:rPr>
              <w:t>LaborContract</w:t>
            </w:r>
            <w:proofErr w:type="spellEnd"/>
            <w:r w:rsidRPr="002F0A15">
              <w:rPr>
                <w:rFonts w:eastAsia="Times New Roman"/>
                <w:b/>
                <w:bCs/>
                <w:color w:val="000000"/>
                <w:sz w:val="20"/>
                <w:szCs w:val="20"/>
                <w:lang w:val="en-US"/>
              </w:rPr>
              <w:t xml:space="preserve"> (base case: informal wage worker)</w:t>
            </w:r>
          </w:p>
        </w:tc>
        <w:tc>
          <w:tcPr>
            <w:tcW w:w="1192" w:type="dxa"/>
            <w:tcBorders>
              <w:top w:val="nil"/>
              <w:left w:val="nil"/>
              <w:bottom w:val="nil"/>
              <w:right w:val="nil"/>
            </w:tcBorders>
            <w:shd w:val="clear" w:color="auto" w:fill="auto"/>
            <w:noWrap/>
            <w:hideMark/>
          </w:tcPr>
          <w:p w14:paraId="4533EE5B" w14:textId="77777777" w:rsidR="00836669" w:rsidRPr="002F0A15" w:rsidRDefault="00836669" w:rsidP="00836669">
            <w:pPr>
              <w:spacing w:after="0"/>
              <w:jc w:val="center"/>
              <w:rPr>
                <w:rFonts w:eastAsia="Times New Roman"/>
                <w:b/>
                <w:bCs/>
                <w:color w:val="000000"/>
                <w:sz w:val="20"/>
                <w:szCs w:val="20"/>
                <w:lang w:val="en-US"/>
              </w:rPr>
            </w:pPr>
          </w:p>
        </w:tc>
        <w:tc>
          <w:tcPr>
            <w:tcW w:w="863" w:type="dxa"/>
            <w:tcBorders>
              <w:top w:val="nil"/>
              <w:left w:val="nil"/>
              <w:bottom w:val="nil"/>
              <w:right w:val="nil"/>
            </w:tcBorders>
            <w:shd w:val="clear" w:color="auto" w:fill="auto"/>
            <w:noWrap/>
            <w:hideMark/>
          </w:tcPr>
          <w:p w14:paraId="744C016E"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839" w:type="dxa"/>
            <w:tcBorders>
              <w:top w:val="nil"/>
              <w:left w:val="nil"/>
              <w:bottom w:val="nil"/>
              <w:right w:val="nil"/>
            </w:tcBorders>
            <w:shd w:val="clear" w:color="auto" w:fill="auto"/>
            <w:noWrap/>
            <w:hideMark/>
          </w:tcPr>
          <w:p w14:paraId="22DFDA24"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00C05041"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658" w:type="dxa"/>
            <w:tcBorders>
              <w:top w:val="nil"/>
              <w:left w:val="nil"/>
              <w:bottom w:val="nil"/>
              <w:right w:val="nil"/>
            </w:tcBorders>
            <w:shd w:val="clear" w:color="auto" w:fill="auto"/>
            <w:noWrap/>
            <w:hideMark/>
          </w:tcPr>
          <w:p w14:paraId="6CD3716D"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c>
          <w:tcPr>
            <w:tcW w:w="1043" w:type="dxa"/>
            <w:tcBorders>
              <w:top w:val="nil"/>
              <w:left w:val="nil"/>
              <w:bottom w:val="nil"/>
              <w:right w:val="nil"/>
            </w:tcBorders>
            <w:shd w:val="clear" w:color="auto" w:fill="auto"/>
            <w:noWrap/>
            <w:hideMark/>
          </w:tcPr>
          <w:p w14:paraId="06B35C10" w14:textId="77777777" w:rsidR="00836669" w:rsidRPr="002F0A15" w:rsidRDefault="00836669" w:rsidP="00836669">
            <w:pPr>
              <w:spacing w:after="0"/>
              <w:jc w:val="center"/>
              <w:rPr>
                <w:rFonts w:ascii="Times New Roman" w:eastAsia="Times New Roman" w:hAnsi="Times New Roman" w:cs="Times New Roman"/>
                <w:sz w:val="20"/>
                <w:szCs w:val="20"/>
                <w:lang w:val="en-US"/>
              </w:rPr>
            </w:pPr>
          </w:p>
        </w:tc>
      </w:tr>
      <w:tr w:rsidR="00836669" w:rsidRPr="00124C67" w14:paraId="614DCD8E" w14:textId="77777777" w:rsidTr="00836669">
        <w:trPr>
          <w:trHeight w:val="268"/>
        </w:trPr>
        <w:tc>
          <w:tcPr>
            <w:tcW w:w="3696" w:type="dxa"/>
            <w:tcBorders>
              <w:top w:val="nil"/>
              <w:left w:val="nil"/>
              <w:bottom w:val="nil"/>
              <w:right w:val="nil"/>
            </w:tcBorders>
            <w:shd w:val="clear" w:color="auto" w:fill="auto"/>
            <w:noWrap/>
            <w:vAlign w:val="center"/>
            <w:hideMark/>
          </w:tcPr>
          <w:p w14:paraId="7D8DCA9F" w14:textId="77777777" w:rsidR="00836669" w:rsidRPr="002F0A15" w:rsidRDefault="00836669" w:rsidP="00836669">
            <w:pPr>
              <w:spacing w:after="0"/>
              <w:jc w:val="left"/>
              <w:rPr>
                <w:rFonts w:eastAsia="Times New Roman"/>
                <w:color w:val="000000"/>
                <w:sz w:val="20"/>
                <w:szCs w:val="20"/>
                <w:lang w:val="es-AR"/>
              </w:rPr>
            </w:pPr>
            <w:r w:rsidRPr="002F0A15">
              <w:rPr>
                <w:rFonts w:eastAsia="Times New Roman"/>
                <w:color w:val="000000"/>
                <w:sz w:val="20"/>
                <w:szCs w:val="20"/>
                <w:lang w:val="es-AR"/>
              </w:rPr>
              <w:t xml:space="preserve">Formal </w:t>
            </w:r>
            <w:proofErr w:type="spellStart"/>
            <w:r w:rsidRPr="002F0A15">
              <w:rPr>
                <w:rFonts w:eastAsia="Times New Roman"/>
                <w:color w:val="000000"/>
                <w:sz w:val="20"/>
                <w:szCs w:val="20"/>
                <w:lang w:val="es-AR"/>
              </w:rPr>
              <w:t>wage</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43A33C68" w14:textId="49C13D36" w:rsidR="00836669" w:rsidRPr="002F0A15" w:rsidRDefault="00836669" w:rsidP="00836669">
            <w:pPr>
              <w:spacing w:after="0"/>
              <w:jc w:val="center"/>
              <w:rPr>
                <w:rFonts w:eastAsia="Times New Roman"/>
                <w:color w:val="000000"/>
                <w:sz w:val="20"/>
                <w:szCs w:val="20"/>
                <w:lang w:val="es-AR"/>
              </w:rPr>
            </w:pPr>
            <w:r w:rsidRPr="00363281">
              <w:t>0.02</w:t>
            </w:r>
          </w:p>
        </w:tc>
        <w:tc>
          <w:tcPr>
            <w:tcW w:w="863" w:type="dxa"/>
            <w:tcBorders>
              <w:top w:val="nil"/>
              <w:left w:val="nil"/>
              <w:bottom w:val="nil"/>
              <w:right w:val="nil"/>
            </w:tcBorders>
            <w:shd w:val="clear" w:color="auto" w:fill="auto"/>
            <w:noWrap/>
            <w:hideMark/>
          </w:tcPr>
          <w:p w14:paraId="68514B5A" w14:textId="266F4794" w:rsidR="00836669" w:rsidRPr="002F0A15" w:rsidRDefault="00836669" w:rsidP="00836669">
            <w:pPr>
              <w:spacing w:after="0"/>
              <w:jc w:val="center"/>
              <w:rPr>
                <w:rFonts w:eastAsia="Times New Roman"/>
                <w:color w:val="000000"/>
                <w:sz w:val="20"/>
                <w:szCs w:val="20"/>
                <w:lang w:val="es-AR"/>
              </w:rPr>
            </w:pPr>
            <w:r w:rsidRPr="00363281">
              <w:t>0.02</w:t>
            </w:r>
          </w:p>
        </w:tc>
        <w:tc>
          <w:tcPr>
            <w:tcW w:w="839" w:type="dxa"/>
            <w:tcBorders>
              <w:top w:val="nil"/>
              <w:left w:val="nil"/>
              <w:bottom w:val="nil"/>
              <w:right w:val="nil"/>
            </w:tcBorders>
            <w:shd w:val="clear" w:color="auto" w:fill="auto"/>
            <w:noWrap/>
            <w:hideMark/>
          </w:tcPr>
          <w:p w14:paraId="11C4B947" w14:textId="7552D144" w:rsidR="00836669" w:rsidRPr="002F0A15" w:rsidRDefault="00836669" w:rsidP="00836669">
            <w:pPr>
              <w:spacing w:after="0"/>
              <w:jc w:val="center"/>
              <w:rPr>
                <w:rFonts w:eastAsia="Times New Roman"/>
                <w:color w:val="000000"/>
                <w:sz w:val="20"/>
                <w:szCs w:val="20"/>
                <w:lang w:val="es-AR"/>
              </w:rPr>
            </w:pPr>
            <w:r w:rsidRPr="00363281">
              <w:t>1.39</w:t>
            </w:r>
          </w:p>
        </w:tc>
        <w:tc>
          <w:tcPr>
            <w:tcW w:w="658" w:type="dxa"/>
            <w:tcBorders>
              <w:top w:val="nil"/>
              <w:left w:val="nil"/>
              <w:bottom w:val="nil"/>
              <w:right w:val="nil"/>
            </w:tcBorders>
            <w:shd w:val="clear" w:color="auto" w:fill="auto"/>
            <w:noWrap/>
            <w:hideMark/>
          </w:tcPr>
          <w:p w14:paraId="43049CC1" w14:textId="131255FF" w:rsidR="00836669" w:rsidRPr="002F0A15" w:rsidRDefault="00836669" w:rsidP="00836669">
            <w:pPr>
              <w:spacing w:after="0"/>
              <w:jc w:val="center"/>
              <w:rPr>
                <w:rFonts w:eastAsia="Times New Roman"/>
                <w:color w:val="000000"/>
                <w:sz w:val="20"/>
                <w:szCs w:val="20"/>
                <w:lang w:val="es-AR"/>
              </w:rPr>
            </w:pPr>
            <w:r w:rsidRPr="00363281">
              <w:t>0.16</w:t>
            </w:r>
          </w:p>
        </w:tc>
        <w:tc>
          <w:tcPr>
            <w:tcW w:w="658" w:type="dxa"/>
            <w:tcBorders>
              <w:top w:val="nil"/>
              <w:left w:val="nil"/>
              <w:bottom w:val="nil"/>
              <w:right w:val="nil"/>
            </w:tcBorders>
            <w:shd w:val="clear" w:color="auto" w:fill="auto"/>
            <w:noWrap/>
            <w:hideMark/>
          </w:tcPr>
          <w:p w14:paraId="22FE684A" w14:textId="7A8B7105" w:rsidR="00836669" w:rsidRPr="002F0A15" w:rsidRDefault="00836669" w:rsidP="00836669">
            <w:pPr>
              <w:spacing w:after="0"/>
              <w:jc w:val="center"/>
              <w:rPr>
                <w:rFonts w:eastAsia="Times New Roman"/>
                <w:color w:val="000000"/>
                <w:sz w:val="20"/>
                <w:szCs w:val="20"/>
                <w:lang w:val="es-AR"/>
              </w:rPr>
            </w:pPr>
            <w:r w:rsidRPr="00363281">
              <w:t>0.00</w:t>
            </w:r>
          </w:p>
        </w:tc>
        <w:tc>
          <w:tcPr>
            <w:tcW w:w="1043" w:type="dxa"/>
            <w:tcBorders>
              <w:top w:val="nil"/>
              <w:left w:val="nil"/>
              <w:bottom w:val="nil"/>
              <w:right w:val="nil"/>
            </w:tcBorders>
            <w:shd w:val="clear" w:color="auto" w:fill="auto"/>
            <w:noWrap/>
            <w:hideMark/>
          </w:tcPr>
          <w:p w14:paraId="14F3A000" w14:textId="71E27115" w:rsidR="00836669" w:rsidRPr="002F0A15" w:rsidRDefault="00836669" w:rsidP="00836669">
            <w:pPr>
              <w:spacing w:after="0"/>
              <w:jc w:val="center"/>
              <w:rPr>
                <w:rFonts w:eastAsia="Times New Roman"/>
                <w:color w:val="000000"/>
                <w:sz w:val="20"/>
                <w:szCs w:val="20"/>
                <w:lang w:val="es-AR"/>
              </w:rPr>
            </w:pPr>
            <w:r w:rsidRPr="00363281">
              <w:t>0.05</w:t>
            </w:r>
          </w:p>
        </w:tc>
      </w:tr>
      <w:tr w:rsidR="00836669" w:rsidRPr="00124C67" w14:paraId="074E6187" w14:textId="77777777" w:rsidTr="00836669">
        <w:trPr>
          <w:trHeight w:val="268"/>
        </w:trPr>
        <w:tc>
          <w:tcPr>
            <w:tcW w:w="3696" w:type="dxa"/>
            <w:tcBorders>
              <w:top w:val="nil"/>
              <w:left w:val="nil"/>
              <w:bottom w:val="nil"/>
              <w:right w:val="nil"/>
            </w:tcBorders>
            <w:shd w:val="clear" w:color="auto" w:fill="auto"/>
            <w:noWrap/>
            <w:vAlign w:val="center"/>
            <w:hideMark/>
          </w:tcPr>
          <w:p w14:paraId="00D3AB37" w14:textId="77777777" w:rsidR="00836669" w:rsidRPr="002F0A15" w:rsidRDefault="00836669" w:rsidP="00836669">
            <w:pPr>
              <w:spacing w:after="0"/>
              <w:jc w:val="left"/>
              <w:rPr>
                <w:rFonts w:eastAsia="Times New Roman"/>
                <w:color w:val="000000"/>
                <w:sz w:val="20"/>
                <w:szCs w:val="20"/>
                <w:lang w:val="es-AR"/>
              </w:rPr>
            </w:pPr>
            <w:proofErr w:type="spellStart"/>
            <w:r w:rsidRPr="002F0A15">
              <w:rPr>
                <w:rFonts w:eastAsia="Times New Roman"/>
                <w:color w:val="000000"/>
                <w:sz w:val="20"/>
                <w:szCs w:val="20"/>
                <w:lang w:val="es-AR"/>
              </w:rPr>
              <w:t>Independent</w:t>
            </w:r>
            <w:proofErr w:type="spellEnd"/>
            <w:r w:rsidRPr="002F0A15">
              <w:rPr>
                <w:rFonts w:eastAsia="Times New Roman"/>
                <w:color w:val="000000"/>
                <w:sz w:val="20"/>
                <w:szCs w:val="20"/>
                <w:lang w:val="es-AR"/>
              </w:rPr>
              <w:t xml:space="preserve"> </w:t>
            </w:r>
            <w:proofErr w:type="spellStart"/>
            <w:r w:rsidRPr="002F0A15">
              <w:rPr>
                <w:rFonts w:eastAsia="Times New Roman"/>
                <w:color w:val="000000"/>
                <w:sz w:val="20"/>
                <w:szCs w:val="20"/>
                <w:lang w:val="es-AR"/>
              </w:rPr>
              <w:t>worker</w:t>
            </w:r>
            <w:proofErr w:type="spellEnd"/>
          </w:p>
        </w:tc>
        <w:tc>
          <w:tcPr>
            <w:tcW w:w="1192" w:type="dxa"/>
            <w:tcBorders>
              <w:top w:val="nil"/>
              <w:left w:val="nil"/>
              <w:bottom w:val="nil"/>
              <w:right w:val="nil"/>
            </w:tcBorders>
            <w:shd w:val="clear" w:color="auto" w:fill="auto"/>
            <w:noWrap/>
            <w:hideMark/>
          </w:tcPr>
          <w:p w14:paraId="535BFC4D" w14:textId="39AF2A82" w:rsidR="00836669" w:rsidRPr="002F0A15" w:rsidRDefault="00836669" w:rsidP="00836669">
            <w:pPr>
              <w:spacing w:after="0"/>
              <w:jc w:val="center"/>
              <w:rPr>
                <w:rFonts w:eastAsia="Times New Roman"/>
                <w:color w:val="000000"/>
                <w:sz w:val="20"/>
                <w:szCs w:val="20"/>
                <w:lang w:val="es-AR"/>
              </w:rPr>
            </w:pPr>
            <w:r w:rsidRPr="00363281">
              <w:t>-0.01</w:t>
            </w:r>
          </w:p>
        </w:tc>
        <w:tc>
          <w:tcPr>
            <w:tcW w:w="863" w:type="dxa"/>
            <w:tcBorders>
              <w:top w:val="nil"/>
              <w:left w:val="nil"/>
              <w:bottom w:val="nil"/>
              <w:right w:val="nil"/>
            </w:tcBorders>
            <w:shd w:val="clear" w:color="auto" w:fill="auto"/>
            <w:noWrap/>
            <w:hideMark/>
          </w:tcPr>
          <w:p w14:paraId="0AEAECF8" w14:textId="331BEE30" w:rsidR="00836669" w:rsidRPr="002F0A15" w:rsidRDefault="00836669" w:rsidP="00836669">
            <w:pPr>
              <w:spacing w:after="0"/>
              <w:jc w:val="center"/>
              <w:rPr>
                <w:rFonts w:eastAsia="Times New Roman"/>
                <w:color w:val="000000"/>
                <w:sz w:val="20"/>
                <w:szCs w:val="20"/>
                <w:lang w:val="es-AR"/>
              </w:rPr>
            </w:pPr>
            <w:r w:rsidRPr="00363281">
              <w:t>0.01</w:t>
            </w:r>
          </w:p>
        </w:tc>
        <w:tc>
          <w:tcPr>
            <w:tcW w:w="839" w:type="dxa"/>
            <w:tcBorders>
              <w:top w:val="nil"/>
              <w:left w:val="nil"/>
              <w:bottom w:val="nil"/>
              <w:right w:val="nil"/>
            </w:tcBorders>
            <w:shd w:val="clear" w:color="auto" w:fill="auto"/>
            <w:noWrap/>
            <w:hideMark/>
          </w:tcPr>
          <w:p w14:paraId="7191A09C" w14:textId="3AFEC57A" w:rsidR="00836669" w:rsidRPr="002F0A15" w:rsidRDefault="00836669" w:rsidP="00836669">
            <w:pPr>
              <w:spacing w:after="0"/>
              <w:jc w:val="center"/>
              <w:rPr>
                <w:rFonts w:eastAsia="Times New Roman"/>
                <w:color w:val="000000"/>
                <w:sz w:val="20"/>
                <w:szCs w:val="20"/>
                <w:lang w:val="es-AR"/>
              </w:rPr>
            </w:pPr>
            <w:r w:rsidRPr="00363281">
              <w:t>-0.54</w:t>
            </w:r>
          </w:p>
        </w:tc>
        <w:tc>
          <w:tcPr>
            <w:tcW w:w="658" w:type="dxa"/>
            <w:tcBorders>
              <w:top w:val="nil"/>
              <w:left w:val="nil"/>
              <w:bottom w:val="nil"/>
              <w:right w:val="nil"/>
            </w:tcBorders>
            <w:shd w:val="clear" w:color="auto" w:fill="auto"/>
            <w:noWrap/>
            <w:hideMark/>
          </w:tcPr>
          <w:p w14:paraId="7ACB7B8D" w14:textId="77A32C2D" w:rsidR="00836669" w:rsidRPr="002F0A15" w:rsidRDefault="00836669" w:rsidP="00836669">
            <w:pPr>
              <w:spacing w:after="0"/>
              <w:jc w:val="center"/>
              <w:rPr>
                <w:rFonts w:eastAsia="Times New Roman"/>
                <w:color w:val="000000"/>
                <w:sz w:val="20"/>
                <w:szCs w:val="20"/>
                <w:lang w:val="es-AR"/>
              </w:rPr>
            </w:pPr>
            <w:r w:rsidRPr="00363281">
              <w:t>0.59</w:t>
            </w:r>
          </w:p>
        </w:tc>
        <w:tc>
          <w:tcPr>
            <w:tcW w:w="658" w:type="dxa"/>
            <w:tcBorders>
              <w:top w:val="nil"/>
              <w:left w:val="nil"/>
              <w:bottom w:val="nil"/>
              <w:right w:val="nil"/>
            </w:tcBorders>
            <w:shd w:val="clear" w:color="auto" w:fill="auto"/>
            <w:noWrap/>
            <w:hideMark/>
          </w:tcPr>
          <w:p w14:paraId="6B4FCC3A" w14:textId="1AD65C7E" w:rsidR="00836669" w:rsidRPr="002F0A15" w:rsidRDefault="00836669" w:rsidP="00836669">
            <w:pPr>
              <w:spacing w:after="0"/>
              <w:jc w:val="center"/>
              <w:rPr>
                <w:rFonts w:eastAsia="Times New Roman"/>
                <w:color w:val="000000"/>
                <w:sz w:val="20"/>
                <w:szCs w:val="20"/>
                <w:lang w:val="es-AR"/>
              </w:rPr>
            </w:pPr>
            <w:r w:rsidRPr="00363281">
              <w:t>-0.03</w:t>
            </w:r>
          </w:p>
        </w:tc>
        <w:tc>
          <w:tcPr>
            <w:tcW w:w="1043" w:type="dxa"/>
            <w:tcBorders>
              <w:top w:val="nil"/>
              <w:left w:val="nil"/>
              <w:bottom w:val="nil"/>
              <w:right w:val="nil"/>
            </w:tcBorders>
            <w:shd w:val="clear" w:color="auto" w:fill="auto"/>
            <w:noWrap/>
            <w:hideMark/>
          </w:tcPr>
          <w:p w14:paraId="6F5ABE96" w14:textId="1DF06589" w:rsidR="00836669" w:rsidRPr="002F0A15" w:rsidRDefault="00836669" w:rsidP="00836669">
            <w:pPr>
              <w:spacing w:after="0"/>
              <w:jc w:val="center"/>
              <w:rPr>
                <w:rFonts w:eastAsia="Times New Roman"/>
                <w:color w:val="000000"/>
                <w:sz w:val="20"/>
                <w:szCs w:val="20"/>
                <w:lang w:val="es-AR"/>
              </w:rPr>
            </w:pPr>
            <w:r w:rsidRPr="00363281">
              <w:t>0.02</w:t>
            </w:r>
          </w:p>
        </w:tc>
      </w:tr>
      <w:tr w:rsidR="00836669" w:rsidRPr="00124C67" w14:paraId="42FC2565" w14:textId="77777777" w:rsidTr="00836669">
        <w:trPr>
          <w:trHeight w:val="268"/>
        </w:trPr>
        <w:tc>
          <w:tcPr>
            <w:tcW w:w="3696" w:type="dxa"/>
            <w:tcBorders>
              <w:top w:val="single" w:sz="4" w:space="0" w:color="auto"/>
              <w:left w:val="nil"/>
              <w:bottom w:val="nil"/>
              <w:right w:val="nil"/>
            </w:tcBorders>
            <w:shd w:val="clear" w:color="auto" w:fill="auto"/>
            <w:noWrap/>
            <w:vAlign w:val="center"/>
            <w:hideMark/>
          </w:tcPr>
          <w:p w14:paraId="65003435" w14:textId="77777777" w:rsidR="00836669" w:rsidRPr="002F0A15" w:rsidRDefault="00836669" w:rsidP="00836669">
            <w:pPr>
              <w:spacing w:after="0"/>
              <w:jc w:val="left"/>
              <w:rPr>
                <w:rFonts w:eastAsia="Times New Roman"/>
                <w:color w:val="000000"/>
                <w:sz w:val="20"/>
                <w:szCs w:val="20"/>
                <w:lang w:val="es-AR"/>
              </w:rPr>
            </w:pPr>
            <w:r w:rsidRPr="002F0A15">
              <w:rPr>
                <w:rFonts w:eastAsia="Times New Roman"/>
                <w:color w:val="000000"/>
                <w:sz w:val="20"/>
                <w:szCs w:val="20"/>
                <w:lang w:val="es-AR"/>
              </w:rPr>
              <w:t>R2</w:t>
            </w:r>
          </w:p>
        </w:tc>
        <w:tc>
          <w:tcPr>
            <w:tcW w:w="1192" w:type="dxa"/>
            <w:tcBorders>
              <w:top w:val="single" w:sz="4" w:space="0" w:color="auto"/>
              <w:left w:val="nil"/>
              <w:bottom w:val="nil"/>
              <w:right w:val="nil"/>
            </w:tcBorders>
            <w:shd w:val="clear" w:color="auto" w:fill="auto"/>
            <w:noWrap/>
            <w:hideMark/>
          </w:tcPr>
          <w:p w14:paraId="53DFCFFC" w14:textId="400F3275" w:rsidR="00836669" w:rsidRPr="002F0A15" w:rsidRDefault="00836669" w:rsidP="00836669">
            <w:pPr>
              <w:spacing w:after="0"/>
              <w:jc w:val="center"/>
              <w:rPr>
                <w:rFonts w:eastAsia="Times New Roman"/>
                <w:color w:val="000000"/>
                <w:sz w:val="20"/>
                <w:szCs w:val="20"/>
                <w:lang w:val="es-AR"/>
              </w:rPr>
            </w:pPr>
            <w:r w:rsidRPr="00363281">
              <w:t>0.03</w:t>
            </w:r>
          </w:p>
        </w:tc>
        <w:tc>
          <w:tcPr>
            <w:tcW w:w="863" w:type="dxa"/>
            <w:tcBorders>
              <w:top w:val="single" w:sz="4" w:space="0" w:color="auto"/>
              <w:left w:val="nil"/>
              <w:bottom w:val="nil"/>
              <w:right w:val="nil"/>
            </w:tcBorders>
            <w:shd w:val="clear" w:color="auto" w:fill="auto"/>
            <w:noWrap/>
            <w:hideMark/>
          </w:tcPr>
          <w:p w14:paraId="4C3AE49E" w14:textId="220F9A0F" w:rsidR="00836669" w:rsidRPr="002F0A15" w:rsidRDefault="00836669" w:rsidP="00836669">
            <w:pPr>
              <w:spacing w:after="0"/>
              <w:jc w:val="center"/>
              <w:rPr>
                <w:rFonts w:eastAsia="Times New Roman"/>
                <w:color w:val="000000"/>
                <w:sz w:val="20"/>
                <w:szCs w:val="20"/>
                <w:lang w:val="es-AR"/>
              </w:rPr>
            </w:pPr>
          </w:p>
        </w:tc>
        <w:tc>
          <w:tcPr>
            <w:tcW w:w="839" w:type="dxa"/>
            <w:tcBorders>
              <w:top w:val="single" w:sz="4" w:space="0" w:color="auto"/>
              <w:left w:val="nil"/>
              <w:bottom w:val="nil"/>
              <w:right w:val="nil"/>
            </w:tcBorders>
            <w:shd w:val="clear" w:color="auto" w:fill="auto"/>
            <w:noWrap/>
            <w:hideMark/>
          </w:tcPr>
          <w:p w14:paraId="0A6154B9" w14:textId="4B95E5F9" w:rsidR="00836669" w:rsidRPr="002F0A15" w:rsidRDefault="00836669" w:rsidP="00836669">
            <w:pPr>
              <w:spacing w:after="0"/>
              <w:jc w:val="center"/>
              <w:rPr>
                <w:rFonts w:eastAsia="Times New Roman"/>
                <w:color w:val="000000"/>
                <w:sz w:val="20"/>
                <w:szCs w:val="20"/>
                <w:lang w:val="es-AR"/>
              </w:rPr>
            </w:pPr>
          </w:p>
        </w:tc>
        <w:tc>
          <w:tcPr>
            <w:tcW w:w="658" w:type="dxa"/>
            <w:tcBorders>
              <w:top w:val="single" w:sz="4" w:space="0" w:color="auto"/>
              <w:left w:val="nil"/>
              <w:bottom w:val="nil"/>
              <w:right w:val="nil"/>
            </w:tcBorders>
            <w:shd w:val="clear" w:color="auto" w:fill="auto"/>
            <w:noWrap/>
            <w:hideMark/>
          </w:tcPr>
          <w:p w14:paraId="52FBF015" w14:textId="50A467F5" w:rsidR="00836669" w:rsidRPr="002F0A15" w:rsidRDefault="00836669" w:rsidP="00836669">
            <w:pPr>
              <w:spacing w:after="0"/>
              <w:jc w:val="center"/>
              <w:rPr>
                <w:rFonts w:eastAsia="Times New Roman"/>
                <w:color w:val="000000"/>
                <w:sz w:val="20"/>
                <w:szCs w:val="20"/>
                <w:lang w:val="es-AR"/>
              </w:rPr>
            </w:pPr>
          </w:p>
        </w:tc>
        <w:tc>
          <w:tcPr>
            <w:tcW w:w="658" w:type="dxa"/>
            <w:tcBorders>
              <w:top w:val="single" w:sz="4" w:space="0" w:color="auto"/>
              <w:left w:val="nil"/>
              <w:bottom w:val="nil"/>
              <w:right w:val="nil"/>
            </w:tcBorders>
            <w:shd w:val="clear" w:color="auto" w:fill="auto"/>
            <w:noWrap/>
            <w:hideMark/>
          </w:tcPr>
          <w:p w14:paraId="26363C48" w14:textId="4E350E6D" w:rsidR="00836669" w:rsidRPr="002F0A15" w:rsidRDefault="00836669" w:rsidP="00836669">
            <w:pPr>
              <w:spacing w:after="0"/>
              <w:jc w:val="center"/>
              <w:rPr>
                <w:rFonts w:eastAsia="Times New Roman"/>
                <w:color w:val="000000"/>
                <w:sz w:val="20"/>
                <w:szCs w:val="20"/>
                <w:lang w:val="es-AR"/>
              </w:rPr>
            </w:pPr>
          </w:p>
        </w:tc>
        <w:tc>
          <w:tcPr>
            <w:tcW w:w="1043" w:type="dxa"/>
            <w:tcBorders>
              <w:top w:val="single" w:sz="4" w:space="0" w:color="auto"/>
              <w:left w:val="nil"/>
              <w:bottom w:val="nil"/>
              <w:right w:val="nil"/>
            </w:tcBorders>
            <w:shd w:val="clear" w:color="auto" w:fill="auto"/>
            <w:noWrap/>
            <w:hideMark/>
          </w:tcPr>
          <w:p w14:paraId="09B36A28" w14:textId="64773F11" w:rsidR="00836669" w:rsidRPr="002F0A15" w:rsidRDefault="00836669" w:rsidP="00836669">
            <w:pPr>
              <w:spacing w:after="0"/>
              <w:jc w:val="center"/>
              <w:rPr>
                <w:rFonts w:eastAsia="Times New Roman"/>
                <w:color w:val="000000"/>
                <w:sz w:val="20"/>
                <w:szCs w:val="20"/>
                <w:lang w:val="es-AR"/>
              </w:rPr>
            </w:pPr>
          </w:p>
        </w:tc>
      </w:tr>
      <w:tr w:rsidR="00836669" w:rsidRPr="00124C67" w14:paraId="2518F6A0" w14:textId="77777777" w:rsidTr="00836669">
        <w:trPr>
          <w:trHeight w:val="268"/>
        </w:trPr>
        <w:tc>
          <w:tcPr>
            <w:tcW w:w="3696" w:type="dxa"/>
            <w:tcBorders>
              <w:top w:val="nil"/>
              <w:left w:val="nil"/>
              <w:bottom w:val="single" w:sz="4" w:space="0" w:color="auto"/>
              <w:right w:val="nil"/>
            </w:tcBorders>
            <w:shd w:val="clear" w:color="auto" w:fill="auto"/>
            <w:noWrap/>
            <w:vAlign w:val="center"/>
            <w:hideMark/>
          </w:tcPr>
          <w:p w14:paraId="5E337B9E" w14:textId="77777777" w:rsidR="00836669" w:rsidRPr="002F0A15" w:rsidRDefault="00836669" w:rsidP="00836669">
            <w:pPr>
              <w:spacing w:after="0"/>
              <w:jc w:val="left"/>
              <w:rPr>
                <w:rFonts w:eastAsia="Times New Roman"/>
                <w:color w:val="000000"/>
                <w:sz w:val="20"/>
                <w:szCs w:val="20"/>
                <w:lang w:val="es-AR"/>
              </w:rPr>
            </w:pPr>
            <w:r w:rsidRPr="002F0A15">
              <w:rPr>
                <w:rFonts w:eastAsia="Times New Roman"/>
                <w:color w:val="000000"/>
                <w:sz w:val="20"/>
                <w:szCs w:val="20"/>
                <w:lang w:val="es-AR"/>
              </w:rPr>
              <w:t>n</w:t>
            </w:r>
          </w:p>
        </w:tc>
        <w:tc>
          <w:tcPr>
            <w:tcW w:w="1192" w:type="dxa"/>
            <w:tcBorders>
              <w:top w:val="nil"/>
              <w:left w:val="nil"/>
              <w:bottom w:val="single" w:sz="4" w:space="0" w:color="auto"/>
              <w:right w:val="nil"/>
            </w:tcBorders>
            <w:shd w:val="clear" w:color="auto" w:fill="auto"/>
            <w:noWrap/>
            <w:hideMark/>
          </w:tcPr>
          <w:p w14:paraId="781A33C3" w14:textId="26EC991B" w:rsidR="00836669" w:rsidRPr="002F0A15" w:rsidRDefault="00836669" w:rsidP="00836669">
            <w:pPr>
              <w:spacing w:after="0"/>
              <w:jc w:val="center"/>
              <w:rPr>
                <w:rFonts w:eastAsia="Times New Roman"/>
                <w:color w:val="000000"/>
                <w:sz w:val="20"/>
                <w:szCs w:val="20"/>
                <w:lang w:val="es-AR"/>
              </w:rPr>
            </w:pPr>
            <w:r w:rsidRPr="00363281">
              <w:t>2182</w:t>
            </w:r>
          </w:p>
        </w:tc>
        <w:tc>
          <w:tcPr>
            <w:tcW w:w="863" w:type="dxa"/>
            <w:tcBorders>
              <w:top w:val="nil"/>
              <w:left w:val="nil"/>
              <w:bottom w:val="single" w:sz="4" w:space="0" w:color="auto"/>
              <w:right w:val="nil"/>
            </w:tcBorders>
            <w:shd w:val="clear" w:color="auto" w:fill="auto"/>
            <w:noWrap/>
            <w:hideMark/>
          </w:tcPr>
          <w:p w14:paraId="2040B81A" w14:textId="5DBA758D" w:rsidR="00836669" w:rsidRPr="002F0A15" w:rsidRDefault="00836669" w:rsidP="00836669">
            <w:pPr>
              <w:spacing w:after="0"/>
              <w:jc w:val="center"/>
              <w:rPr>
                <w:rFonts w:eastAsia="Times New Roman"/>
                <w:color w:val="000000"/>
                <w:sz w:val="20"/>
                <w:szCs w:val="20"/>
                <w:lang w:val="es-AR"/>
              </w:rPr>
            </w:pPr>
          </w:p>
        </w:tc>
        <w:tc>
          <w:tcPr>
            <w:tcW w:w="839" w:type="dxa"/>
            <w:tcBorders>
              <w:top w:val="nil"/>
              <w:left w:val="nil"/>
              <w:bottom w:val="single" w:sz="4" w:space="0" w:color="auto"/>
              <w:right w:val="nil"/>
            </w:tcBorders>
            <w:shd w:val="clear" w:color="auto" w:fill="auto"/>
            <w:noWrap/>
            <w:hideMark/>
          </w:tcPr>
          <w:p w14:paraId="6DE38573" w14:textId="553C8CC5" w:rsidR="00836669" w:rsidRPr="002F0A15" w:rsidRDefault="00836669" w:rsidP="00836669">
            <w:pPr>
              <w:spacing w:after="0"/>
              <w:jc w:val="center"/>
              <w:rPr>
                <w:rFonts w:eastAsia="Times New Roman"/>
                <w:color w:val="000000"/>
                <w:sz w:val="20"/>
                <w:szCs w:val="20"/>
                <w:lang w:val="es-AR"/>
              </w:rPr>
            </w:pPr>
          </w:p>
        </w:tc>
        <w:tc>
          <w:tcPr>
            <w:tcW w:w="658" w:type="dxa"/>
            <w:tcBorders>
              <w:top w:val="nil"/>
              <w:left w:val="nil"/>
              <w:bottom w:val="single" w:sz="4" w:space="0" w:color="auto"/>
              <w:right w:val="nil"/>
            </w:tcBorders>
            <w:shd w:val="clear" w:color="auto" w:fill="auto"/>
            <w:noWrap/>
            <w:hideMark/>
          </w:tcPr>
          <w:p w14:paraId="4C837BF8" w14:textId="0EF146A6" w:rsidR="00836669" w:rsidRPr="002F0A15" w:rsidRDefault="00836669" w:rsidP="00836669">
            <w:pPr>
              <w:spacing w:after="0"/>
              <w:jc w:val="center"/>
              <w:rPr>
                <w:rFonts w:eastAsia="Times New Roman"/>
                <w:color w:val="000000"/>
                <w:sz w:val="20"/>
                <w:szCs w:val="20"/>
                <w:lang w:val="es-AR"/>
              </w:rPr>
            </w:pPr>
          </w:p>
        </w:tc>
        <w:tc>
          <w:tcPr>
            <w:tcW w:w="658" w:type="dxa"/>
            <w:tcBorders>
              <w:top w:val="nil"/>
              <w:left w:val="nil"/>
              <w:bottom w:val="single" w:sz="4" w:space="0" w:color="auto"/>
              <w:right w:val="nil"/>
            </w:tcBorders>
            <w:shd w:val="clear" w:color="auto" w:fill="auto"/>
            <w:noWrap/>
            <w:hideMark/>
          </w:tcPr>
          <w:p w14:paraId="6B37C836" w14:textId="5930030E" w:rsidR="00836669" w:rsidRPr="002F0A15" w:rsidRDefault="00836669" w:rsidP="00836669">
            <w:pPr>
              <w:spacing w:after="0"/>
              <w:jc w:val="center"/>
              <w:rPr>
                <w:rFonts w:eastAsia="Times New Roman"/>
                <w:color w:val="000000"/>
                <w:sz w:val="20"/>
                <w:szCs w:val="20"/>
                <w:lang w:val="es-AR"/>
              </w:rPr>
            </w:pPr>
          </w:p>
        </w:tc>
        <w:tc>
          <w:tcPr>
            <w:tcW w:w="1043" w:type="dxa"/>
            <w:tcBorders>
              <w:top w:val="nil"/>
              <w:left w:val="nil"/>
              <w:bottom w:val="single" w:sz="4" w:space="0" w:color="auto"/>
              <w:right w:val="nil"/>
            </w:tcBorders>
            <w:shd w:val="clear" w:color="auto" w:fill="auto"/>
            <w:noWrap/>
            <w:hideMark/>
          </w:tcPr>
          <w:p w14:paraId="5608A7C4" w14:textId="21F20522" w:rsidR="00836669" w:rsidRPr="002F0A15" w:rsidRDefault="00836669" w:rsidP="00836669">
            <w:pPr>
              <w:spacing w:after="0"/>
              <w:jc w:val="center"/>
              <w:rPr>
                <w:rFonts w:eastAsia="Times New Roman"/>
                <w:color w:val="000000"/>
                <w:sz w:val="20"/>
                <w:szCs w:val="20"/>
                <w:lang w:val="es-AR"/>
              </w:rPr>
            </w:pPr>
          </w:p>
        </w:tc>
      </w:tr>
    </w:tbl>
    <w:p w14:paraId="49BA2B98" w14:textId="62D9F625" w:rsidR="00E04F5C" w:rsidRPr="00546537" w:rsidRDefault="00E04F5C" w:rsidP="00E04F5C">
      <w:pPr>
        <w:pBdr>
          <w:top w:val="nil"/>
          <w:left w:val="nil"/>
          <w:bottom w:val="nil"/>
          <w:right w:val="nil"/>
          <w:between w:val="nil"/>
        </w:pBdr>
        <w:spacing w:after="0"/>
        <w:rPr>
          <w:lang w:val="en-US"/>
        </w:rPr>
      </w:pPr>
      <w:r w:rsidRPr="007D3DD1">
        <w:rPr>
          <w:b/>
          <w:bCs/>
          <w:lang w:val="en"/>
        </w:rPr>
        <w:t xml:space="preserve">Table </w:t>
      </w:r>
      <w:r>
        <w:rPr>
          <w:b/>
          <w:bCs/>
          <w:lang w:val="en"/>
        </w:rPr>
        <w:t>A2.8</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xml:space="preserve">** p value less than 5%, *** p value less than 1%. </w:t>
      </w:r>
      <w:r w:rsidR="00DE4321">
        <w:rPr>
          <w:lang w:val="en-US"/>
        </w:rPr>
        <w:t>Industry and occupation similarity have been buil</w:t>
      </w:r>
      <w:r w:rsidR="00836669">
        <w:rPr>
          <w:lang w:val="en-US"/>
        </w:rPr>
        <w:t>t</w:t>
      </w:r>
      <w:r w:rsidR="00DE4321">
        <w:rPr>
          <w:lang w:val="en-US"/>
        </w:rPr>
        <w:t xml:space="preserve"> based on all job transitions that </w:t>
      </w:r>
      <w:r w:rsidR="00836669">
        <w:rPr>
          <w:lang w:val="en-US"/>
        </w:rPr>
        <w:t>did not go</w:t>
      </w:r>
      <w:r w:rsidR="00DE4321">
        <w:rPr>
          <w:lang w:val="en-US"/>
        </w:rPr>
        <w:t xml:space="preserve"> through a period of </w:t>
      </w:r>
      <w:r w:rsidR="00836669">
        <w:rPr>
          <w:lang w:val="en-US"/>
        </w:rPr>
        <w:t>unemployment</w:t>
      </w:r>
      <w:r w:rsidR="00DE4321">
        <w:rPr>
          <w:lang w:val="en-US"/>
        </w:rPr>
        <w:t>. The sample in this regression comprises all the job-to-job transitions that include a period of unemployment.</w:t>
      </w:r>
    </w:p>
    <w:p w14:paraId="06274D66" w14:textId="77777777" w:rsidR="00E04F5C" w:rsidRDefault="00E04F5C" w:rsidP="00E04F5C">
      <w:pPr>
        <w:rPr>
          <w:b/>
          <w:bCs/>
          <w:sz w:val="20"/>
          <w:szCs w:val="20"/>
          <w:lang w:val="en"/>
        </w:rPr>
      </w:pPr>
    </w:p>
    <w:tbl>
      <w:tblPr>
        <w:tblW w:w="8936" w:type="dxa"/>
        <w:tblCellMar>
          <w:left w:w="70" w:type="dxa"/>
          <w:right w:w="70" w:type="dxa"/>
        </w:tblCellMar>
        <w:tblLook w:val="04A0" w:firstRow="1" w:lastRow="0" w:firstColumn="1" w:lastColumn="0" w:noHBand="0" w:noVBand="1"/>
      </w:tblPr>
      <w:tblGrid>
        <w:gridCol w:w="3691"/>
        <w:gridCol w:w="1191"/>
        <w:gridCol w:w="862"/>
        <w:gridCol w:w="837"/>
        <w:gridCol w:w="657"/>
        <w:gridCol w:w="657"/>
        <w:gridCol w:w="1041"/>
      </w:tblGrid>
      <w:tr w:rsidR="00E04F5C" w:rsidRPr="00124C67" w14:paraId="0F10705E" w14:textId="77777777" w:rsidTr="00836669">
        <w:trPr>
          <w:trHeight w:val="282"/>
        </w:trPr>
        <w:tc>
          <w:tcPr>
            <w:tcW w:w="3691" w:type="dxa"/>
            <w:tcBorders>
              <w:top w:val="single" w:sz="4" w:space="0" w:color="auto"/>
              <w:left w:val="nil"/>
              <w:bottom w:val="single" w:sz="4" w:space="0" w:color="auto"/>
              <w:right w:val="nil"/>
            </w:tcBorders>
            <w:shd w:val="clear" w:color="auto" w:fill="auto"/>
            <w:noWrap/>
            <w:vAlign w:val="center"/>
            <w:hideMark/>
          </w:tcPr>
          <w:p w14:paraId="2CD0FA1A" w14:textId="77777777" w:rsidR="00E04F5C" w:rsidRPr="00836669" w:rsidRDefault="00E04F5C" w:rsidP="00836669">
            <w:pPr>
              <w:spacing w:after="0"/>
              <w:rPr>
                <w:rFonts w:eastAsia="Times New Roman"/>
                <w:color w:val="000000"/>
                <w:sz w:val="20"/>
                <w:szCs w:val="20"/>
                <w:lang w:val="es-AR"/>
              </w:rPr>
            </w:pPr>
            <w:proofErr w:type="spellStart"/>
            <w:r w:rsidRPr="00836669">
              <w:rPr>
                <w:rFonts w:eastAsia="Times New Roman"/>
                <w:color w:val="000000"/>
                <w:sz w:val="20"/>
                <w:szCs w:val="20"/>
                <w:lang w:val="es-AR"/>
              </w:rPr>
              <w:t>Dep</w:t>
            </w:r>
            <w:proofErr w:type="spellEnd"/>
            <w:r w:rsidRPr="00836669">
              <w:rPr>
                <w:rFonts w:eastAsia="Times New Roman"/>
                <w:color w:val="000000"/>
                <w:sz w:val="20"/>
                <w:szCs w:val="20"/>
                <w:lang w:val="es-AR"/>
              </w:rPr>
              <w:t xml:space="preserve"> </w:t>
            </w:r>
            <w:proofErr w:type="spellStart"/>
            <w:r w:rsidRPr="00836669">
              <w:rPr>
                <w:rFonts w:eastAsia="Times New Roman"/>
                <w:color w:val="000000"/>
                <w:sz w:val="20"/>
                <w:szCs w:val="20"/>
                <w:lang w:val="es-AR"/>
              </w:rPr>
              <w:t>var</w:t>
            </w:r>
            <w:proofErr w:type="spellEnd"/>
          </w:p>
          <w:p w14:paraId="68178C30" w14:textId="77777777" w:rsidR="00E04F5C" w:rsidRPr="00836669" w:rsidRDefault="00E04F5C" w:rsidP="00836669">
            <w:pPr>
              <w:spacing w:after="0"/>
              <w:rPr>
                <w:rFonts w:eastAsia="Times New Roman"/>
                <w:color w:val="000000"/>
                <w:sz w:val="20"/>
                <w:szCs w:val="20"/>
                <w:lang w:val="es-AR"/>
              </w:rPr>
            </w:pPr>
            <w:proofErr w:type="spellStart"/>
            <w:r w:rsidRPr="00836669">
              <w:rPr>
                <w:rFonts w:eastAsia="Times New Roman"/>
                <w:color w:val="000000"/>
                <w:sz w:val="20"/>
                <w:szCs w:val="20"/>
                <w:lang w:val="es-AR"/>
              </w:rPr>
              <w:t>QuarterlyChangeRealHourlyWage</w:t>
            </w:r>
            <w:proofErr w:type="spellEnd"/>
          </w:p>
        </w:tc>
        <w:tc>
          <w:tcPr>
            <w:tcW w:w="1191" w:type="dxa"/>
            <w:tcBorders>
              <w:top w:val="single" w:sz="4" w:space="0" w:color="auto"/>
              <w:left w:val="nil"/>
              <w:bottom w:val="single" w:sz="4" w:space="0" w:color="auto"/>
              <w:right w:val="nil"/>
            </w:tcBorders>
            <w:shd w:val="clear" w:color="auto" w:fill="auto"/>
            <w:noWrap/>
            <w:vAlign w:val="center"/>
            <w:hideMark/>
          </w:tcPr>
          <w:p w14:paraId="6A69F7FC" w14:textId="77777777" w:rsidR="00E04F5C" w:rsidRPr="00836669" w:rsidRDefault="00E04F5C" w:rsidP="00836669">
            <w:pPr>
              <w:spacing w:after="0"/>
              <w:jc w:val="center"/>
              <w:rPr>
                <w:rFonts w:eastAsia="Times New Roman"/>
                <w:color w:val="000000"/>
                <w:sz w:val="20"/>
                <w:szCs w:val="20"/>
                <w:lang w:val="es-AR"/>
              </w:rPr>
            </w:pPr>
            <w:proofErr w:type="spellStart"/>
            <w:r w:rsidRPr="00836669">
              <w:rPr>
                <w:rFonts w:eastAsia="Times New Roman"/>
                <w:color w:val="000000"/>
                <w:sz w:val="20"/>
                <w:szCs w:val="20"/>
                <w:lang w:val="es-AR"/>
              </w:rPr>
              <w:t>estimate</w:t>
            </w:r>
            <w:proofErr w:type="spellEnd"/>
          </w:p>
        </w:tc>
        <w:tc>
          <w:tcPr>
            <w:tcW w:w="862" w:type="dxa"/>
            <w:tcBorders>
              <w:top w:val="single" w:sz="4" w:space="0" w:color="auto"/>
              <w:left w:val="nil"/>
              <w:bottom w:val="single" w:sz="4" w:space="0" w:color="auto"/>
              <w:right w:val="nil"/>
            </w:tcBorders>
            <w:shd w:val="clear" w:color="auto" w:fill="auto"/>
            <w:noWrap/>
            <w:vAlign w:val="center"/>
            <w:hideMark/>
          </w:tcPr>
          <w:p w14:paraId="7E5B639F" w14:textId="77777777" w:rsidR="00E04F5C" w:rsidRPr="00836669" w:rsidRDefault="00E04F5C" w:rsidP="00836669">
            <w:pPr>
              <w:spacing w:after="0"/>
              <w:jc w:val="center"/>
              <w:rPr>
                <w:rFonts w:eastAsia="Times New Roman"/>
                <w:color w:val="000000"/>
                <w:sz w:val="20"/>
                <w:szCs w:val="20"/>
                <w:lang w:val="es-AR"/>
              </w:rPr>
            </w:pPr>
            <w:proofErr w:type="spellStart"/>
            <w:proofErr w:type="gramStart"/>
            <w:r w:rsidRPr="00836669">
              <w:rPr>
                <w:rFonts w:eastAsia="Times New Roman"/>
                <w:color w:val="000000"/>
                <w:sz w:val="20"/>
                <w:szCs w:val="20"/>
                <w:lang w:val="es-AR"/>
              </w:rPr>
              <w:t>std.error</w:t>
            </w:r>
            <w:proofErr w:type="spellEnd"/>
            <w:proofErr w:type="gramEnd"/>
          </w:p>
        </w:tc>
        <w:tc>
          <w:tcPr>
            <w:tcW w:w="837" w:type="dxa"/>
            <w:tcBorders>
              <w:top w:val="single" w:sz="4" w:space="0" w:color="auto"/>
              <w:left w:val="nil"/>
              <w:bottom w:val="single" w:sz="4" w:space="0" w:color="auto"/>
              <w:right w:val="nil"/>
            </w:tcBorders>
            <w:shd w:val="clear" w:color="auto" w:fill="auto"/>
            <w:noWrap/>
            <w:vAlign w:val="center"/>
            <w:hideMark/>
          </w:tcPr>
          <w:p w14:paraId="1309CC3E" w14:textId="77777777" w:rsidR="00E04F5C" w:rsidRPr="00836669" w:rsidRDefault="00E04F5C" w:rsidP="00836669">
            <w:pPr>
              <w:spacing w:after="0"/>
              <w:jc w:val="center"/>
              <w:rPr>
                <w:rFonts w:eastAsia="Times New Roman"/>
                <w:color w:val="000000"/>
                <w:sz w:val="20"/>
                <w:szCs w:val="20"/>
                <w:lang w:val="es-AR"/>
              </w:rPr>
            </w:pPr>
            <w:proofErr w:type="spellStart"/>
            <w:r w:rsidRPr="00836669">
              <w:rPr>
                <w:rFonts w:eastAsia="Times New Roman"/>
                <w:color w:val="000000"/>
                <w:sz w:val="20"/>
                <w:szCs w:val="20"/>
                <w:lang w:val="es-AR"/>
              </w:rPr>
              <w:t>p.value</w:t>
            </w:r>
            <w:proofErr w:type="spellEnd"/>
          </w:p>
        </w:tc>
        <w:tc>
          <w:tcPr>
            <w:tcW w:w="657" w:type="dxa"/>
            <w:tcBorders>
              <w:top w:val="single" w:sz="4" w:space="0" w:color="auto"/>
              <w:left w:val="nil"/>
              <w:bottom w:val="single" w:sz="4" w:space="0" w:color="auto"/>
              <w:right w:val="nil"/>
            </w:tcBorders>
            <w:shd w:val="clear" w:color="auto" w:fill="auto"/>
            <w:noWrap/>
            <w:vAlign w:val="center"/>
            <w:hideMark/>
          </w:tcPr>
          <w:p w14:paraId="79ED1533" w14:textId="77777777" w:rsidR="00E04F5C" w:rsidRPr="00836669" w:rsidRDefault="00E04F5C" w:rsidP="00836669">
            <w:pPr>
              <w:spacing w:after="0"/>
              <w:jc w:val="center"/>
              <w:rPr>
                <w:rFonts w:eastAsia="Times New Roman"/>
                <w:color w:val="000000"/>
                <w:sz w:val="20"/>
                <w:szCs w:val="20"/>
                <w:lang w:val="es-AR"/>
              </w:rPr>
            </w:pPr>
            <w:r w:rsidRPr="00836669">
              <w:rPr>
                <w:rFonts w:eastAsia="Times New Roman"/>
                <w:color w:val="000000"/>
                <w:sz w:val="20"/>
                <w:szCs w:val="20"/>
                <w:lang w:val="es-AR"/>
              </w:rPr>
              <w:t>Lb (CI 90%)</w:t>
            </w:r>
          </w:p>
        </w:tc>
        <w:tc>
          <w:tcPr>
            <w:tcW w:w="657" w:type="dxa"/>
            <w:tcBorders>
              <w:top w:val="single" w:sz="4" w:space="0" w:color="auto"/>
              <w:left w:val="nil"/>
              <w:bottom w:val="single" w:sz="4" w:space="0" w:color="auto"/>
              <w:right w:val="nil"/>
            </w:tcBorders>
            <w:shd w:val="clear" w:color="auto" w:fill="auto"/>
            <w:noWrap/>
            <w:vAlign w:val="center"/>
            <w:hideMark/>
          </w:tcPr>
          <w:p w14:paraId="17534BF4" w14:textId="77777777" w:rsidR="00E04F5C" w:rsidRPr="00836669" w:rsidRDefault="00E04F5C" w:rsidP="00836669">
            <w:pPr>
              <w:spacing w:after="0"/>
              <w:jc w:val="center"/>
              <w:rPr>
                <w:rFonts w:eastAsia="Times New Roman"/>
                <w:color w:val="000000"/>
                <w:sz w:val="20"/>
                <w:szCs w:val="20"/>
                <w:lang w:val="es-AR"/>
              </w:rPr>
            </w:pPr>
            <w:proofErr w:type="spellStart"/>
            <w:r w:rsidRPr="00836669">
              <w:rPr>
                <w:rFonts w:eastAsia="Times New Roman"/>
                <w:color w:val="000000"/>
                <w:sz w:val="20"/>
                <w:szCs w:val="20"/>
                <w:lang w:val="es-AR"/>
              </w:rPr>
              <w:t>Ub</w:t>
            </w:r>
            <w:proofErr w:type="spellEnd"/>
            <w:r w:rsidRPr="00836669">
              <w:rPr>
                <w:rFonts w:eastAsia="Times New Roman"/>
                <w:color w:val="000000"/>
                <w:sz w:val="20"/>
                <w:szCs w:val="20"/>
                <w:lang w:val="es-AR"/>
              </w:rPr>
              <w:t xml:space="preserve"> (CI 90%)</w:t>
            </w:r>
          </w:p>
        </w:tc>
        <w:tc>
          <w:tcPr>
            <w:tcW w:w="1041" w:type="dxa"/>
            <w:tcBorders>
              <w:top w:val="single" w:sz="4" w:space="0" w:color="auto"/>
              <w:left w:val="nil"/>
              <w:bottom w:val="single" w:sz="4" w:space="0" w:color="auto"/>
              <w:right w:val="nil"/>
            </w:tcBorders>
            <w:shd w:val="clear" w:color="auto" w:fill="auto"/>
            <w:noWrap/>
            <w:vAlign w:val="center"/>
            <w:hideMark/>
          </w:tcPr>
          <w:p w14:paraId="71957E05" w14:textId="77777777" w:rsidR="00E04F5C" w:rsidRPr="00836669" w:rsidRDefault="00E04F5C" w:rsidP="00836669">
            <w:pPr>
              <w:spacing w:after="0"/>
              <w:jc w:val="center"/>
              <w:rPr>
                <w:rFonts w:eastAsia="Times New Roman"/>
                <w:color w:val="000000"/>
                <w:sz w:val="20"/>
                <w:szCs w:val="20"/>
                <w:lang w:val="es-AR"/>
              </w:rPr>
            </w:pPr>
            <w:proofErr w:type="spellStart"/>
            <w:r w:rsidRPr="00836669">
              <w:rPr>
                <w:rFonts w:eastAsia="Times New Roman"/>
                <w:color w:val="000000"/>
                <w:sz w:val="20"/>
                <w:szCs w:val="20"/>
                <w:lang w:val="es-AR"/>
              </w:rPr>
              <w:t>coefPvalue</w:t>
            </w:r>
            <w:proofErr w:type="spellEnd"/>
          </w:p>
        </w:tc>
      </w:tr>
      <w:tr w:rsidR="00836669" w:rsidRPr="00124C67" w14:paraId="27210B37" w14:textId="77777777" w:rsidTr="00836669">
        <w:trPr>
          <w:trHeight w:val="282"/>
        </w:trPr>
        <w:tc>
          <w:tcPr>
            <w:tcW w:w="3691" w:type="dxa"/>
            <w:tcBorders>
              <w:top w:val="nil"/>
              <w:left w:val="nil"/>
              <w:bottom w:val="nil"/>
              <w:right w:val="nil"/>
            </w:tcBorders>
            <w:shd w:val="clear" w:color="auto" w:fill="auto"/>
            <w:noWrap/>
            <w:vAlign w:val="center"/>
            <w:hideMark/>
          </w:tcPr>
          <w:p w14:paraId="04B38504" w14:textId="77777777" w:rsidR="00836669" w:rsidRPr="00836669" w:rsidRDefault="00836669" w:rsidP="00836669">
            <w:pPr>
              <w:spacing w:after="0"/>
              <w:jc w:val="left"/>
              <w:rPr>
                <w:rFonts w:eastAsia="Times New Roman"/>
                <w:color w:val="000000"/>
                <w:sz w:val="20"/>
                <w:szCs w:val="20"/>
                <w:lang w:val="es-AR"/>
              </w:rPr>
            </w:pPr>
            <w:r w:rsidRPr="00836669">
              <w:rPr>
                <w:rFonts w:eastAsia="Times New Roman"/>
                <w:color w:val="000000"/>
                <w:sz w:val="20"/>
                <w:szCs w:val="20"/>
                <w:lang w:val="es-AR"/>
              </w:rPr>
              <w:t>(</w:t>
            </w:r>
            <w:proofErr w:type="spellStart"/>
            <w:r w:rsidRPr="00836669">
              <w:rPr>
                <w:rFonts w:eastAsia="Times New Roman"/>
                <w:color w:val="000000"/>
                <w:sz w:val="20"/>
                <w:szCs w:val="20"/>
                <w:lang w:val="es-AR"/>
              </w:rPr>
              <w:t>Intercept</w:t>
            </w:r>
            <w:proofErr w:type="spellEnd"/>
            <w:r w:rsidRPr="00836669">
              <w:rPr>
                <w:rFonts w:eastAsia="Times New Roman"/>
                <w:color w:val="000000"/>
                <w:sz w:val="20"/>
                <w:szCs w:val="20"/>
                <w:lang w:val="es-AR"/>
              </w:rPr>
              <w:t>)</w:t>
            </w:r>
          </w:p>
        </w:tc>
        <w:tc>
          <w:tcPr>
            <w:tcW w:w="1191" w:type="dxa"/>
            <w:tcBorders>
              <w:top w:val="nil"/>
              <w:left w:val="nil"/>
              <w:bottom w:val="nil"/>
              <w:right w:val="nil"/>
            </w:tcBorders>
            <w:shd w:val="clear" w:color="auto" w:fill="auto"/>
            <w:noWrap/>
            <w:hideMark/>
          </w:tcPr>
          <w:p w14:paraId="7602AD23" w14:textId="17D60E84" w:rsidR="00836669" w:rsidRPr="00836669" w:rsidRDefault="00836669" w:rsidP="00836669">
            <w:pPr>
              <w:spacing w:after="0"/>
              <w:jc w:val="center"/>
              <w:rPr>
                <w:rFonts w:eastAsia="Times New Roman"/>
                <w:color w:val="000000"/>
                <w:sz w:val="20"/>
                <w:szCs w:val="20"/>
                <w:lang w:val="es-AR"/>
              </w:rPr>
            </w:pPr>
            <w:r w:rsidRPr="00836669">
              <w:rPr>
                <w:sz w:val="20"/>
                <w:szCs w:val="20"/>
              </w:rPr>
              <w:t>0.07</w:t>
            </w:r>
          </w:p>
        </w:tc>
        <w:tc>
          <w:tcPr>
            <w:tcW w:w="862" w:type="dxa"/>
            <w:tcBorders>
              <w:top w:val="nil"/>
              <w:left w:val="nil"/>
              <w:bottom w:val="nil"/>
              <w:right w:val="nil"/>
            </w:tcBorders>
            <w:shd w:val="clear" w:color="auto" w:fill="auto"/>
            <w:noWrap/>
            <w:hideMark/>
          </w:tcPr>
          <w:p w14:paraId="5FB90AE1" w14:textId="78B5A496"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837" w:type="dxa"/>
            <w:tcBorders>
              <w:top w:val="nil"/>
              <w:left w:val="nil"/>
              <w:bottom w:val="nil"/>
              <w:right w:val="nil"/>
            </w:tcBorders>
            <w:shd w:val="clear" w:color="auto" w:fill="auto"/>
            <w:noWrap/>
            <w:hideMark/>
          </w:tcPr>
          <w:p w14:paraId="58E33A9F" w14:textId="7956E322" w:rsidR="00836669" w:rsidRPr="00836669" w:rsidRDefault="00836669" w:rsidP="00836669">
            <w:pPr>
              <w:spacing w:after="0"/>
              <w:jc w:val="center"/>
              <w:rPr>
                <w:rFonts w:eastAsia="Times New Roman"/>
                <w:color w:val="000000"/>
                <w:sz w:val="20"/>
                <w:szCs w:val="20"/>
                <w:lang w:val="es-AR"/>
              </w:rPr>
            </w:pPr>
            <w:r w:rsidRPr="00836669">
              <w:rPr>
                <w:sz w:val="20"/>
                <w:szCs w:val="20"/>
              </w:rPr>
              <w:t>2.23</w:t>
            </w:r>
          </w:p>
        </w:tc>
        <w:tc>
          <w:tcPr>
            <w:tcW w:w="657" w:type="dxa"/>
            <w:tcBorders>
              <w:top w:val="nil"/>
              <w:left w:val="nil"/>
              <w:bottom w:val="nil"/>
              <w:right w:val="nil"/>
            </w:tcBorders>
            <w:shd w:val="clear" w:color="auto" w:fill="auto"/>
            <w:noWrap/>
            <w:hideMark/>
          </w:tcPr>
          <w:p w14:paraId="204CBA48" w14:textId="665F1FFD"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657" w:type="dxa"/>
            <w:tcBorders>
              <w:top w:val="nil"/>
              <w:left w:val="nil"/>
              <w:bottom w:val="nil"/>
              <w:right w:val="nil"/>
            </w:tcBorders>
            <w:shd w:val="clear" w:color="auto" w:fill="auto"/>
            <w:noWrap/>
            <w:hideMark/>
          </w:tcPr>
          <w:p w14:paraId="3A9331CD" w14:textId="43FBC472"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1041" w:type="dxa"/>
            <w:tcBorders>
              <w:top w:val="nil"/>
              <w:left w:val="nil"/>
              <w:bottom w:val="nil"/>
              <w:right w:val="nil"/>
            </w:tcBorders>
            <w:shd w:val="clear" w:color="auto" w:fill="auto"/>
            <w:noWrap/>
            <w:hideMark/>
          </w:tcPr>
          <w:p w14:paraId="3BEA508D" w14:textId="607E410E" w:rsidR="00836669" w:rsidRPr="00836669" w:rsidRDefault="00836669" w:rsidP="00836669">
            <w:pPr>
              <w:spacing w:after="0"/>
              <w:jc w:val="center"/>
              <w:rPr>
                <w:rFonts w:eastAsia="Times New Roman"/>
                <w:color w:val="000000"/>
                <w:sz w:val="20"/>
                <w:szCs w:val="20"/>
                <w:lang w:val="es-AR"/>
              </w:rPr>
            </w:pPr>
            <w:r w:rsidRPr="00836669">
              <w:rPr>
                <w:sz w:val="20"/>
                <w:szCs w:val="20"/>
              </w:rPr>
              <w:t>0.13</w:t>
            </w:r>
          </w:p>
        </w:tc>
      </w:tr>
      <w:tr w:rsidR="00836669" w:rsidRPr="00124C67" w14:paraId="6472108B" w14:textId="77777777" w:rsidTr="00836669">
        <w:trPr>
          <w:trHeight w:val="282"/>
        </w:trPr>
        <w:tc>
          <w:tcPr>
            <w:tcW w:w="3691" w:type="dxa"/>
            <w:tcBorders>
              <w:top w:val="nil"/>
              <w:left w:val="nil"/>
              <w:bottom w:val="nil"/>
              <w:right w:val="nil"/>
            </w:tcBorders>
            <w:shd w:val="clear" w:color="auto" w:fill="auto"/>
            <w:noWrap/>
            <w:vAlign w:val="center"/>
            <w:hideMark/>
          </w:tcPr>
          <w:p w14:paraId="39B7F63A"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RijOccupation</w:t>
            </w:r>
            <w:proofErr w:type="spellEnd"/>
          </w:p>
        </w:tc>
        <w:tc>
          <w:tcPr>
            <w:tcW w:w="1191" w:type="dxa"/>
            <w:tcBorders>
              <w:top w:val="nil"/>
              <w:left w:val="nil"/>
              <w:bottom w:val="nil"/>
              <w:right w:val="nil"/>
            </w:tcBorders>
            <w:shd w:val="clear" w:color="auto" w:fill="auto"/>
            <w:noWrap/>
            <w:hideMark/>
          </w:tcPr>
          <w:p w14:paraId="616DE037" w14:textId="20F2D9E6"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862" w:type="dxa"/>
            <w:tcBorders>
              <w:top w:val="nil"/>
              <w:left w:val="nil"/>
              <w:bottom w:val="nil"/>
              <w:right w:val="nil"/>
            </w:tcBorders>
            <w:shd w:val="clear" w:color="auto" w:fill="auto"/>
            <w:noWrap/>
            <w:hideMark/>
          </w:tcPr>
          <w:p w14:paraId="4F3F9351" w14:textId="0F1A3A8D"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837" w:type="dxa"/>
            <w:tcBorders>
              <w:top w:val="nil"/>
              <w:left w:val="nil"/>
              <w:bottom w:val="nil"/>
              <w:right w:val="nil"/>
            </w:tcBorders>
            <w:shd w:val="clear" w:color="auto" w:fill="auto"/>
            <w:noWrap/>
            <w:hideMark/>
          </w:tcPr>
          <w:p w14:paraId="5503757F" w14:textId="7AC34DA7" w:rsidR="00836669" w:rsidRPr="00836669" w:rsidRDefault="00836669" w:rsidP="00836669">
            <w:pPr>
              <w:spacing w:after="0"/>
              <w:jc w:val="center"/>
              <w:rPr>
                <w:rFonts w:eastAsia="Times New Roman"/>
                <w:color w:val="000000"/>
                <w:sz w:val="20"/>
                <w:szCs w:val="20"/>
                <w:lang w:val="es-AR"/>
              </w:rPr>
            </w:pPr>
            <w:r w:rsidRPr="00836669">
              <w:rPr>
                <w:sz w:val="20"/>
                <w:szCs w:val="20"/>
              </w:rPr>
              <w:t>0.24</w:t>
            </w:r>
          </w:p>
        </w:tc>
        <w:tc>
          <w:tcPr>
            <w:tcW w:w="657" w:type="dxa"/>
            <w:tcBorders>
              <w:top w:val="nil"/>
              <w:left w:val="nil"/>
              <w:bottom w:val="nil"/>
              <w:right w:val="nil"/>
            </w:tcBorders>
            <w:shd w:val="clear" w:color="auto" w:fill="auto"/>
            <w:noWrap/>
            <w:hideMark/>
          </w:tcPr>
          <w:p w14:paraId="00BF78A2" w14:textId="21EDACF4" w:rsidR="00836669" w:rsidRPr="00836669" w:rsidRDefault="00836669" w:rsidP="00836669">
            <w:pPr>
              <w:spacing w:after="0"/>
              <w:jc w:val="center"/>
              <w:rPr>
                <w:rFonts w:eastAsia="Times New Roman"/>
                <w:color w:val="000000"/>
                <w:sz w:val="20"/>
                <w:szCs w:val="20"/>
                <w:lang w:val="es-AR"/>
              </w:rPr>
            </w:pPr>
            <w:r w:rsidRPr="00836669">
              <w:rPr>
                <w:sz w:val="20"/>
                <w:szCs w:val="20"/>
              </w:rPr>
              <w:t>0.81</w:t>
            </w:r>
          </w:p>
        </w:tc>
        <w:tc>
          <w:tcPr>
            <w:tcW w:w="657" w:type="dxa"/>
            <w:tcBorders>
              <w:top w:val="nil"/>
              <w:left w:val="nil"/>
              <w:bottom w:val="nil"/>
              <w:right w:val="nil"/>
            </w:tcBorders>
            <w:shd w:val="clear" w:color="auto" w:fill="auto"/>
            <w:noWrap/>
            <w:hideMark/>
          </w:tcPr>
          <w:p w14:paraId="4C839D1E" w14:textId="3C61E82A"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1041" w:type="dxa"/>
            <w:tcBorders>
              <w:top w:val="nil"/>
              <w:left w:val="nil"/>
              <w:bottom w:val="nil"/>
              <w:right w:val="nil"/>
            </w:tcBorders>
            <w:shd w:val="clear" w:color="auto" w:fill="auto"/>
            <w:noWrap/>
            <w:hideMark/>
          </w:tcPr>
          <w:p w14:paraId="702F5F90" w14:textId="11B2C95E"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r>
      <w:tr w:rsidR="00836669" w:rsidRPr="00124C67" w14:paraId="4987A475" w14:textId="77777777" w:rsidTr="00836669">
        <w:trPr>
          <w:trHeight w:val="282"/>
        </w:trPr>
        <w:tc>
          <w:tcPr>
            <w:tcW w:w="3691" w:type="dxa"/>
            <w:tcBorders>
              <w:top w:val="nil"/>
              <w:left w:val="nil"/>
              <w:bottom w:val="nil"/>
              <w:right w:val="nil"/>
            </w:tcBorders>
            <w:shd w:val="clear" w:color="auto" w:fill="auto"/>
            <w:noWrap/>
            <w:vAlign w:val="center"/>
            <w:hideMark/>
          </w:tcPr>
          <w:p w14:paraId="06F1A0CE"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RijIndustry</w:t>
            </w:r>
            <w:proofErr w:type="spellEnd"/>
          </w:p>
        </w:tc>
        <w:tc>
          <w:tcPr>
            <w:tcW w:w="1191" w:type="dxa"/>
            <w:tcBorders>
              <w:top w:val="nil"/>
              <w:left w:val="nil"/>
              <w:bottom w:val="nil"/>
              <w:right w:val="nil"/>
            </w:tcBorders>
            <w:shd w:val="clear" w:color="auto" w:fill="auto"/>
            <w:noWrap/>
            <w:hideMark/>
          </w:tcPr>
          <w:p w14:paraId="7EB2BF6C" w14:textId="4C4ED5B2"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862" w:type="dxa"/>
            <w:tcBorders>
              <w:top w:val="nil"/>
              <w:left w:val="nil"/>
              <w:bottom w:val="nil"/>
              <w:right w:val="nil"/>
            </w:tcBorders>
            <w:shd w:val="clear" w:color="auto" w:fill="auto"/>
            <w:noWrap/>
            <w:hideMark/>
          </w:tcPr>
          <w:p w14:paraId="2A66821B" w14:textId="609419DE"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37" w:type="dxa"/>
            <w:tcBorders>
              <w:top w:val="nil"/>
              <w:left w:val="nil"/>
              <w:bottom w:val="nil"/>
              <w:right w:val="nil"/>
            </w:tcBorders>
            <w:shd w:val="clear" w:color="auto" w:fill="auto"/>
            <w:noWrap/>
            <w:hideMark/>
          </w:tcPr>
          <w:p w14:paraId="399A00A1" w14:textId="26F6DE3A" w:rsidR="00836669" w:rsidRPr="00836669" w:rsidRDefault="00836669" w:rsidP="00836669">
            <w:pPr>
              <w:spacing w:after="0"/>
              <w:jc w:val="center"/>
              <w:rPr>
                <w:rFonts w:eastAsia="Times New Roman"/>
                <w:color w:val="000000"/>
                <w:sz w:val="20"/>
                <w:szCs w:val="20"/>
                <w:lang w:val="es-AR"/>
              </w:rPr>
            </w:pPr>
            <w:r w:rsidRPr="00836669">
              <w:rPr>
                <w:sz w:val="20"/>
                <w:szCs w:val="20"/>
              </w:rPr>
              <w:t>-0.09</w:t>
            </w:r>
          </w:p>
        </w:tc>
        <w:tc>
          <w:tcPr>
            <w:tcW w:w="657" w:type="dxa"/>
            <w:tcBorders>
              <w:top w:val="nil"/>
              <w:left w:val="nil"/>
              <w:bottom w:val="nil"/>
              <w:right w:val="nil"/>
            </w:tcBorders>
            <w:shd w:val="clear" w:color="auto" w:fill="auto"/>
            <w:noWrap/>
            <w:hideMark/>
          </w:tcPr>
          <w:p w14:paraId="6416EA84" w14:textId="1F44D750" w:rsidR="00836669" w:rsidRPr="00836669" w:rsidRDefault="00836669" w:rsidP="00836669">
            <w:pPr>
              <w:spacing w:after="0"/>
              <w:jc w:val="center"/>
              <w:rPr>
                <w:rFonts w:eastAsia="Times New Roman"/>
                <w:color w:val="000000"/>
                <w:sz w:val="20"/>
                <w:szCs w:val="20"/>
                <w:lang w:val="es-AR"/>
              </w:rPr>
            </w:pPr>
            <w:r w:rsidRPr="00836669">
              <w:rPr>
                <w:sz w:val="20"/>
                <w:szCs w:val="20"/>
              </w:rPr>
              <w:t>0.93</w:t>
            </w:r>
          </w:p>
        </w:tc>
        <w:tc>
          <w:tcPr>
            <w:tcW w:w="657" w:type="dxa"/>
            <w:tcBorders>
              <w:top w:val="nil"/>
              <w:left w:val="nil"/>
              <w:bottom w:val="nil"/>
              <w:right w:val="nil"/>
            </w:tcBorders>
            <w:shd w:val="clear" w:color="auto" w:fill="auto"/>
            <w:noWrap/>
            <w:hideMark/>
          </w:tcPr>
          <w:p w14:paraId="5E2FB579" w14:textId="66B096EA"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1041" w:type="dxa"/>
            <w:tcBorders>
              <w:top w:val="nil"/>
              <w:left w:val="nil"/>
              <w:bottom w:val="nil"/>
              <w:right w:val="nil"/>
            </w:tcBorders>
            <w:shd w:val="clear" w:color="auto" w:fill="auto"/>
            <w:noWrap/>
            <w:hideMark/>
          </w:tcPr>
          <w:p w14:paraId="6751D5E5" w14:textId="043621AB"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r>
      <w:tr w:rsidR="00836669" w:rsidRPr="00124C67" w14:paraId="7FEB7A73" w14:textId="77777777" w:rsidTr="00836669">
        <w:trPr>
          <w:trHeight w:val="282"/>
        </w:trPr>
        <w:tc>
          <w:tcPr>
            <w:tcW w:w="3691" w:type="dxa"/>
            <w:tcBorders>
              <w:top w:val="nil"/>
              <w:left w:val="nil"/>
              <w:bottom w:val="nil"/>
              <w:right w:val="nil"/>
            </w:tcBorders>
            <w:shd w:val="clear" w:color="auto" w:fill="auto"/>
            <w:noWrap/>
            <w:vAlign w:val="center"/>
            <w:hideMark/>
          </w:tcPr>
          <w:p w14:paraId="73BCF66A"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IndustryAboveAvg_Lagged</w:t>
            </w:r>
            <w:proofErr w:type="spellEnd"/>
          </w:p>
        </w:tc>
        <w:tc>
          <w:tcPr>
            <w:tcW w:w="1191" w:type="dxa"/>
            <w:tcBorders>
              <w:top w:val="nil"/>
              <w:left w:val="nil"/>
              <w:bottom w:val="nil"/>
              <w:right w:val="nil"/>
            </w:tcBorders>
            <w:shd w:val="clear" w:color="auto" w:fill="auto"/>
            <w:noWrap/>
            <w:hideMark/>
          </w:tcPr>
          <w:p w14:paraId="33463F83" w14:textId="0C6FAD0F"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862" w:type="dxa"/>
            <w:tcBorders>
              <w:top w:val="nil"/>
              <w:left w:val="nil"/>
              <w:bottom w:val="nil"/>
              <w:right w:val="nil"/>
            </w:tcBorders>
            <w:shd w:val="clear" w:color="auto" w:fill="auto"/>
            <w:noWrap/>
            <w:hideMark/>
          </w:tcPr>
          <w:p w14:paraId="28FF59EF" w14:textId="71E0AA08"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37" w:type="dxa"/>
            <w:tcBorders>
              <w:top w:val="nil"/>
              <w:left w:val="nil"/>
              <w:bottom w:val="nil"/>
              <w:right w:val="nil"/>
            </w:tcBorders>
            <w:shd w:val="clear" w:color="auto" w:fill="auto"/>
            <w:noWrap/>
            <w:hideMark/>
          </w:tcPr>
          <w:p w14:paraId="6729FB64" w14:textId="281D600F" w:rsidR="00836669" w:rsidRPr="00836669" w:rsidRDefault="00836669" w:rsidP="00836669">
            <w:pPr>
              <w:spacing w:after="0"/>
              <w:jc w:val="center"/>
              <w:rPr>
                <w:rFonts w:eastAsia="Times New Roman"/>
                <w:color w:val="000000"/>
                <w:sz w:val="20"/>
                <w:szCs w:val="20"/>
                <w:lang w:val="es-AR"/>
              </w:rPr>
            </w:pPr>
            <w:r w:rsidRPr="00836669">
              <w:rPr>
                <w:sz w:val="20"/>
                <w:szCs w:val="20"/>
              </w:rPr>
              <w:t>-1.97</w:t>
            </w:r>
          </w:p>
        </w:tc>
        <w:tc>
          <w:tcPr>
            <w:tcW w:w="657" w:type="dxa"/>
            <w:tcBorders>
              <w:top w:val="nil"/>
              <w:left w:val="nil"/>
              <w:bottom w:val="nil"/>
              <w:right w:val="nil"/>
            </w:tcBorders>
            <w:shd w:val="clear" w:color="auto" w:fill="auto"/>
            <w:noWrap/>
            <w:hideMark/>
          </w:tcPr>
          <w:p w14:paraId="509E15CD" w14:textId="7C4E7CA5"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c>
          <w:tcPr>
            <w:tcW w:w="657" w:type="dxa"/>
            <w:tcBorders>
              <w:top w:val="nil"/>
              <w:left w:val="nil"/>
              <w:bottom w:val="nil"/>
              <w:right w:val="nil"/>
            </w:tcBorders>
            <w:shd w:val="clear" w:color="auto" w:fill="auto"/>
            <w:noWrap/>
            <w:hideMark/>
          </w:tcPr>
          <w:p w14:paraId="5BB73795" w14:textId="21EA1B78"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c>
          <w:tcPr>
            <w:tcW w:w="1041" w:type="dxa"/>
            <w:tcBorders>
              <w:top w:val="nil"/>
              <w:left w:val="nil"/>
              <w:bottom w:val="nil"/>
              <w:right w:val="nil"/>
            </w:tcBorders>
            <w:shd w:val="clear" w:color="auto" w:fill="auto"/>
            <w:noWrap/>
            <w:hideMark/>
          </w:tcPr>
          <w:p w14:paraId="1EDC2E5D" w14:textId="1EDEEADC"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r>
      <w:tr w:rsidR="00836669" w:rsidRPr="00124C67" w14:paraId="3D7FD827" w14:textId="77777777" w:rsidTr="00836669">
        <w:trPr>
          <w:trHeight w:val="282"/>
        </w:trPr>
        <w:tc>
          <w:tcPr>
            <w:tcW w:w="3691" w:type="dxa"/>
            <w:tcBorders>
              <w:top w:val="nil"/>
              <w:left w:val="nil"/>
              <w:bottom w:val="nil"/>
              <w:right w:val="nil"/>
            </w:tcBorders>
            <w:shd w:val="clear" w:color="auto" w:fill="auto"/>
            <w:noWrap/>
            <w:vAlign w:val="center"/>
            <w:hideMark/>
          </w:tcPr>
          <w:p w14:paraId="07C597B9"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IndustryAboveAvg</w:t>
            </w:r>
            <w:proofErr w:type="spellEnd"/>
          </w:p>
        </w:tc>
        <w:tc>
          <w:tcPr>
            <w:tcW w:w="1191" w:type="dxa"/>
            <w:tcBorders>
              <w:top w:val="nil"/>
              <w:left w:val="nil"/>
              <w:bottom w:val="nil"/>
              <w:right w:val="nil"/>
            </w:tcBorders>
            <w:shd w:val="clear" w:color="auto" w:fill="auto"/>
            <w:noWrap/>
            <w:hideMark/>
          </w:tcPr>
          <w:p w14:paraId="425A571E" w14:textId="2AE230F1"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862" w:type="dxa"/>
            <w:tcBorders>
              <w:top w:val="nil"/>
              <w:left w:val="nil"/>
              <w:bottom w:val="nil"/>
              <w:right w:val="nil"/>
            </w:tcBorders>
            <w:shd w:val="clear" w:color="auto" w:fill="auto"/>
            <w:noWrap/>
            <w:hideMark/>
          </w:tcPr>
          <w:p w14:paraId="1ECCFB9B" w14:textId="345E9523"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37" w:type="dxa"/>
            <w:tcBorders>
              <w:top w:val="nil"/>
              <w:left w:val="nil"/>
              <w:bottom w:val="nil"/>
              <w:right w:val="nil"/>
            </w:tcBorders>
            <w:shd w:val="clear" w:color="auto" w:fill="auto"/>
            <w:noWrap/>
            <w:hideMark/>
          </w:tcPr>
          <w:p w14:paraId="38DD3DC1" w14:textId="3D2FB244" w:rsidR="00836669" w:rsidRPr="00836669" w:rsidRDefault="00836669" w:rsidP="00836669">
            <w:pPr>
              <w:spacing w:after="0"/>
              <w:jc w:val="center"/>
              <w:rPr>
                <w:rFonts w:eastAsia="Times New Roman"/>
                <w:color w:val="000000"/>
                <w:sz w:val="20"/>
                <w:szCs w:val="20"/>
                <w:lang w:val="es-AR"/>
              </w:rPr>
            </w:pPr>
            <w:r w:rsidRPr="00836669">
              <w:rPr>
                <w:sz w:val="20"/>
                <w:szCs w:val="20"/>
              </w:rPr>
              <w:t>1.83</w:t>
            </w:r>
          </w:p>
        </w:tc>
        <w:tc>
          <w:tcPr>
            <w:tcW w:w="657" w:type="dxa"/>
            <w:tcBorders>
              <w:top w:val="nil"/>
              <w:left w:val="nil"/>
              <w:bottom w:val="nil"/>
              <w:right w:val="nil"/>
            </w:tcBorders>
            <w:shd w:val="clear" w:color="auto" w:fill="auto"/>
            <w:noWrap/>
            <w:hideMark/>
          </w:tcPr>
          <w:p w14:paraId="1A96E3CA" w14:textId="6EAD9516" w:rsidR="00836669" w:rsidRPr="00836669" w:rsidRDefault="00836669" w:rsidP="00836669">
            <w:pPr>
              <w:spacing w:after="0"/>
              <w:jc w:val="center"/>
              <w:rPr>
                <w:rFonts w:eastAsia="Times New Roman"/>
                <w:color w:val="000000"/>
                <w:sz w:val="20"/>
                <w:szCs w:val="20"/>
                <w:lang w:val="es-AR"/>
              </w:rPr>
            </w:pPr>
            <w:r w:rsidRPr="00836669">
              <w:rPr>
                <w:sz w:val="20"/>
                <w:szCs w:val="20"/>
              </w:rPr>
              <w:t>0.07</w:t>
            </w:r>
          </w:p>
        </w:tc>
        <w:tc>
          <w:tcPr>
            <w:tcW w:w="657" w:type="dxa"/>
            <w:tcBorders>
              <w:top w:val="nil"/>
              <w:left w:val="nil"/>
              <w:bottom w:val="nil"/>
              <w:right w:val="nil"/>
            </w:tcBorders>
            <w:shd w:val="clear" w:color="auto" w:fill="auto"/>
            <w:noWrap/>
            <w:hideMark/>
          </w:tcPr>
          <w:p w14:paraId="29AD8B95" w14:textId="10936B5E"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1041" w:type="dxa"/>
            <w:tcBorders>
              <w:top w:val="nil"/>
              <w:left w:val="nil"/>
              <w:bottom w:val="nil"/>
              <w:right w:val="nil"/>
            </w:tcBorders>
            <w:shd w:val="clear" w:color="auto" w:fill="auto"/>
            <w:noWrap/>
            <w:hideMark/>
          </w:tcPr>
          <w:p w14:paraId="01D0ACBF" w14:textId="204DC771"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r>
      <w:tr w:rsidR="00836669" w:rsidRPr="00BF5447" w14:paraId="06AD13C4" w14:textId="77777777" w:rsidTr="00836669">
        <w:trPr>
          <w:trHeight w:val="565"/>
        </w:trPr>
        <w:tc>
          <w:tcPr>
            <w:tcW w:w="3691" w:type="dxa"/>
            <w:tcBorders>
              <w:top w:val="nil"/>
              <w:left w:val="nil"/>
              <w:bottom w:val="nil"/>
              <w:right w:val="nil"/>
            </w:tcBorders>
            <w:shd w:val="clear" w:color="auto" w:fill="auto"/>
            <w:vAlign w:val="center"/>
            <w:hideMark/>
          </w:tcPr>
          <w:p w14:paraId="6C9435EC" w14:textId="77777777" w:rsidR="00836669" w:rsidRPr="00836669" w:rsidRDefault="00836669" w:rsidP="00836669">
            <w:pPr>
              <w:spacing w:after="0"/>
              <w:jc w:val="left"/>
              <w:rPr>
                <w:rFonts w:eastAsia="Times New Roman"/>
                <w:b/>
                <w:bCs/>
                <w:color w:val="000000"/>
                <w:sz w:val="20"/>
                <w:szCs w:val="20"/>
                <w:lang w:val="en-US"/>
              </w:rPr>
            </w:pPr>
            <w:proofErr w:type="spellStart"/>
            <w:r w:rsidRPr="00836669">
              <w:rPr>
                <w:rFonts w:eastAsia="Times New Roman"/>
                <w:b/>
                <w:bCs/>
                <w:color w:val="000000"/>
                <w:sz w:val="20"/>
                <w:szCs w:val="20"/>
                <w:lang w:val="en-US"/>
              </w:rPr>
              <w:t>LaborContractLagged</w:t>
            </w:r>
            <w:proofErr w:type="spellEnd"/>
            <w:r w:rsidRPr="00836669">
              <w:rPr>
                <w:rFonts w:eastAsia="Times New Roman"/>
                <w:b/>
                <w:bCs/>
                <w:color w:val="000000"/>
                <w:sz w:val="20"/>
                <w:szCs w:val="20"/>
                <w:lang w:val="en-US"/>
              </w:rPr>
              <w:t xml:space="preserve"> (base case: informal wage worker)</w:t>
            </w:r>
          </w:p>
        </w:tc>
        <w:tc>
          <w:tcPr>
            <w:tcW w:w="1191" w:type="dxa"/>
            <w:tcBorders>
              <w:top w:val="nil"/>
              <w:left w:val="nil"/>
              <w:bottom w:val="nil"/>
              <w:right w:val="nil"/>
            </w:tcBorders>
            <w:shd w:val="clear" w:color="auto" w:fill="auto"/>
            <w:noWrap/>
            <w:hideMark/>
          </w:tcPr>
          <w:p w14:paraId="0CE582D8" w14:textId="77777777" w:rsidR="00836669" w:rsidRPr="00836669" w:rsidRDefault="00836669" w:rsidP="00836669">
            <w:pPr>
              <w:spacing w:after="0"/>
              <w:jc w:val="center"/>
              <w:rPr>
                <w:rFonts w:eastAsia="Times New Roman"/>
                <w:b/>
                <w:bCs/>
                <w:color w:val="000000"/>
                <w:sz w:val="20"/>
                <w:szCs w:val="20"/>
                <w:lang w:val="en-US"/>
              </w:rPr>
            </w:pPr>
          </w:p>
        </w:tc>
        <w:tc>
          <w:tcPr>
            <w:tcW w:w="862" w:type="dxa"/>
            <w:tcBorders>
              <w:top w:val="nil"/>
              <w:left w:val="nil"/>
              <w:bottom w:val="nil"/>
              <w:right w:val="nil"/>
            </w:tcBorders>
            <w:shd w:val="clear" w:color="auto" w:fill="auto"/>
            <w:noWrap/>
            <w:hideMark/>
          </w:tcPr>
          <w:p w14:paraId="5BD93F5B"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837" w:type="dxa"/>
            <w:tcBorders>
              <w:top w:val="nil"/>
              <w:left w:val="nil"/>
              <w:bottom w:val="nil"/>
              <w:right w:val="nil"/>
            </w:tcBorders>
            <w:shd w:val="clear" w:color="auto" w:fill="auto"/>
            <w:noWrap/>
            <w:hideMark/>
          </w:tcPr>
          <w:p w14:paraId="38606A50"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657" w:type="dxa"/>
            <w:tcBorders>
              <w:top w:val="nil"/>
              <w:left w:val="nil"/>
              <w:bottom w:val="nil"/>
              <w:right w:val="nil"/>
            </w:tcBorders>
            <w:shd w:val="clear" w:color="auto" w:fill="auto"/>
            <w:noWrap/>
            <w:hideMark/>
          </w:tcPr>
          <w:p w14:paraId="65DB5A40"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657" w:type="dxa"/>
            <w:tcBorders>
              <w:top w:val="nil"/>
              <w:left w:val="nil"/>
              <w:bottom w:val="nil"/>
              <w:right w:val="nil"/>
            </w:tcBorders>
            <w:shd w:val="clear" w:color="auto" w:fill="auto"/>
            <w:noWrap/>
            <w:hideMark/>
          </w:tcPr>
          <w:p w14:paraId="2B222543"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1041" w:type="dxa"/>
            <w:tcBorders>
              <w:top w:val="nil"/>
              <w:left w:val="nil"/>
              <w:bottom w:val="nil"/>
              <w:right w:val="nil"/>
            </w:tcBorders>
            <w:shd w:val="clear" w:color="auto" w:fill="auto"/>
            <w:noWrap/>
            <w:hideMark/>
          </w:tcPr>
          <w:p w14:paraId="57FC5747"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r>
      <w:tr w:rsidR="00836669" w:rsidRPr="00124C67" w14:paraId="2C6B9973" w14:textId="77777777" w:rsidTr="00836669">
        <w:trPr>
          <w:trHeight w:val="282"/>
        </w:trPr>
        <w:tc>
          <w:tcPr>
            <w:tcW w:w="3691" w:type="dxa"/>
            <w:tcBorders>
              <w:top w:val="nil"/>
              <w:left w:val="nil"/>
              <w:bottom w:val="nil"/>
              <w:right w:val="nil"/>
            </w:tcBorders>
            <w:shd w:val="clear" w:color="auto" w:fill="auto"/>
            <w:noWrap/>
            <w:vAlign w:val="center"/>
            <w:hideMark/>
          </w:tcPr>
          <w:p w14:paraId="38DBF8EE" w14:textId="77777777" w:rsidR="00836669" w:rsidRPr="00836669" w:rsidRDefault="00836669" w:rsidP="00836669">
            <w:pPr>
              <w:spacing w:after="0"/>
              <w:jc w:val="left"/>
              <w:rPr>
                <w:rFonts w:eastAsia="Times New Roman"/>
                <w:color w:val="000000"/>
                <w:sz w:val="20"/>
                <w:szCs w:val="20"/>
                <w:lang w:val="es-AR"/>
              </w:rPr>
            </w:pPr>
            <w:r w:rsidRPr="00836669">
              <w:rPr>
                <w:rFonts w:eastAsia="Times New Roman"/>
                <w:color w:val="000000"/>
                <w:sz w:val="20"/>
                <w:szCs w:val="20"/>
                <w:lang w:val="es-AR"/>
              </w:rPr>
              <w:t xml:space="preserve">Formal </w:t>
            </w:r>
            <w:proofErr w:type="spellStart"/>
            <w:r w:rsidRPr="00836669">
              <w:rPr>
                <w:rFonts w:eastAsia="Times New Roman"/>
                <w:color w:val="000000"/>
                <w:sz w:val="20"/>
                <w:szCs w:val="20"/>
                <w:lang w:val="es-AR"/>
              </w:rPr>
              <w:t>wage</w:t>
            </w:r>
            <w:proofErr w:type="spellEnd"/>
            <w:r w:rsidRPr="00836669">
              <w:rPr>
                <w:rFonts w:eastAsia="Times New Roman"/>
                <w:color w:val="000000"/>
                <w:sz w:val="20"/>
                <w:szCs w:val="20"/>
                <w:lang w:val="es-AR"/>
              </w:rPr>
              <w:t xml:space="preserve"> </w:t>
            </w:r>
            <w:proofErr w:type="spellStart"/>
            <w:r w:rsidRPr="00836669">
              <w:rPr>
                <w:rFonts w:eastAsia="Times New Roman"/>
                <w:color w:val="000000"/>
                <w:sz w:val="20"/>
                <w:szCs w:val="20"/>
                <w:lang w:val="es-AR"/>
              </w:rPr>
              <w:t>worker</w:t>
            </w:r>
            <w:proofErr w:type="spellEnd"/>
          </w:p>
        </w:tc>
        <w:tc>
          <w:tcPr>
            <w:tcW w:w="1191" w:type="dxa"/>
            <w:tcBorders>
              <w:top w:val="nil"/>
              <w:left w:val="nil"/>
              <w:bottom w:val="nil"/>
              <w:right w:val="nil"/>
            </w:tcBorders>
            <w:shd w:val="clear" w:color="auto" w:fill="auto"/>
            <w:noWrap/>
            <w:hideMark/>
          </w:tcPr>
          <w:p w14:paraId="69E99B2C" w14:textId="1DBF1348"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c>
          <w:tcPr>
            <w:tcW w:w="862" w:type="dxa"/>
            <w:tcBorders>
              <w:top w:val="nil"/>
              <w:left w:val="nil"/>
              <w:bottom w:val="nil"/>
              <w:right w:val="nil"/>
            </w:tcBorders>
            <w:shd w:val="clear" w:color="auto" w:fill="auto"/>
            <w:noWrap/>
            <w:hideMark/>
          </w:tcPr>
          <w:p w14:paraId="41F2E996" w14:textId="07C4327A"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837" w:type="dxa"/>
            <w:tcBorders>
              <w:top w:val="nil"/>
              <w:left w:val="nil"/>
              <w:bottom w:val="nil"/>
              <w:right w:val="nil"/>
            </w:tcBorders>
            <w:shd w:val="clear" w:color="auto" w:fill="auto"/>
            <w:noWrap/>
            <w:hideMark/>
          </w:tcPr>
          <w:p w14:paraId="1EF7E9F9" w14:textId="4E3C5970" w:rsidR="00836669" w:rsidRPr="00836669" w:rsidRDefault="00836669" w:rsidP="00836669">
            <w:pPr>
              <w:spacing w:after="0"/>
              <w:jc w:val="center"/>
              <w:rPr>
                <w:rFonts w:eastAsia="Times New Roman"/>
                <w:color w:val="000000"/>
                <w:sz w:val="20"/>
                <w:szCs w:val="20"/>
                <w:lang w:val="es-AR"/>
              </w:rPr>
            </w:pPr>
            <w:r w:rsidRPr="00836669">
              <w:rPr>
                <w:sz w:val="20"/>
                <w:szCs w:val="20"/>
              </w:rPr>
              <w:t>-3.12</w:t>
            </w:r>
          </w:p>
        </w:tc>
        <w:tc>
          <w:tcPr>
            <w:tcW w:w="657" w:type="dxa"/>
            <w:tcBorders>
              <w:top w:val="nil"/>
              <w:left w:val="nil"/>
              <w:bottom w:val="nil"/>
              <w:right w:val="nil"/>
            </w:tcBorders>
            <w:shd w:val="clear" w:color="auto" w:fill="auto"/>
            <w:noWrap/>
            <w:hideMark/>
          </w:tcPr>
          <w:p w14:paraId="27D7BE10" w14:textId="3C331149"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657" w:type="dxa"/>
            <w:tcBorders>
              <w:top w:val="nil"/>
              <w:left w:val="nil"/>
              <w:bottom w:val="nil"/>
              <w:right w:val="nil"/>
            </w:tcBorders>
            <w:shd w:val="clear" w:color="auto" w:fill="auto"/>
            <w:noWrap/>
            <w:hideMark/>
          </w:tcPr>
          <w:p w14:paraId="1AA34607" w14:textId="21045A3C" w:rsidR="00836669" w:rsidRPr="00836669" w:rsidRDefault="00836669" w:rsidP="00836669">
            <w:pPr>
              <w:spacing w:after="0"/>
              <w:jc w:val="center"/>
              <w:rPr>
                <w:rFonts w:eastAsia="Times New Roman"/>
                <w:color w:val="000000"/>
                <w:sz w:val="20"/>
                <w:szCs w:val="20"/>
                <w:lang w:val="es-AR"/>
              </w:rPr>
            </w:pPr>
            <w:r w:rsidRPr="00836669">
              <w:rPr>
                <w:sz w:val="20"/>
                <w:szCs w:val="20"/>
              </w:rPr>
              <w:t>-0.07</w:t>
            </w:r>
          </w:p>
        </w:tc>
        <w:tc>
          <w:tcPr>
            <w:tcW w:w="1041" w:type="dxa"/>
            <w:tcBorders>
              <w:top w:val="nil"/>
              <w:left w:val="nil"/>
              <w:bottom w:val="nil"/>
              <w:right w:val="nil"/>
            </w:tcBorders>
            <w:shd w:val="clear" w:color="auto" w:fill="auto"/>
            <w:noWrap/>
            <w:hideMark/>
          </w:tcPr>
          <w:p w14:paraId="04C248B2" w14:textId="758DE9E8"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r>
      <w:tr w:rsidR="00836669" w:rsidRPr="00124C67" w14:paraId="44E11E5D" w14:textId="77777777" w:rsidTr="00836669">
        <w:trPr>
          <w:trHeight w:val="282"/>
        </w:trPr>
        <w:tc>
          <w:tcPr>
            <w:tcW w:w="3691" w:type="dxa"/>
            <w:tcBorders>
              <w:top w:val="nil"/>
              <w:left w:val="nil"/>
              <w:bottom w:val="nil"/>
              <w:right w:val="nil"/>
            </w:tcBorders>
            <w:shd w:val="clear" w:color="auto" w:fill="auto"/>
            <w:noWrap/>
            <w:vAlign w:val="center"/>
            <w:hideMark/>
          </w:tcPr>
          <w:p w14:paraId="36EAA0E0"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Independent</w:t>
            </w:r>
            <w:proofErr w:type="spellEnd"/>
            <w:r w:rsidRPr="00836669">
              <w:rPr>
                <w:rFonts w:eastAsia="Times New Roman"/>
                <w:color w:val="000000"/>
                <w:sz w:val="20"/>
                <w:szCs w:val="20"/>
                <w:lang w:val="es-AR"/>
              </w:rPr>
              <w:t xml:space="preserve"> </w:t>
            </w:r>
            <w:proofErr w:type="spellStart"/>
            <w:r w:rsidRPr="00836669">
              <w:rPr>
                <w:rFonts w:eastAsia="Times New Roman"/>
                <w:color w:val="000000"/>
                <w:sz w:val="20"/>
                <w:szCs w:val="20"/>
                <w:lang w:val="es-AR"/>
              </w:rPr>
              <w:t>worker</w:t>
            </w:r>
            <w:proofErr w:type="spellEnd"/>
          </w:p>
        </w:tc>
        <w:tc>
          <w:tcPr>
            <w:tcW w:w="1191" w:type="dxa"/>
            <w:tcBorders>
              <w:top w:val="nil"/>
              <w:left w:val="nil"/>
              <w:bottom w:val="nil"/>
              <w:right w:val="nil"/>
            </w:tcBorders>
            <w:shd w:val="clear" w:color="auto" w:fill="auto"/>
            <w:noWrap/>
            <w:hideMark/>
          </w:tcPr>
          <w:p w14:paraId="622A91E2" w14:textId="788A283E"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c>
          <w:tcPr>
            <w:tcW w:w="862" w:type="dxa"/>
            <w:tcBorders>
              <w:top w:val="nil"/>
              <w:left w:val="nil"/>
              <w:bottom w:val="nil"/>
              <w:right w:val="nil"/>
            </w:tcBorders>
            <w:shd w:val="clear" w:color="auto" w:fill="auto"/>
            <w:noWrap/>
            <w:hideMark/>
          </w:tcPr>
          <w:p w14:paraId="162B6325" w14:textId="3C1CA874"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37" w:type="dxa"/>
            <w:tcBorders>
              <w:top w:val="nil"/>
              <w:left w:val="nil"/>
              <w:bottom w:val="nil"/>
              <w:right w:val="nil"/>
            </w:tcBorders>
            <w:shd w:val="clear" w:color="auto" w:fill="auto"/>
            <w:noWrap/>
            <w:hideMark/>
          </w:tcPr>
          <w:p w14:paraId="19874654" w14:textId="259FD889" w:rsidR="00836669" w:rsidRPr="00836669" w:rsidRDefault="00836669" w:rsidP="00836669">
            <w:pPr>
              <w:spacing w:after="0"/>
              <w:jc w:val="center"/>
              <w:rPr>
                <w:rFonts w:eastAsia="Times New Roman"/>
                <w:color w:val="000000"/>
                <w:sz w:val="20"/>
                <w:szCs w:val="20"/>
                <w:lang w:val="es-AR"/>
              </w:rPr>
            </w:pPr>
            <w:r w:rsidRPr="00836669">
              <w:rPr>
                <w:sz w:val="20"/>
                <w:szCs w:val="20"/>
              </w:rPr>
              <w:t>3.58</w:t>
            </w:r>
          </w:p>
        </w:tc>
        <w:tc>
          <w:tcPr>
            <w:tcW w:w="657" w:type="dxa"/>
            <w:tcBorders>
              <w:top w:val="nil"/>
              <w:left w:val="nil"/>
              <w:bottom w:val="nil"/>
              <w:right w:val="nil"/>
            </w:tcBorders>
            <w:shd w:val="clear" w:color="auto" w:fill="auto"/>
            <w:noWrap/>
            <w:hideMark/>
          </w:tcPr>
          <w:p w14:paraId="75A1CDB8" w14:textId="1F32EC64"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657" w:type="dxa"/>
            <w:tcBorders>
              <w:top w:val="nil"/>
              <w:left w:val="nil"/>
              <w:bottom w:val="nil"/>
              <w:right w:val="nil"/>
            </w:tcBorders>
            <w:shd w:val="clear" w:color="auto" w:fill="auto"/>
            <w:noWrap/>
            <w:hideMark/>
          </w:tcPr>
          <w:p w14:paraId="5B5DF770" w14:textId="3C713220"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1041" w:type="dxa"/>
            <w:tcBorders>
              <w:top w:val="nil"/>
              <w:left w:val="nil"/>
              <w:bottom w:val="nil"/>
              <w:right w:val="nil"/>
            </w:tcBorders>
            <w:shd w:val="clear" w:color="auto" w:fill="auto"/>
            <w:noWrap/>
            <w:hideMark/>
          </w:tcPr>
          <w:p w14:paraId="3EEA7D99" w14:textId="645413F4" w:rsidR="00836669" w:rsidRPr="00836669" w:rsidRDefault="00836669" w:rsidP="00836669">
            <w:pPr>
              <w:spacing w:after="0"/>
              <w:jc w:val="center"/>
              <w:rPr>
                <w:rFonts w:eastAsia="Times New Roman"/>
                <w:color w:val="000000"/>
                <w:sz w:val="20"/>
                <w:szCs w:val="20"/>
                <w:lang w:val="es-AR"/>
              </w:rPr>
            </w:pPr>
            <w:r w:rsidRPr="00836669">
              <w:rPr>
                <w:sz w:val="20"/>
                <w:szCs w:val="20"/>
              </w:rPr>
              <w:t>0.07</w:t>
            </w:r>
          </w:p>
        </w:tc>
      </w:tr>
      <w:tr w:rsidR="00836669" w:rsidRPr="00BF5447" w14:paraId="4135A37A" w14:textId="77777777" w:rsidTr="00836669">
        <w:trPr>
          <w:trHeight w:val="565"/>
        </w:trPr>
        <w:tc>
          <w:tcPr>
            <w:tcW w:w="3691" w:type="dxa"/>
            <w:tcBorders>
              <w:top w:val="nil"/>
              <w:left w:val="nil"/>
              <w:bottom w:val="nil"/>
              <w:right w:val="nil"/>
            </w:tcBorders>
            <w:shd w:val="clear" w:color="auto" w:fill="auto"/>
            <w:vAlign w:val="center"/>
            <w:hideMark/>
          </w:tcPr>
          <w:p w14:paraId="0B56B014" w14:textId="77777777" w:rsidR="00836669" w:rsidRPr="00836669" w:rsidRDefault="00836669" w:rsidP="00836669">
            <w:pPr>
              <w:spacing w:after="0"/>
              <w:jc w:val="left"/>
              <w:rPr>
                <w:rFonts w:eastAsia="Times New Roman"/>
                <w:b/>
                <w:bCs/>
                <w:color w:val="000000"/>
                <w:sz w:val="20"/>
                <w:szCs w:val="20"/>
                <w:lang w:val="en-US"/>
              </w:rPr>
            </w:pPr>
            <w:proofErr w:type="spellStart"/>
            <w:r w:rsidRPr="00836669">
              <w:rPr>
                <w:rFonts w:eastAsia="Times New Roman"/>
                <w:b/>
                <w:bCs/>
                <w:color w:val="000000"/>
                <w:sz w:val="20"/>
                <w:szCs w:val="20"/>
                <w:lang w:val="en-US"/>
              </w:rPr>
              <w:t>LaborContract</w:t>
            </w:r>
            <w:proofErr w:type="spellEnd"/>
            <w:r w:rsidRPr="00836669">
              <w:rPr>
                <w:rFonts w:eastAsia="Times New Roman"/>
                <w:b/>
                <w:bCs/>
                <w:color w:val="000000"/>
                <w:sz w:val="20"/>
                <w:szCs w:val="20"/>
                <w:lang w:val="en-US"/>
              </w:rPr>
              <w:t xml:space="preserve"> (base case: informal wage worker)</w:t>
            </w:r>
          </w:p>
        </w:tc>
        <w:tc>
          <w:tcPr>
            <w:tcW w:w="1191" w:type="dxa"/>
            <w:tcBorders>
              <w:top w:val="nil"/>
              <w:left w:val="nil"/>
              <w:bottom w:val="nil"/>
              <w:right w:val="nil"/>
            </w:tcBorders>
            <w:shd w:val="clear" w:color="auto" w:fill="auto"/>
            <w:noWrap/>
            <w:hideMark/>
          </w:tcPr>
          <w:p w14:paraId="17AD9E06" w14:textId="77777777" w:rsidR="00836669" w:rsidRPr="00836669" w:rsidRDefault="00836669" w:rsidP="00836669">
            <w:pPr>
              <w:spacing w:after="0"/>
              <w:jc w:val="center"/>
              <w:rPr>
                <w:rFonts w:eastAsia="Times New Roman"/>
                <w:b/>
                <w:bCs/>
                <w:color w:val="000000"/>
                <w:sz w:val="20"/>
                <w:szCs w:val="20"/>
                <w:lang w:val="en-US"/>
              </w:rPr>
            </w:pPr>
          </w:p>
        </w:tc>
        <w:tc>
          <w:tcPr>
            <w:tcW w:w="862" w:type="dxa"/>
            <w:tcBorders>
              <w:top w:val="nil"/>
              <w:left w:val="nil"/>
              <w:bottom w:val="nil"/>
              <w:right w:val="nil"/>
            </w:tcBorders>
            <w:shd w:val="clear" w:color="auto" w:fill="auto"/>
            <w:noWrap/>
            <w:hideMark/>
          </w:tcPr>
          <w:p w14:paraId="7A940CD7"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837" w:type="dxa"/>
            <w:tcBorders>
              <w:top w:val="nil"/>
              <w:left w:val="nil"/>
              <w:bottom w:val="nil"/>
              <w:right w:val="nil"/>
            </w:tcBorders>
            <w:shd w:val="clear" w:color="auto" w:fill="auto"/>
            <w:noWrap/>
            <w:hideMark/>
          </w:tcPr>
          <w:p w14:paraId="1CBD8AF2"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657" w:type="dxa"/>
            <w:tcBorders>
              <w:top w:val="nil"/>
              <w:left w:val="nil"/>
              <w:bottom w:val="nil"/>
              <w:right w:val="nil"/>
            </w:tcBorders>
            <w:shd w:val="clear" w:color="auto" w:fill="auto"/>
            <w:noWrap/>
            <w:hideMark/>
          </w:tcPr>
          <w:p w14:paraId="2E881CB0"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657" w:type="dxa"/>
            <w:tcBorders>
              <w:top w:val="nil"/>
              <w:left w:val="nil"/>
              <w:bottom w:val="nil"/>
              <w:right w:val="nil"/>
            </w:tcBorders>
            <w:shd w:val="clear" w:color="auto" w:fill="auto"/>
            <w:noWrap/>
            <w:hideMark/>
          </w:tcPr>
          <w:p w14:paraId="36C15D4F"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c>
          <w:tcPr>
            <w:tcW w:w="1041" w:type="dxa"/>
            <w:tcBorders>
              <w:top w:val="nil"/>
              <w:left w:val="nil"/>
              <w:bottom w:val="nil"/>
              <w:right w:val="nil"/>
            </w:tcBorders>
            <w:shd w:val="clear" w:color="auto" w:fill="auto"/>
            <w:noWrap/>
            <w:hideMark/>
          </w:tcPr>
          <w:p w14:paraId="33258394" w14:textId="77777777" w:rsidR="00836669" w:rsidRPr="00836669" w:rsidRDefault="00836669" w:rsidP="00836669">
            <w:pPr>
              <w:spacing w:after="0"/>
              <w:jc w:val="center"/>
              <w:rPr>
                <w:rFonts w:ascii="Times New Roman" w:eastAsia="Times New Roman" w:hAnsi="Times New Roman" w:cs="Times New Roman"/>
                <w:sz w:val="20"/>
                <w:szCs w:val="20"/>
                <w:lang w:val="en-US"/>
              </w:rPr>
            </w:pPr>
          </w:p>
        </w:tc>
      </w:tr>
      <w:tr w:rsidR="00836669" w:rsidRPr="00124C67" w14:paraId="4DB07C22" w14:textId="77777777" w:rsidTr="00836669">
        <w:trPr>
          <w:trHeight w:val="282"/>
        </w:trPr>
        <w:tc>
          <w:tcPr>
            <w:tcW w:w="3691" w:type="dxa"/>
            <w:tcBorders>
              <w:top w:val="nil"/>
              <w:left w:val="nil"/>
              <w:bottom w:val="nil"/>
              <w:right w:val="nil"/>
            </w:tcBorders>
            <w:shd w:val="clear" w:color="auto" w:fill="auto"/>
            <w:noWrap/>
            <w:vAlign w:val="center"/>
            <w:hideMark/>
          </w:tcPr>
          <w:p w14:paraId="41CD4993" w14:textId="77777777" w:rsidR="00836669" w:rsidRPr="00836669" w:rsidRDefault="00836669" w:rsidP="00836669">
            <w:pPr>
              <w:spacing w:after="0"/>
              <w:jc w:val="left"/>
              <w:rPr>
                <w:rFonts w:eastAsia="Times New Roman"/>
                <w:color w:val="000000"/>
                <w:sz w:val="20"/>
                <w:szCs w:val="20"/>
                <w:lang w:val="es-AR"/>
              </w:rPr>
            </w:pPr>
            <w:r w:rsidRPr="00836669">
              <w:rPr>
                <w:rFonts w:eastAsia="Times New Roman"/>
                <w:color w:val="000000"/>
                <w:sz w:val="20"/>
                <w:szCs w:val="20"/>
                <w:lang w:val="es-AR"/>
              </w:rPr>
              <w:t xml:space="preserve">Formal </w:t>
            </w:r>
            <w:proofErr w:type="spellStart"/>
            <w:r w:rsidRPr="00836669">
              <w:rPr>
                <w:rFonts w:eastAsia="Times New Roman"/>
                <w:color w:val="000000"/>
                <w:sz w:val="20"/>
                <w:szCs w:val="20"/>
                <w:lang w:val="es-AR"/>
              </w:rPr>
              <w:t>wage</w:t>
            </w:r>
            <w:proofErr w:type="spellEnd"/>
            <w:r w:rsidRPr="00836669">
              <w:rPr>
                <w:rFonts w:eastAsia="Times New Roman"/>
                <w:color w:val="000000"/>
                <w:sz w:val="20"/>
                <w:szCs w:val="20"/>
                <w:lang w:val="es-AR"/>
              </w:rPr>
              <w:t xml:space="preserve"> </w:t>
            </w:r>
            <w:proofErr w:type="spellStart"/>
            <w:r w:rsidRPr="00836669">
              <w:rPr>
                <w:rFonts w:eastAsia="Times New Roman"/>
                <w:color w:val="000000"/>
                <w:sz w:val="20"/>
                <w:szCs w:val="20"/>
                <w:lang w:val="es-AR"/>
              </w:rPr>
              <w:t>worker</w:t>
            </w:r>
            <w:proofErr w:type="spellEnd"/>
          </w:p>
        </w:tc>
        <w:tc>
          <w:tcPr>
            <w:tcW w:w="1191" w:type="dxa"/>
            <w:tcBorders>
              <w:top w:val="nil"/>
              <w:left w:val="nil"/>
              <w:bottom w:val="nil"/>
              <w:right w:val="nil"/>
            </w:tcBorders>
            <w:shd w:val="clear" w:color="auto" w:fill="auto"/>
            <w:noWrap/>
            <w:hideMark/>
          </w:tcPr>
          <w:p w14:paraId="7B8C6676" w14:textId="571DAA40"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862" w:type="dxa"/>
            <w:tcBorders>
              <w:top w:val="nil"/>
              <w:left w:val="nil"/>
              <w:bottom w:val="nil"/>
              <w:right w:val="nil"/>
            </w:tcBorders>
            <w:shd w:val="clear" w:color="auto" w:fill="auto"/>
            <w:noWrap/>
            <w:hideMark/>
          </w:tcPr>
          <w:p w14:paraId="5443C9CE" w14:textId="6C256FDE" w:rsidR="00836669" w:rsidRPr="00836669" w:rsidRDefault="00836669" w:rsidP="00836669">
            <w:pPr>
              <w:spacing w:after="0"/>
              <w:jc w:val="center"/>
              <w:rPr>
                <w:rFonts w:eastAsia="Times New Roman"/>
                <w:color w:val="000000"/>
                <w:sz w:val="20"/>
                <w:szCs w:val="20"/>
                <w:lang w:val="es-AR"/>
              </w:rPr>
            </w:pPr>
            <w:r w:rsidRPr="00836669">
              <w:rPr>
                <w:sz w:val="20"/>
                <w:szCs w:val="20"/>
              </w:rPr>
              <w:t>0.02</w:t>
            </w:r>
          </w:p>
        </w:tc>
        <w:tc>
          <w:tcPr>
            <w:tcW w:w="837" w:type="dxa"/>
            <w:tcBorders>
              <w:top w:val="nil"/>
              <w:left w:val="nil"/>
              <w:bottom w:val="nil"/>
              <w:right w:val="nil"/>
            </w:tcBorders>
            <w:shd w:val="clear" w:color="auto" w:fill="auto"/>
            <w:noWrap/>
            <w:hideMark/>
          </w:tcPr>
          <w:p w14:paraId="47A1D74D" w14:textId="3323FDB5" w:rsidR="00836669" w:rsidRPr="00836669" w:rsidRDefault="00836669" w:rsidP="00836669">
            <w:pPr>
              <w:spacing w:after="0"/>
              <w:jc w:val="center"/>
              <w:rPr>
                <w:rFonts w:eastAsia="Times New Roman"/>
                <w:color w:val="000000"/>
                <w:sz w:val="20"/>
                <w:szCs w:val="20"/>
                <w:lang w:val="es-AR"/>
              </w:rPr>
            </w:pPr>
            <w:r w:rsidRPr="00836669">
              <w:rPr>
                <w:sz w:val="20"/>
                <w:szCs w:val="20"/>
              </w:rPr>
              <w:t>1.39</w:t>
            </w:r>
          </w:p>
        </w:tc>
        <w:tc>
          <w:tcPr>
            <w:tcW w:w="657" w:type="dxa"/>
            <w:tcBorders>
              <w:top w:val="nil"/>
              <w:left w:val="nil"/>
              <w:bottom w:val="nil"/>
              <w:right w:val="nil"/>
            </w:tcBorders>
            <w:shd w:val="clear" w:color="auto" w:fill="auto"/>
            <w:noWrap/>
            <w:hideMark/>
          </w:tcPr>
          <w:p w14:paraId="26CD7B4B" w14:textId="61035169" w:rsidR="00836669" w:rsidRPr="00836669" w:rsidRDefault="00836669" w:rsidP="00836669">
            <w:pPr>
              <w:spacing w:after="0"/>
              <w:jc w:val="center"/>
              <w:rPr>
                <w:rFonts w:eastAsia="Times New Roman"/>
                <w:color w:val="000000"/>
                <w:sz w:val="20"/>
                <w:szCs w:val="20"/>
                <w:lang w:val="es-AR"/>
              </w:rPr>
            </w:pPr>
            <w:r w:rsidRPr="00836669">
              <w:rPr>
                <w:sz w:val="20"/>
                <w:szCs w:val="20"/>
              </w:rPr>
              <w:t>0.17</w:t>
            </w:r>
          </w:p>
        </w:tc>
        <w:tc>
          <w:tcPr>
            <w:tcW w:w="657" w:type="dxa"/>
            <w:tcBorders>
              <w:top w:val="nil"/>
              <w:left w:val="nil"/>
              <w:bottom w:val="nil"/>
              <w:right w:val="nil"/>
            </w:tcBorders>
            <w:shd w:val="clear" w:color="auto" w:fill="auto"/>
            <w:noWrap/>
            <w:hideMark/>
          </w:tcPr>
          <w:p w14:paraId="33FFA950" w14:textId="420E78B7" w:rsidR="00836669" w:rsidRPr="00836669" w:rsidRDefault="00836669" w:rsidP="00836669">
            <w:pPr>
              <w:spacing w:after="0"/>
              <w:jc w:val="center"/>
              <w:rPr>
                <w:rFonts w:eastAsia="Times New Roman"/>
                <w:color w:val="000000"/>
                <w:sz w:val="20"/>
                <w:szCs w:val="20"/>
                <w:lang w:val="es-AR"/>
              </w:rPr>
            </w:pPr>
            <w:r w:rsidRPr="00836669">
              <w:rPr>
                <w:sz w:val="20"/>
                <w:szCs w:val="20"/>
              </w:rPr>
              <w:t>0.00</w:t>
            </w:r>
          </w:p>
        </w:tc>
        <w:tc>
          <w:tcPr>
            <w:tcW w:w="1041" w:type="dxa"/>
            <w:tcBorders>
              <w:top w:val="nil"/>
              <w:left w:val="nil"/>
              <w:bottom w:val="nil"/>
              <w:right w:val="nil"/>
            </w:tcBorders>
            <w:shd w:val="clear" w:color="auto" w:fill="auto"/>
            <w:noWrap/>
            <w:hideMark/>
          </w:tcPr>
          <w:p w14:paraId="720F3D53" w14:textId="08C7ADCF" w:rsidR="00836669" w:rsidRPr="00836669" w:rsidRDefault="00836669" w:rsidP="00836669">
            <w:pPr>
              <w:spacing w:after="0"/>
              <w:jc w:val="center"/>
              <w:rPr>
                <w:rFonts w:eastAsia="Times New Roman"/>
                <w:color w:val="000000"/>
                <w:sz w:val="20"/>
                <w:szCs w:val="20"/>
                <w:lang w:val="es-AR"/>
              </w:rPr>
            </w:pPr>
            <w:r w:rsidRPr="00836669">
              <w:rPr>
                <w:sz w:val="20"/>
                <w:szCs w:val="20"/>
              </w:rPr>
              <w:t>0.05</w:t>
            </w:r>
          </w:p>
        </w:tc>
      </w:tr>
      <w:tr w:rsidR="00836669" w:rsidRPr="00124C67" w14:paraId="4EAC966D" w14:textId="77777777" w:rsidTr="00836669">
        <w:trPr>
          <w:trHeight w:val="282"/>
        </w:trPr>
        <w:tc>
          <w:tcPr>
            <w:tcW w:w="3691" w:type="dxa"/>
            <w:tcBorders>
              <w:top w:val="nil"/>
              <w:left w:val="nil"/>
              <w:bottom w:val="nil"/>
              <w:right w:val="nil"/>
            </w:tcBorders>
            <w:shd w:val="clear" w:color="auto" w:fill="auto"/>
            <w:noWrap/>
            <w:vAlign w:val="center"/>
            <w:hideMark/>
          </w:tcPr>
          <w:p w14:paraId="0696FC3F" w14:textId="77777777" w:rsidR="00836669" w:rsidRPr="00836669" w:rsidRDefault="00836669" w:rsidP="00836669">
            <w:pPr>
              <w:spacing w:after="0"/>
              <w:jc w:val="left"/>
              <w:rPr>
                <w:rFonts w:eastAsia="Times New Roman"/>
                <w:color w:val="000000"/>
                <w:sz w:val="20"/>
                <w:szCs w:val="20"/>
                <w:lang w:val="es-AR"/>
              </w:rPr>
            </w:pPr>
            <w:proofErr w:type="spellStart"/>
            <w:r w:rsidRPr="00836669">
              <w:rPr>
                <w:rFonts w:eastAsia="Times New Roman"/>
                <w:color w:val="000000"/>
                <w:sz w:val="20"/>
                <w:szCs w:val="20"/>
                <w:lang w:val="es-AR"/>
              </w:rPr>
              <w:t>Independent</w:t>
            </w:r>
            <w:proofErr w:type="spellEnd"/>
            <w:r w:rsidRPr="00836669">
              <w:rPr>
                <w:rFonts w:eastAsia="Times New Roman"/>
                <w:color w:val="000000"/>
                <w:sz w:val="20"/>
                <w:szCs w:val="20"/>
                <w:lang w:val="es-AR"/>
              </w:rPr>
              <w:t xml:space="preserve"> </w:t>
            </w:r>
            <w:proofErr w:type="spellStart"/>
            <w:r w:rsidRPr="00836669">
              <w:rPr>
                <w:rFonts w:eastAsia="Times New Roman"/>
                <w:color w:val="000000"/>
                <w:sz w:val="20"/>
                <w:szCs w:val="20"/>
                <w:lang w:val="es-AR"/>
              </w:rPr>
              <w:t>worker</w:t>
            </w:r>
            <w:proofErr w:type="spellEnd"/>
          </w:p>
        </w:tc>
        <w:tc>
          <w:tcPr>
            <w:tcW w:w="1191" w:type="dxa"/>
            <w:tcBorders>
              <w:top w:val="nil"/>
              <w:left w:val="nil"/>
              <w:bottom w:val="nil"/>
              <w:right w:val="nil"/>
            </w:tcBorders>
            <w:shd w:val="clear" w:color="auto" w:fill="auto"/>
            <w:noWrap/>
            <w:hideMark/>
          </w:tcPr>
          <w:p w14:paraId="6957B2D5" w14:textId="57E44205"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62" w:type="dxa"/>
            <w:tcBorders>
              <w:top w:val="nil"/>
              <w:left w:val="nil"/>
              <w:bottom w:val="nil"/>
              <w:right w:val="nil"/>
            </w:tcBorders>
            <w:shd w:val="clear" w:color="auto" w:fill="auto"/>
            <w:noWrap/>
            <w:hideMark/>
          </w:tcPr>
          <w:p w14:paraId="64748D30" w14:textId="3CA6B8B3"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c>
          <w:tcPr>
            <w:tcW w:w="837" w:type="dxa"/>
            <w:tcBorders>
              <w:top w:val="nil"/>
              <w:left w:val="nil"/>
              <w:bottom w:val="nil"/>
              <w:right w:val="nil"/>
            </w:tcBorders>
            <w:shd w:val="clear" w:color="auto" w:fill="auto"/>
            <w:noWrap/>
            <w:hideMark/>
          </w:tcPr>
          <w:p w14:paraId="66595549" w14:textId="569F242F" w:rsidR="00836669" w:rsidRPr="00836669" w:rsidRDefault="00836669" w:rsidP="00836669">
            <w:pPr>
              <w:spacing w:after="0"/>
              <w:jc w:val="center"/>
              <w:rPr>
                <w:rFonts w:eastAsia="Times New Roman"/>
                <w:color w:val="000000"/>
                <w:sz w:val="20"/>
                <w:szCs w:val="20"/>
                <w:lang w:val="es-AR"/>
              </w:rPr>
            </w:pPr>
            <w:r w:rsidRPr="00836669">
              <w:rPr>
                <w:sz w:val="20"/>
                <w:szCs w:val="20"/>
              </w:rPr>
              <w:t>-0.70</w:t>
            </w:r>
          </w:p>
        </w:tc>
        <w:tc>
          <w:tcPr>
            <w:tcW w:w="657" w:type="dxa"/>
            <w:tcBorders>
              <w:top w:val="nil"/>
              <w:left w:val="nil"/>
              <w:bottom w:val="nil"/>
              <w:right w:val="nil"/>
            </w:tcBorders>
            <w:shd w:val="clear" w:color="auto" w:fill="auto"/>
            <w:noWrap/>
            <w:hideMark/>
          </w:tcPr>
          <w:p w14:paraId="0C29AC1C" w14:textId="44809B62" w:rsidR="00836669" w:rsidRPr="00836669" w:rsidRDefault="00836669" w:rsidP="00836669">
            <w:pPr>
              <w:spacing w:after="0"/>
              <w:jc w:val="center"/>
              <w:rPr>
                <w:rFonts w:eastAsia="Times New Roman"/>
                <w:color w:val="000000"/>
                <w:sz w:val="20"/>
                <w:szCs w:val="20"/>
                <w:lang w:val="es-AR"/>
              </w:rPr>
            </w:pPr>
            <w:r w:rsidRPr="00836669">
              <w:rPr>
                <w:sz w:val="20"/>
                <w:szCs w:val="20"/>
              </w:rPr>
              <w:t>0.48</w:t>
            </w:r>
          </w:p>
        </w:tc>
        <w:tc>
          <w:tcPr>
            <w:tcW w:w="657" w:type="dxa"/>
            <w:tcBorders>
              <w:top w:val="nil"/>
              <w:left w:val="nil"/>
              <w:bottom w:val="nil"/>
              <w:right w:val="nil"/>
            </w:tcBorders>
            <w:shd w:val="clear" w:color="auto" w:fill="auto"/>
            <w:noWrap/>
            <w:hideMark/>
          </w:tcPr>
          <w:p w14:paraId="35BC78CD" w14:textId="6AD1B93D"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1041" w:type="dxa"/>
            <w:tcBorders>
              <w:top w:val="nil"/>
              <w:left w:val="nil"/>
              <w:bottom w:val="nil"/>
              <w:right w:val="nil"/>
            </w:tcBorders>
            <w:shd w:val="clear" w:color="auto" w:fill="auto"/>
            <w:noWrap/>
            <w:hideMark/>
          </w:tcPr>
          <w:p w14:paraId="1A732704" w14:textId="73647D11" w:rsidR="00836669" w:rsidRPr="00836669" w:rsidRDefault="00836669" w:rsidP="00836669">
            <w:pPr>
              <w:spacing w:after="0"/>
              <w:jc w:val="center"/>
              <w:rPr>
                <w:rFonts w:eastAsia="Times New Roman"/>
                <w:color w:val="000000"/>
                <w:sz w:val="20"/>
                <w:szCs w:val="20"/>
                <w:lang w:val="es-AR"/>
              </w:rPr>
            </w:pPr>
            <w:r w:rsidRPr="00836669">
              <w:rPr>
                <w:sz w:val="20"/>
                <w:szCs w:val="20"/>
              </w:rPr>
              <w:t>0.01</w:t>
            </w:r>
          </w:p>
        </w:tc>
      </w:tr>
      <w:tr w:rsidR="00836669" w:rsidRPr="00124C67" w14:paraId="2D2258D2" w14:textId="77777777" w:rsidTr="00836669">
        <w:trPr>
          <w:trHeight w:val="282"/>
        </w:trPr>
        <w:tc>
          <w:tcPr>
            <w:tcW w:w="3691" w:type="dxa"/>
            <w:tcBorders>
              <w:top w:val="single" w:sz="4" w:space="0" w:color="auto"/>
              <w:left w:val="nil"/>
              <w:bottom w:val="nil"/>
              <w:right w:val="nil"/>
            </w:tcBorders>
            <w:shd w:val="clear" w:color="auto" w:fill="auto"/>
            <w:noWrap/>
            <w:vAlign w:val="center"/>
            <w:hideMark/>
          </w:tcPr>
          <w:p w14:paraId="4E13A27F" w14:textId="77777777" w:rsidR="00836669" w:rsidRPr="00836669" w:rsidRDefault="00836669" w:rsidP="00836669">
            <w:pPr>
              <w:spacing w:after="0"/>
              <w:jc w:val="left"/>
              <w:rPr>
                <w:rFonts w:eastAsia="Times New Roman"/>
                <w:color w:val="000000"/>
                <w:sz w:val="20"/>
                <w:szCs w:val="20"/>
                <w:lang w:val="es-AR"/>
              </w:rPr>
            </w:pPr>
            <w:r w:rsidRPr="00836669">
              <w:rPr>
                <w:rFonts w:eastAsia="Times New Roman"/>
                <w:color w:val="000000"/>
                <w:sz w:val="20"/>
                <w:szCs w:val="20"/>
                <w:lang w:val="es-AR"/>
              </w:rPr>
              <w:t>R2</w:t>
            </w:r>
          </w:p>
        </w:tc>
        <w:tc>
          <w:tcPr>
            <w:tcW w:w="1191" w:type="dxa"/>
            <w:tcBorders>
              <w:top w:val="single" w:sz="4" w:space="0" w:color="auto"/>
              <w:left w:val="nil"/>
              <w:bottom w:val="nil"/>
              <w:right w:val="nil"/>
            </w:tcBorders>
            <w:shd w:val="clear" w:color="auto" w:fill="auto"/>
            <w:noWrap/>
            <w:hideMark/>
          </w:tcPr>
          <w:p w14:paraId="624DC63D" w14:textId="4CC3AFE2" w:rsidR="00836669" w:rsidRPr="00836669" w:rsidRDefault="00836669" w:rsidP="00836669">
            <w:pPr>
              <w:spacing w:after="0"/>
              <w:jc w:val="center"/>
              <w:rPr>
                <w:rFonts w:eastAsia="Times New Roman"/>
                <w:color w:val="000000"/>
                <w:sz w:val="20"/>
                <w:szCs w:val="20"/>
                <w:lang w:val="es-AR"/>
              </w:rPr>
            </w:pPr>
            <w:r w:rsidRPr="00836669">
              <w:rPr>
                <w:sz w:val="20"/>
                <w:szCs w:val="20"/>
              </w:rPr>
              <w:t>0.03</w:t>
            </w:r>
          </w:p>
        </w:tc>
        <w:tc>
          <w:tcPr>
            <w:tcW w:w="862" w:type="dxa"/>
            <w:tcBorders>
              <w:top w:val="single" w:sz="4" w:space="0" w:color="auto"/>
              <w:left w:val="nil"/>
              <w:bottom w:val="nil"/>
              <w:right w:val="nil"/>
            </w:tcBorders>
            <w:shd w:val="clear" w:color="auto" w:fill="auto"/>
            <w:noWrap/>
            <w:hideMark/>
          </w:tcPr>
          <w:p w14:paraId="5CBB05C6" w14:textId="0A3F4AF2" w:rsidR="00836669" w:rsidRPr="00836669" w:rsidRDefault="00836669" w:rsidP="00836669">
            <w:pPr>
              <w:spacing w:after="0"/>
              <w:jc w:val="center"/>
              <w:rPr>
                <w:rFonts w:eastAsia="Times New Roman"/>
                <w:color w:val="000000"/>
                <w:sz w:val="20"/>
                <w:szCs w:val="20"/>
                <w:lang w:val="es-AR"/>
              </w:rPr>
            </w:pPr>
          </w:p>
        </w:tc>
        <w:tc>
          <w:tcPr>
            <w:tcW w:w="837" w:type="dxa"/>
            <w:tcBorders>
              <w:top w:val="single" w:sz="4" w:space="0" w:color="auto"/>
              <w:left w:val="nil"/>
              <w:bottom w:val="nil"/>
              <w:right w:val="nil"/>
            </w:tcBorders>
            <w:shd w:val="clear" w:color="auto" w:fill="auto"/>
            <w:noWrap/>
            <w:hideMark/>
          </w:tcPr>
          <w:p w14:paraId="0DD96130" w14:textId="392AD139" w:rsidR="00836669" w:rsidRPr="00836669" w:rsidRDefault="00836669" w:rsidP="00836669">
            <w:pPr>
              <w:spacing w:after="0"/>
              <w:jc w:val="center"/>
              <w:rPr>
                <w:rFonts w:eastAsia="Times New Roman"/>
                <w:color w:val="000000"/>
                <w:sz w:val="20"/>
                <w:szCs w:val="20"/>
                <w:lang w:val="es-AR"/>
              </w:rPr>
            </w:pPr>
          </w:p>
        </w:tc>
        <w:tc>
          <w:tcPr>
            <w:tcW w:w="657" w:type="dxa"/>
            <w:tcBorders>
              <w:top w:val="single" w:sz="4" w:space="0" w:color="auto"/>
              <w:left w:val="nil"/>
              <w:bottom w:val="nil"/>
              <w:right w:val="nil"/>
            </w:tcBorders>
            <w:shd w:val="clear" w:color="auto" w:fill="auto"/>
            <w:noWrap/>
            <w:hideMark/>
          </w:tcPr>
          <w:p w14:paraId="67722343" w14:textId="3AA95119" w:rsidR="00836669" w:rsidRPr="00836669" w:rsidRDefault="00836669" w:rsidP="00836669">
            <w:pPr>
              <w:spacing w:after="0"/>
              <w:jc w:val="center"/>
              <w:rPr>
                <w:rFonts w:eastAsia="Times New Roman"/>
                <w:color w:val="000000"/>
                <w:sz w:val="20"/>
                <w:szCs w:val="20"/>
                <w:lang w:val="es-AR"/>
              </w:rPr>
            </w:pPr>
          </w:p>
        </w:tc>
        <w:tc>
          <w:tcPr>
            <w:tcW w:w="657" w:type="dxa"/>
            <w:tcBorders>
              <w:top w:val="single" w:sz="4" w:space="0" w:color="auto"/>
              <w:left w:val="nil"/>
              <w:bottom w:val="nil"/>
              <w:right w:val="nil"/>
            </w:tcBorders>
            <w:shd w:val="clear" w:color="auto" w:fill="auto"/>
            <w:noWrap/>
            <w:hideMark/>
          </w:tcPr>
          <w:p w14:paraId="20BF9D5B" w14:textId="0C98FA50" w:rsidR="00836669" w:rsidRPr="00836669" w:rsidRDefault="00836669" w:rsidP="00836669">
            <w:pPr>
              <w:spacing w:after="0"/>
              <w:jc w:val="center"/>
              <w:rPr>
                <w:rFonts w:eastAsia="Times New Roman"/>
                <w:color w:val="000000"/>
                <w:sz w:val="20"/>
                <w:szCs w:val="20"/>
                <w:lang w:val="es-AR"/>
              </w:rPr>
            </w:pPr>
          </w:p>
        </w:tc>
        <w:tc>
          <w:tcPr>
            <w:tcW w:w="1041" w:type="dxa"/>
            <w:tcBorders>
              <w:top w:val="single" w:sz="4" w:space="0" w:color="auto"/>
              <w:left w:val="nil"/>
              <w:bottom w:val="nil"/>
              <w:right w:val="nil"/>
            </w:tcBorders>
            <w:shd w:val="clear" w:color="auto" w:fill="auto"/>
            <w:noWrap/>
            <w:hideMark/>
          </w:tcPr>
          <w:p w14:paraId="720461A1" w14:textId="63C77473" w:rsidR="00836669" w:rsidRPr="00836669" w:rsidRDefault="00836669" w:rsidP="00836669">
            <w:pPr>
              <w:spacing w:after="0"/>
              <w:jc w:val="center"/>
              <w:rPr>
                <w:rFonts w:eastAsia="Times New Roman"/>
                <w:color w:val="000000"/>
                <w:sz w:val="20"/>
                <w:szCs w:val="20"/>
                <w:lang w:val="es-AR"/>
              </w:rPr>
            </w:pPr>
          </w:p>
        </w:tc>
      </w:tr>
      <w:tr w:rsidR="00836669" w:rsidRPr="00124C67" w14:paraId="292C55CD" w14:textId="77777777" w:rsidTr="00836669">
        <w:trPr>
          <w:trHeight w:val="282"/>
        </w:trPr>
        <w:tc>
          <w:tcPr>
            <w:tcW w:w="3691" w:type="dxa"/>
            <w:tcBorders>
              <w:top w:val="nil"/>
              <w:left w:val="nil"/>
              <w:bottom w:val="single" w:sz="4" w:space="0" w:color="auto"/>
              <w:right w:val="nil"/>
            </w:tcBorders>
            <w:shd w:val="clear" w:color="auto" w:fill="auto"/>
            <w:noWrap/>
            <w:vAlign w:val="center"/>
            <w:hideMark/>
          </w:tcPr>
          <w:p w14:paraId="19B64988" w14:textId="77777777" w:rsidR="00836669" w:rsidRPr="00836669" w:rsidRDefault="00836669" w:rsidP="00836669">
            <w:pPr>
              <w:spacing w:after="0"/>
              <w:jc w:val="left"/>
              <w:rPr>
                <w:rFonts w:eastAsia="Times New Roman"/>
                <w:color w:val="000000"/>
                <w:sz w:val="20"/>
                <w:szCs w:val="20"/>
                <w:lang w:val="es-AR"/>
              </w:rPr>
            </w:pPr>
            <w:r w:rsidRPr="00836669">
              <w:rPr>
                <w:rFonts w:eastAsia="Times New Roman"/>
                <w:color w:val="000000"/>
                <w:sz w:val="20"/>
                <w:szCs w:val="20"/>
                <w:lang w:val="es-AR"/>
              </w:rPr>
              <w:t>n</w:t>
            </w:r>
          </w:p>
        </w:tc>
        <w:tc>
          <w:tcPr>
            <w:tcW w:w="1191" w:type="dxa"/>
            <w:tcBorders>
              <w:top w:val="nil"/>
              <w:left w:val="nil"/>
              <w:bottom w:val="single" w:sz="4" w:space="0" w:color="auto"/>
              <w:right w:val="nil"/>
            </w:tcBorders>
            <w:shd w:val="clear" w:color="auto" w:fill="auto"/>
            <w:noWrap/>
            <w:hideMark/>
          </w:tcPr>
          <w:p w14:paraId="012FA6B3" w14:textId="141A29C9" w:rsidR="00836669" w:rsidRPr="00836669" w:rsidRDefault="00836669" w:rsidP="00836669">
            <w:pPr>
              <w:spacing w:after="0"/>
              <w:jc w:val="center"/>
              <w:rPr>
                <w:rFonts w:eastAsia="Times New Roman"/>
                <w:color w:val="000000"/>
                <w:sz w:val="20"/>
                <w:szCs w:val="20"/>
                <w:lang w:val="es-AR"/>
              </w:rPr>
            </w:pPr>
            <w:r w:rsidRPr="00836669">
              <w:rPr>
                <w:sz w:val="20"/>
                <w:szCs w:val="20"/>
              </w:rPr>
              <w:t>2271</w:t>
            </w:r>
          </w:p>
        </w:tc>
        <w:tc>
          <w:tcPr>
            <w:tcW w:w="862" w:type="dxa"/>
            <w:tcBorders>
              <w:top w:val="nil"/>
              <w:left w:val="nil"/>
              <w:bottom w:val="single" w:sz="4" w:space="0" w:color="auto"/>
              <w:right w:val="nil"/>
            </w:tcBorders>
            <w:shd w:val="clear" w:color="auto" w:fill="auto"/>
            <w:noWrap/>
            <w:hideMark/>
          </w:tcPr>
          <w:p w14:paraId="1C1ACEA9" w14:textId="4AC1B240" w:rsidR="00836669" w:rsidRPr="00836669" w:rsidRDefault="00836669" w:rsidP="00836669">
            <w:pPr>
              <w:spacing w:after="0"/>
              <w:jc w:val="center"/>
              <w:rPr>
                <w:rFonts w:eastAsia="Times New Roman"/>
                <w:color w:val="000000"/>
                <w:sz w:val="20"/>
                <w:szCs w:val="20"/>
                <w:lang w:val="es-AR"/>
              </w:rPr>
            </w:pPr>
          </w:p>
        </w:tc>
        <w:tc>
          <w:tcPr>
            <w:tcW w:w="837" w:type="dxa"/>
            <w:tcBorders>
              <w:top w:val="nil"/>
              <w:left w:val="nil"/>
              <w:bottom w:val="single" w:sz="4" w:space="0" w:color="auto"/>
              <w:right w:val="nil"/>
            </w:tcBorders>
            <w:shd w:val="clear" w:color="auto" w:fill="auto"/>
            <w:noWrap/>
            <w:hideMark/>
          </w:tcPr>
          <w:p w14:paraId="4B76F4A0" w14:textId="03E01DDE" w:rsidR="00836669" w:rsidRPr="00836669" w:rsidRDefault="00836669" w:rsidP="00836669">
            <w:pPr>
              <w:spacing w:after="0"/>
              <w:jc w:val="center"/>
              <w:rPr>
                <w:rFonts w:eastAsia="Times New Roman"/>
                <w:color w:val="000000"/>
                <w:sz w:val="20"/>
                <w:szCs w:val="20"/>
                <w:lang w:val="es-AR"/>
              </w:rPr>
            </w:pPr>
          </w:p>
        </w:tc>
        <w:tc>
          <w:tcPr>
            <w:tcW w:w="657" w:type="dxa"/>
            <w:tcBorders>
              <w:top w:val="nil"/>
              <w:left w:val="nil"/>
              <w:bottom w:val="single" w:sz="4" w:space="0" w:color="auto"/>
              <w:right w:val="nil"/>
            </w:tcBorders>
            <w:shd w:val="clear" w:color="auto" w:fill="auto"/>
            <w:noWrap/>
            <w:hideMark/>
          </w:tcPr>
          <w:p w14:paraId="2D936B31" w14:textId="47E66E3E" w:rsidR="00836669" w:rsidRPr="00836669" w:rsidRDefault="00836669" w:rsidP="00836669">
            <w:pPr>
              <w:spacing w:after="0"/>
              <w:jc w:val="center"/>
              <w:rPr>
                <w:rFonts w:eastAsia="Times New Roman"/>
                <w:color w:val="000000"/>
                <w:sz w:val="20"/>
                <w:szCs w:val="20"/>
                <w:lang w:val="es-AR"/>
              </w:rPr>
            </w:pPr>
          </w:p>
        </w:tc>
        <w:tc>
          <w:tcPr>
            <w:tcW w:w="657" w:type="dxa"/>
            <w:tcBorders>
              <w:top w:val="nil"/>
              <w:left w:val="nil"/>
              <w:bottom w:val="single" w:sz="4" w:space="0" w:color="auto"/>
              <w:right w:val="nil"/>
            </w:tcBorders>
            <w:shd w:val="clear" w:color="auto" w:fill="auto"/>
            <w:noWrap/>
            <w:hideMark/>
          </w:tcPr>
          <w:p w14:paraId="0B83F67E" w14:textId="6E201AE2" w:rsidR="00836669" w:rsidRPr="00836669" w:rsidRDefault="00836669" w:rsidP="00836669">
            <w:pPr>
              <w:spacing w:after="0"/>
              <w:jc w:val="center"/>
              <w:rPr>
                <w:rFonts w:eastAsia="Times New Roman"/>
                <w:color w:val="000000"/>
                <w:sz w:val="20"/>
                <w:szCs w:val="20"/>
                <w:lang w:val="es-AR"/>
              </w:rPr>
            </w:pPr>
          </w:p>
        </w:tc>
        <w:tc>
          <w:tcPr>
            <w:tcW w:w="1041" w:type="dxa"/>
            <w:tcBorders>
              <w:top w:val="nil"/>
              <w:left w:val="nil"/>
              <w:bottom w:val="single" w:sz="4" w:space="0" w:color="auto"/>
              <w:right w:val="nil"/>
            </w:tcBorders>
            <w:shd w:val="clear" w:color="auto" w:fill="auto"/>
            <w:noWrap/>
            <w:hideMark/>
          </w:tcPr>
          <w:p w14:paraId="60940262" w14:textId="60B4528D" w:rsidR="00836669" w:rsidRPr="00836669" w:rsidRDefault="00836669" w:rsidP="00836669">
            <w:pPr>
              <w:spacing w:after="0"/>
              <w:jc w:val="center"/>
              <w:rPr>
                <w:rFonts w:eastAsia="Times New Roman"/>
                <w:color w:val="000000"/>
                <w:sz w:val="20"/>
                <w:szCs w:val="20"/>
                <w:lang w:val="es-AR"/>
              </w:rPr>
            </w:pPr>
          </w:p>
        </w:tc>
      </w:tr>
    </w:tbl>
    <w:p w14:paraId="14D7B170" w14:textId="142AECC4" w:rsidR="00E04F5C" w:rsidRPr="00546537" w:rsidRDefault="00E04F5C" w:rsidP="002F0A15">
      <w:pPr>
        <w:pBdr>
          <w:top w:val="nil"/>
          <w:left w:val="nil"/>
          <w:bottom w:val="nil"/>
          <w:right w:val="nil"/>
          <w:between w:val="nil"/>
        </w:pBdr>
        <w:spacing w:after="0"/>
        <w:rPr>
          <w:lang w:val="en-US"/>
        </w:rPr>
      </w:pPr>
      <w:r w:rsidRPr="007D3DD1">
        <w:rPr>
          <w:b/>
          <w:bCs/>
          <w:lang w:val="en"/>
        </w:rPr>
        <w:t xml:space="preserve">Table </w:t>
      </w:r>
      <w:r>
        <w:rPr>
          <w:b/>
          <w:bCs/>
          <w:lang w:val="en"/>
        </w:rPr>
        <w:t>A2.9</w:t>
      </w:r>
      <w:r>
        <w:rPr>
          <w:lang w:val="en"/>
        </w:rPr>
        <w:t>. Regression output. Dependent variable: average quarterly change in real hourly wage before and after a job transition. Independent variables include the similarity between occupations (</w:t>
      </w:r>
      <w:proofErr w:type="spellStart"/>
      <w:r>
        <w:rPr>
          <w:lang w:val="en"/>
        </w:rPr>
        <w:t>RijOccupation</w:t>
      </w:r>
      <w:proofErr w:type="spellEnd"/>
      <w:r>
        <w:rPr>
          <w:lang w:val="en"/>
        </w:rPr>
        <w:t>), industries (</w:t>
      </w:r>
      <w:proofErr w:type="spellStart"/>
      <w:r>
        <w:rPr>
          <w:lang w:val="en"/>
        </w:rPr>
        <w:t>RijIndustriy</w:t>
      </w:r>
      <w:proofErr w:type="spellEnd"/>
      <w:r>
        <w:rPr>
          <w:lang w:val="en"/>
        </w:rPr>
        <w:t>), two dummies that captures whether the worker was employed in a high paying industry before (</w:t>
      </w:r>
      <w:proofErr w:type="spellStart"/>
      <w:r w:rsidRPr="00546537">
        <w:rPr>
          <w:rFonts w:eastAsia="Times New Roman"/>
          <w:color w:val="000000"/>
          <w:lang w:val="en-US"/>
        </w:rPr>
        <w:t>IndustryAboveAvg_Lagged</w:t>
      </w:r>
      <w:proofErr w:type="spellEnd"/>
      <w:r w:rsidRPr="00546537">
        <w:rPr>
          <w:rFonts w:eastAsia="Times New Roman"/>
          <w:color w:val="000000"/>
          <w:lang w:val="en-US"/>
        </w:rPr>
        <w:t>)</w:t>
      </w:r>
      <w:r>
        <w:rPr>
          <w:lang w:val="en"/>
        </w:rPr>
        <w:t xml:space="preserve"> and after (</w:t>
      </w:r>
      <w:proofErr w:type="spellStart"/>
      <w:r w:rsidRPr="00546537">
        <w:rPr>
          <w:rFonts w:eastAsia="Times New Roman"/>
          <w:color w:val="000000"/>
          <w:lang w:val="en-US"/>
        </w:rPr>
        <w:t>IndustryAboveAvg</w:t>
      </w:r>
      <w:proofErr w:type="spellEnd"/>
      <w:r w:rsidRPr="00546537">
        <w:rPr>
          <w:rFonts w:eastAsia="Times New Roman"/>
          <w:color w:val="000000"/>
          <w:lang w:val="en-US"/>
        </w:rPr>
        <w:t>)</w:t>
      </w:r>
      <w:r>
        <w:rPr>
          <w:lang w:val="en"/>
        </w:rPr>
        <w:t xml:space="preserve"> the transition, and two categorical variables that capture the employment relationship after (</w:t>
      </w:r>
      <w:proofErr w:type="spellStart"/>
      <w:r w:rsidRPr="00477E94">
        <w:rPr>
          <w:lang w:val="en"/>
        </w:rPr>
        <w:t>LaborContract</w:t>
      </w:r>
      <w:proofErr w:type="spellEnd"/>
      <w:r>
        <w:rPr>
          <w:lang w:val="en"/>
        </w:rPr>
        <w:t>) and before (</w:t>
      </w:r>
      <w:proofErr w:type="spellStart"/>
      <w:r w:rsidRPr="00477E94">
        <w:rPr>
          <w:lang w:val="en"/>
        </w:rPr>
        <w:t>LaborContractLagged</w:t>
      </w:r>
      <w:proofErr w:type="spellEnd"/>
      <w:r>
        <w:rPr>
          <w:lang w:val="en"/>
        </w:rPr>
        <w:t xml:space="preserve">) the transition (independent worker, formal waged worker and informal waged worker) and time (year) dummies. * p value less than 10%. </w:t>
      </w:r>
      <w:r>
        <w:rPr>
          <w:lang w:val="en-US"/>
        </w:rPr>
        <w:t xml:space="preserve">** p value less </w:t>
      </w:r>
      <w:r>
        <w:rPr>
          <w:lang w:val="en-US"/>
        </w:rPr>
        <w:lastRenderedPageBreak/>
        <w:t xml:space="preserve">than 5%, *** p value less than 1%. </w:t>
      </w:r>
      <w:r w:rsidR="00836669">
        <w:rPr>
          <w:lang w:val="en-US"/>
        </w:rPr>
        <w:t>Industry and occupation similarity have been built based on all job transitions that went through a period of unemployment. The sample in this regression comprises all the job-to-job transitions that include a period of unemployment.</w:t>
      </w:r>
    </w:p>
    <w:p w14:paraId="72C905E2" w14:textId="77777777" w:rsidR="002F0A15" w:rsidRPr="00546537" w:rsidRDefault="002F0A15" w:rsidP="00D20955">
      <w:pPr>
        <w:pBdr>
          <w:top w:val="nil"/>
          <w:left w:val="nil"/>
          <w:bottom w:val="nil"/>
          <w:right w:val="nil"/>
          <w:between w:val="nil"/>
        </w:pBdr>
        <w:spacing w:after="0"/>
        <w:rPr>
          <w:lang w:val="en-US"/>
        </w:rPr>
      </w:pPr>
    </w:p>
    <w:p w14:paraId="71283E57" w14:textId="151A6C14" w:rsidR="000F1249" w:rsidRDefault="000F1249">
      <w:pPr>
        <w:rPr>
          <w:b/>
          <w:bCs/>
          <w:sz w:val="20"/>
          <w:szCs w:val="20"/>
          <w:lang w:val="en"/>
        </w:rPr>
      </w:pPr>
      <w:r>
        <w:rPr>
          <w:b/>
          <w:bCs/>
          <w:sz w:val="20"/>
          <w:szCs w:val="20"/>
          <w:lang w:val="en"/>
        </w:rPr>
        <w:br w:type="page"/>
      </w:r>
    </w:p>
    <w:p w14:paraId="53CFBD2B" w14:textId="77777777" w:rsidR="00AB4A98" w:rsidRPr="00546537" w:rsidRDefault="00131924" w:rsidP="008B5CA6">
      <w:pPr>
        <w:pStyle w:val="Heading2"/>
        <w:rPr>
          <w:lang w:val="en-US"/>
        </w:rPr>
      </w:pPr>
      <w:proofErr w:type="spellStart"/>
      <w:r w:rsidRPr="00546537">
        <w:rPr>
          <w:lang w:val="en-US"/>
        </w:rPr>
        <w:lastRenderedPageBreak/>
        <w:t>Bibliografía</w:t>
      </w:r>
      <w:proofErr w:type="spellEnd"/>
    </w:p>
    <w:p w14:paraId="639904CB" w14:textId="77777777" w:rsidR="00AB4A98" w:rsidRPr="00131924" w:rsidRDefault="00131924">
      <w:pPr>
        <w:spacing w:line="360" w:lineRule="auto"/>
        <w:rPr>
          <w:lang w:val="en-US"/>
        </w:rPr>
      </w:pPr>
      <w:r w:rsidRPr="00546537">
        <w:rPr>
          <w:color w:val="222222"/>
          <w:highlight w:val="white"/>
          <w:lang w:val="en-US"/>
        </w:rPr>
        <w:t xml:space="preserve">Balassa, B. (1986). Intra-industry specialization: a cross-country analysis. </w:t>
      </w:r>
      <w:r w:rsidRPr="00131924">
        <w:rPr>
          <w:i/>
          <w:color w:val="222222"/>
          <w:highlight w:val="white"/>
          <w:lang w:val="en-US"/>
        </w:rPr>
        <w:t>European Economic Review</w:t>
      </w:r>
      <w:r w:rsidRPr="00131924">
        <w:rPr>
          <w:color w:val="222222"/>
          <w:highlight w:val="white"/>
          <w:lang w:val="en-US"/>
        </w:rPr>
        <w:t xml:space="preserve">, </w:t>
      </w:r>
      <w:r w:rsidRPr="00131924">
        <w:rPr>
          <w:i/>
          <w:color w:val="222222"/>
          <w:highlight w:val="white"/>
          <w:lang w:val="en-US"/>
        </w:rPr>
        <w:t>30</w:t>
      </w:r>
      <w:r w:rsidRPr="00131924">
        <w:rPr>
          <w:color w:val="222222"/>
          <w:highlight w:val="white"/>
          <w:lang w:val="en-US"/>
        </w:rPr>
        <w:t>(1), 27-42.</w:t>
      </w:r>
    </w:p>
    <w:p w14:paraId="0059C85A" w14:textId="77777777" w:rsidR="00AB4A98" w:rsidRPr="00131924" w:rsidRDefault="00131924">
      <w:pPr>
        <w:pBdr>
          <w:top w:val="nil"/>
          <w:left w:val="nil"/>
          <w:bottom w:val="nil"/>
          <w:right w:val="nil"/>
          <w:between w:val="nil"/>
        </w:pBdr>
        <w:spacing w:line="360" w:lineRule="auto"/>
        <w:rPr>
          <w:lang w:val="en-US"/>
        </w:rPr>
      </w:pPr>
      <w:r w:rsidRPr="00131924">
        <w:rPr>
          <w:lang w:val="en-US"/>
        </w:rPr>
        <w:t>DE RACO, Sergio Andrés; SEMESHENKO, Viktoriya. Labor mobility and industrial space in Argentina. Journal of Dynamics &amp; Games, 2019, vol. 6, no 2, p. 107-118.</w:t>
      </w:r>
    </w:p>
    <w:p w14:paraId="0F67C7B1" w14:textId="77777777" w:rsidR="00AB4A98" w:rsidRPr="00131924" w:rsidRDefault="00131924">
      <w:pPr>
        <w:spacing w:line="360" w:lineRule="auto"/>
        <w:rPr>
          <w:lang w:val="en-US"/>
        </w:rPr>
      </w:pPr>
      <w:proofErr w:type="spellStart"/>
      <w:r w:rsidRPr="00131924">
        <w:rPr>
          <w:color w:val="222222"/>
          <w:highlight w:val="white"/>
          <w:lang w:val="en-US"/>
        </w:rPr>
        <w:t>Gathmann</w:t>
      </w:r>
      <w:proofErr w:type="spellEnd"/>
      <w:r w:rsidRPr="00131924">
        <w:rPr>
          <w:color w:val="222222"/>
          <w:highlight w:val="white"/>
          <w:lang w:val="en-US"/>
        </w:rPr>
        <w:t xml:space="preserve">, C., &amp; </w:t>
      </w:r>
      <w:proofErr w:type="spellStart"/>
      <w:r w:rsidRPr="00131924">
        <w:rPr>
          <w:color w:val="222222"/>
          <w:highlight w:val="white"/>
          <w:lang w:val="en-US"/>
        </w:rPr>
        <w:t>Schönberg</w:t>
      </w:r>
      <w:proofErr w:type="spellEnd"/>
      <w:r w:rsidRPr="00131924">
        <w:rPr>
          <w:color w:val="222222"/>
          <w:highlight w:val="white"/>
          <w:lang w:val="en-US"/>
        </w:rPr>
        <w:t xml:space="preserve">, U. (2010). How general is human capital? A task-based approach. </w:t>
      </w:r>
      <w:r w:rsidRPr="00131924">
        <w:rPr>
          <w:i/>
          <w:color w:val="222222"/>
          <w:highlight w:val="white"/>
          <w:lang w:val="en-US"/>
        </w:rPr>
        <w:t>Journal of Labor Economics</w:t>
      </w:r>
      <w:r w:rsidRPr="00131924">
        <w:rPr>
          <w:color w:val="222222"/>
          <w:highlight w:val="white"/>
          <w:lang w:val="en-US"/>
        </w:rPr>
        <w:t xml:space="preserve">, </w:t>
      </w:r>
      <w:r w:rsidRPr="00131924">
        <w:rPr>
          <w:i/>
          <w:color w:val="222222"/>
          <w:highlight w:val="white"/>
          <w:lang w:val="en-US"/>
        </w:rPr>
        <w:t>28</w:t>
      </w:r>
      <w:r w:rsidRPr="00131924">
        <w:rPr>
          <w:color w:val="222222"/>
          <w:highlight w:val="white"/>
          <w:lang w:val="en-US"/>
        </w:rPr>
        <w:t>(1), 1-49.</w:t>
      </w:r>
    </w:p>
    <w:p w14:paraId="1B647E1D" w14:textId="77777777" w:rsidR="00AB4A98" w:rsidRPr="00131924" w:rsidRDefault="00131924">
      <w:pPr>
        <w:spacing w:line="360" w:lineRule="auto"/>
        <w:rPr>
          <w:lang w:val="en-US"/>
        </w:rPr>
      </w:pPr>
      <w:r w:rsidRPr="00131924">
        <w:rPr>
          <w:color w:val="222222"/>
          <w:highlight w:val="white"/>
          <w:lang w:val="en-US"/>
        </w:rPr>
        <w:t xml:space="preserve">Hidalgo, C. A., &amp; Hausmann, R. (2009). The building blocks of economic complexity. </w:t>
      </w:r>
      <w:r w:rsidRPr="00131924">
        <w:rPr>
          <w:i/>
          <w:color w:val="222222"/>
          <w:highlight w:val="white"/>
          <w:lang w:val="en-US"/>
        </w:rPr>
        <w:t>Proceedings of the national academy of sciences</w:t>
      </w:r>
      <w:r w:rsidRPr="00131924">
        <w:rPr>
          <w:color w:val="222222"/>
          <w:highlight w:val="white"/>
          <w:lang w:val="en-US"/>
        </w:rPr>
        <w:t xml:space="preserve">, </w:t>
      </w:r>
      <w:r w:rsidRPr="00131924">
        <w:rPr>
          <w:i/>
          <w:color w:val="222222"/>
          <w:highlight w:val="white"/>
          <w:lang w:val="en-US"/>
        </w:rPr>
        <w:t>106</w:t>
      </w:r>
      <w:r w:rsidRPr="00131924">
        <w:rPr>
          <w:color w:val="222222"/>
          <w:highlight w:val="white"/>
          <w:lang w:val="en-US"/>
        </w:rPr>
        <w:t>(26), 10570-10575.</w:t>
      </w:r>
    </w:p>
    <w:p w14:paraId="7946D1D7" w14:textId="77777777" w:rsidR="00AB4A98" w:rsidRPr="00131924" w:rsidRDefault="00131924">
      <w:pPr>
        <w:spacing w:line="360" w:lineRule="auto"/>
        <w:rPr>
          <w:color w:val="222222"/>
          <w:highlight w:val="white"/>
          <w:lang w:val="en-US"/>
        </w:rPr>
      </w:pPr>
      <w:r w:rsidRPr="00131924">
        <w:rPr>
          <w:color w:val="222222"/>
          <w:highlight w:val="white"/>
          <w:lang w:val="en-US"/>
        </w:rPr>
        <w:t xml:space="preserve">Hidalgo, C. A., Klinger, B., </w:t>
      </w:r>
      <w:proofErr w:type="spellStart"/>
      <w:r w:rsidRPr="00131924">
        <w:rPr>
          <w:color w:val="222222"/>
          <w:highlight w:val="white"/>
          <w:lang w:val="en-US"/>
        </w:rPr>
        <w:t>Barabási</w:t>
      </w:r>
      <w:proofErr w:type="spellEnd"/>
      <w:r w:rsidRPr="00131924">
        <w:rPr>
          <w:color w:val="222222"/>
          <w:highlight w:val="white"/>
          <w:lang w:val="en-US"/>
        </w:rPr>
        <w:t xml:space="preserve">, A. L., &amp; Hausmann, R. (2007). The product space conditions the development of nations. </w:t>
      </w:r>
      <w:r w:rsidRPr="00131924">
        <w:rPr>
          <w:i/>
          <w:color w:val="222222"/>
          <w:highlight w:val="white"/>
          <w:lang w:val="en-US"/>
        </w:rPr>
        <w:t>Science</w:t>
      </w:r>
      <w:r w:rsidRPr="00131924">
        <w:rPr>
          <w:color w:val="222222"/>
          <w:highlight w:val="white"/>
          <w:lang w:val="en-US"/>
        </w:rPr>
        <w:t xml:space="preserve">, </w:t>
      </w:r>
      <w:r w:rsidRPr="00131924">
        <w:rPr>
          <w:i/>
          <w:color w:val="222222"/>
          <w:highlight w:val="white"/>
          <w:lang w:val="en-US"/>
        </w:rPr>
        <w:t>317</w:t>
      </w:r>
      <w:r w:rsidRPr="00131924">
        <w:rPr>
          <w:color w:val="222222"/>
          <w:highlight w:val="white"/>
          <w:lang w:val="en-US"/>
        </w:rPr>
        <w:t>(5837), 482-487.</w:t>
      </w:r>
    </w:p>
    <w:p w14:paraId="2CED1713" w14:textId="77777777" w:rsidR="00AB4A98" w:rsidRDefault="00131924">
      <w:pPr>
        <w:spacing w:line="360" w:lineRule="auto"/>
        <w:rPr>
          <w:color w:val="222222"/>
          <w:highlight w:val="white"/>
        </w:rPr>
      </w:pPr>
      <w:proofErr w:type="spellStart"/>
      <w:r w:rsidRPr="00131924">
        <w:rPr>
          <w:color w:val="222222"/>
          <w:highlight w:val="white"/>
          <w:lang w:val="en-US"/>
        </w:rPr>
        <w:t>Kambourov</w:t>
      </w:r>
      <w:proofErr w:type="spellEnd"/>
      <w:r w:rsidRPr="00131924">
        <w:rPr>
          <w:color w:val="222222"/>
          <w:highlight w:val="white"/>
          <w:lang w:val="en-US"/>
        </w:rPr>
        <w:t xml:space="preserve">, G., &amp; </w:t>
      </w:r>
      <w:proofErr w:type="spellStart"/>
      <w:r w:rsidRPr="00131924">
        <w:rPr>
          <w:color w:val="222222"/>
          <w:highlight w:val="white"/>
          <w:lang w:val="en-US"/>
        </w:rPr>
        <w:t>Manovskii</w:t>
      </w:r>
      <w:proofErr w:type="spellEnd"/>
      <w:r w:rsidRPr="00131924">
        <w:rPr>
          <w:color w:val="222222"/>
          <w:highlight w:val="white"/>
          <w:lang w:val="en-US"/>
        </w:rPr>
        <w:t xml:space="preserve">, I. (2009). Occupational specificity of human capital. </w:t>
      </w:r>
      <w:r>
        <w:rPr>
          <w:i/>
          <w:color w:val="222222"/>
          <w:highlight w:val="white"/>
        </w:rPr>
        <w:t xml:space="preserve">International </w:t>
      </w:r>
      <w:proofErr w:type="spellStart"/>
      <w:r>
        <w:rPr>
          <w:i/>
          <w:color w:val="222222"/>
          <w:highlight w:val="white"/>
        </w:rPr>
        <w:t>Economic</w:t>
      </w:r>
      <w:proofErr w:type="spellEnd"/>
      <w:r>
        <w:rPr>
          <w:i/>
          <w:color w:val="222222"/>
          <w:highlight w:val="white"/>
        </w:rPr>
        <w:t xml:space="preserve"> </w:t>
      </w:r>
      <w:proofErr w:type="spellStart"/>
      <w:r>
        <w:rPr>
          <w:i/>
          <w:color w:val="222222"/>
          <w:highlight w:val="white"/>
        </w:rPr>
        <w:t>Review</w:t>
      </w:r>
      <w:proofErr w:type="spellEnd"/>
      <w:r>
        <w:rPr>
          <w:color w:val="222222"/>
          <w:highlight w:val="white"/>
        </w:rPr>
        <w:t xml:space="preserve">, </w:t>
      </w:r>
      <w:r>
        <w:rPr>
          <w:i/>
          <w:color w:val="222222"/>
          <w:highlight w:val="white"/>
        </w:rPr>
        <w:t>50</w:t>
      </w:r>
      <w:r>
        <w:rPr>
          <w:color w:val="222222"/>
          <w:highlight w:val="white"/>
        </w:rPr>
        <w:t>(1), 63-115.</w:t>
      </w:r>
    </w:p>
    <w:p w14:paraId="1E9AF205" w14:textId="77777777" w:rsidR="00AB4A98" w:rsidRDefault="00131924">
      <w:pPr>
        <w:pBdr>
          <w:top w:val="nil"/>
          <w:left w:val="nil"/>
          <w:bottom w:val="nil"/>
          <w:right w:val="nil"/>
          <w:between w:val="nil"/>
        </w:pBdr>
        <w:spacing w:line="360" w:lineRule="auto"/>
      </w:pPr>
      <w:r>
        <w:t>MONTANÉ, Martín; SARTORIO, Luca. Tecnología y generación de empleo en el siglo XXI: desafíos y propuestas. Premio de la Academia Nacional de Ciencias Morales y Políticas, 2019.</w:t>
      </w:r>
    </w:p>
    <w:p w14:paraId="3943738C" w14:textId="77777777" w:rsidR="00AB4A98" w:rsidRPr="00131924" w:rsidRDefault="00131924">
      <w:pPr>
        <w:spacing w:line="360" w:lineRule="auto"/>
        <w:rPr>
          <w:color w:val="222222"/>
          <w:highlight w:val="white"/>
          <w:lang w:val="en-US"/>
        </w:rPr>
      </w:pPr>
      <w:proofErr w:type="spellStart"/>
      <w:r>
        <w:rPr>
          <w:color w:val="222222"/>
          <w:highlight w:val="white"/>
        </w:rPr>
        <w:t>Nedelkoska</w:t>
      </w:r>
      <w:proofErr w:type="spellEnd"/>
      <w:r>
        <w:rPr>
          <w:color w:val="222222"/>
          <w:highlight w:val="white"/>
        </w:rPr>
        <w:t xml:space="preserve">, L., </w:t>
      </w:r>
      <w:proofErr w:type="spellStart"/>
      <w:r>
        <w:rPr>
          <w:color w:val="222222"/>
          <w:highlight w:val="white"/>
        </w:rPr>
        <w:t>Diodato</w:t>
      </w:r>
      <w:proofErr w:type="spellEnd"/>
      <w:r>
        <w:rPr>
          <w:color w:val="222222"/>
          <w:highlight w:val="white"/>
        </w:rPr>
        <w:t xml:space="preserve">, D., &amp; </w:t>
      </w:r>
      <w:proofErr w:type="spellStart"/>
      <w:r>
        <w:rPr>
          <w:color w:val="222222"/>
          <w:highlight w:val="white"/>
        </w:rPr>
        <w:t>Neffke</w:t>
      </w:r>
      <w:proofErr w:type="spellEnd"/>
      <w:r>
        <w:rPr>
          <w:color w:val="222222"/>
          <w:highlight w:val="white"/>
        </w:rPr>
        <w:t xml:space="preserve">, F. (2018). </w:t>
      </w:r>
      <w:r w:rsidRPr="00131924">
        <w:rPr>
          <w:i/>
          <w:color w:val="222222"/>
          <w:highlight w:val="white"/>
          <w:lang w:val="en-US"/>
        </w:rPr>
        <w:t>Is Our Human Capital General Enough to Withstand the Current Wave of Technological Change?</w:t>
      </w:r>
      <w:r w:rsidRPr="00131924">
        <w:rPr>
          <w:color w:val="222222"/>
          <w:highlight w:val="white"/>
          <w:lang w:val="en-US"/>
        </w:rPr>
        <w:t xml:space="preserve"> (No. 93a). Center for International Development at Harvard University.</w:t>
      </w:r>
    </w:p>
    <w:p w14:paraId="6BB49181" w14:textId="77777777" w:rsidR="00AB4A98" w:rsidRPr="00131924" w:rsidRDefault="00131924">
      <w:pPr>
        <w:spacing w:line="360" w:lineRule="auto"/>
        <w:rPr>
          <w:color w:val="222222"/>
          <w:highlight w:val="white"/>
          <w:lang w:val="en-US"/>
        </w:rPr>
      </w:pPr>
      <w:proofErr w:type="spellStart"/>
      <w:r w:rsidRPr="00131924">
        <w:rPr>
          <w:color w:val="222222"/>
          <w:highlight w:val="white"/>
          <w:lang w:val="en-US"/>
        </w:rPr>
        <w:t>Neffke</w:t>
      </w:r>
      <w:proofErr w:type="spellEnd"/>
      <w:r w:rsidRPr="00131924">
        <w:rPr>
          <w:color w:val="222222"/>
          <w:highlight w:val="white"/>
          <w:lang w:val="en-US"/>
        </w:rPr>
        <w:t xml:space="preserve">, F., &amp; Henning, M. (2013). Skill relatedness and firm diversification. </w:t>
      </w:r>
      <w:r w:rsidRPr="00131924">
        <w:rPr>
          <w:i/>
          <w:color w:val="222222"/>
          <w:highlight w:val="white"/>
          <w:lang w:val="en-US"/>
        </w:rPr>
        <w:t>Strategic Management Journal</w:t>
      </w:r>
      <w:r w:rsidRPr="00131924">
        <w:rPr>
          <w:color w:val="222222"/>
          <w:highlight w:val="white"/>
          <w:lang w:val="en-US"/>
        </w:rPr>
        <w:t xml:space="preserve">, </w:t>
      </w:r>
      <w:r w:rsidRPr="00131924">
        <w:rPr>
          <w:i/>
          <w:color w:val="222222"/>
          <w:highlight w:val="white"/>
          <w:lang w:val="en-US"/>
        </w:rPr>
        <w:t>34</w:t>
      </w:r>
      <w:r w:rsidRPr="00131924">
        <w:rPr>
          <w:color w:val="222222"/>
          <w:highlight w:val="white"/>
          <w:lang w:val="en-US"/>
        </w:rPr>
        <w:t>(3), 297-316.</w:t>
      </w:r>
    </w:p>
    <w:p w14:paraId="093F054B" w14:textId="77777777" w:rsidR="00AB4A98" w:rsidRPr="00131924" w:rsidRDefault="00131924">
      <w:pPr>
        <w:pBdr>
          <w:top w:val="nil"/>
          <w:left w:val="nil"/>
          <w:bottom w:val="nil"/>
          <w:right w:val="nil"/>
          <w:between w:val="nil"/>
        </w:pBdr>
        <w:spacing w:line="360" w:lineRule="auto"/>
        <w:rPr>
          <w:color w:val="222222"/>
          <w:highlight w:val="white"/>
          <w:lang w:val="en-US"/>
        </w:rPr>
      </w:pPr>
      <w:r w:rsidRPr="00131924">
        <w:rPr>
          <w:color w:val="222222"/>
          <w:highlight w:val="white"/>
          <w:lang w:val="en-US"/>
        </w:rPr>
        <w:t xml:space="preserve">Sullivan, P. (2010). Empirical evidence on occupation and industry specific human capital. </w:t>
      </w:r>
      <w:proofErr w:type="spellStart"/>
      <w:r w:rsidRPr="00131924">
        <w:rPr>
          <w:i/>
          <w:color w:val="222222"/>
          <w:highlight w:val="white"/>
          <w:lang w:val="en-US"/>
        </w:rPr>
        <w:t>Labour</w:t>
      </w:r>
      <w:proofErr w:type="spellEnd"/>
      <w:r w:rsidRPr="00131924">
        <w:rPr>
          <w:i/>
          <w:color w:val="222222"/>
          <w:highlight w:val="white"/>
          <w:lang w:val="en-US"/>
        </w:rPr>
        <w:t xml:space="preserve"> economics</w:t>
      </w:r>
      <w:r w:rsidRPr="00131924">
        <w:rPr>
          <w:color w:val="222222"/>
          <w:highlight w:val="white"/>
          <w:lang w:val="en-US"/>
        </w:rPr>
        <w:t xml:space="preserve">, </w:t>
      </w:r>
      <w:r w:rsidRPr="00131924">
        <w:rPr>
          <w:i/>
          <w:color w:val="222222"/>
          <w:highlight w:val="white"/>
          <w:lang w:val="en-US"/>
        </w:rPr>
        <w:t>17</w:t>
      </w:r>
      <w:r w:rsidRPr="00131924">
        <w:rPr>
          <w:color w:val="222222"/>
          <w:highlight w:val="white"/>
          <w:lang w:val="en-US"/>
        </w:rPr>
        <w:t>(3), 567-580.</w:t>
      </w:r>
    </w:p>
    <w:p w14:paraId="51BAB270" w14:textId="77777777" w:rsidR="00AB4A98" w:rsidRPr="00131924" w:rsidRDefault="00131924">
      <w:pPr>
        <w:pBdr>
          <w:top w:val="nil"/>
          <w:left w:val="nil"/>
          <w:bottom w:val="nil"/>
          <w:right w:val="nil"/>
          <w:between w:val="nil"/>
        </w:pBdr>
        <w:spacing w:line="360" w:lineRule="auto"/>
        <w:rPr>
          <w:color w:val="222222"/>
          <w:sz w:val="20"/>
          <w:szCs w:val="20"/>
          <w:highlight w:val="white"/>
          <w:lang w:val="en-US"/>
        </w:rPr>
      </w:pPr>
      <w:r w:rsidRPr="00131924">
        <w:rPr>
          <w:color w:val="222222"/>
          <w:highlight w:val="white"/>
          <w:lang w:val="en-US"/>
        </w:rPr>
        <w:t xml:space="preserve">Yamaguchi, S. (2012). Tasks and heterogeneous human capital. </w:t>
      </w:r>
      <w:r w:rsidRPr="00131924">
        <w:rPr>
          <w:i/>
          <w:color w:val="222222"/>
          <w:highlight w:val="white"/>
          <w:lang w:val="en-US"/>
        </w:rPr>
        <w:t>Journal of Labor Economics</w:t>
      </w:r>
      <w:r w:rsidRPr="00131924">
        <w:rPr>
          <w:color w:val="222222"/>
          <w:highlight w:val="white"/>
          <w:lang w:val="en-US"/>
        </w:rPr>
        <w:t xml:space="preserve">, </w:t>
      </w:r>
      <w:r w:rsidRPr="00131924">
        <w:rPr>
          <w:i/>
          <w:color w:val="222222"/>
          <w:highlight w:val="white"/>
          <w:lang w:val="en-US"/>
        </w:rPr>
        <w:t>30</w:t>
      </w:r>
      <w:r w:rsidRPr="00131924">
        <w:rPr>
          <w:color w:val="222222"/>
          <w:highlight w:val="white"/>
          <w:lang w:val="en-US"/>
        </w:rPr>
        <w:t>(1), 1-53.</w:t>
      </w:r>
    </w:p>
    <w:p w14:paraId="025C4244" w14:textId="77777777" w:rsidR="00AB4A98" w:rsidRPr="00131924" w:rsidRDefault="00AB4A98">
      <w:pPr>
        <w:pBdr>
          <w:top w:val="nil"/>
          <w:left w:val="nil"/>
          <w:bottom w:val="nil"/>
          <w:right w:val="nil"/>
          <w:between w:val="nil"/>
        </w:pBdr>
        <w:spacing w:line="360" w:lineRule="auto"/>
        <w:rPr>
          <w:color w:val="222222"/>
          <w:sz w:val="20"/>
          <w:szCs w:val="20"/>
          <w:highlight w:val="white"/>
          <w:lang w:val="en-US"/>
        </w:rPr>
      </w:pPr>
    </w:p>
    <w:sectPr w:rsidR="00AB4A98" w:rsidRPr="0013192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aela Fecchino" w:date="2020-02-28T15:14:00Z" w:initials="MF">
    <w:p w14:paraId="2109D015" w14:textId="1C00982A" w:rsidR="00836669" w:rsidRPr="00946633" w:rsidRDefault="00836669">
      <w:pPr>
        <w:pStyle w:val="CommentText"/>
        <w:rPr>
          <w:lang w:val="en-US"/>
        </w:rPr>
      </w:pPr>
      <w:r>
        <w:rPr>
          <w:rStyle w:val="CommentReference"/>
        </w:rPr>
        <w:annotationRef/>
      </w:r>
      <w:r w:rsidRPr="00946633">
        <w:rPr>
          <w:lang w:val="en-US"/>
        </w:rPr>
        <w:t>Formed from the analyses of mo</w:t>
      </w:r>
      <w:r>
        <w:rPr>
          <w:lang w:val="en-US"/>
        </w:rPr>
        <w:t>vements</w:t>
      </w:r>
    </w:p>
  </w:comment>
  <w:comment w:id="9" w:author="Micaela Fecchino" w:date="2020-03-02T16:17:00Z" w:initials="MF">
    <w:p w14:paraId="67BD6363" w14:textId="23143FE8" w:rsidR="00836669" w:rsidRDefault="00836669">
      <w:pPr>
        <w:pStyle w:val="CommentText"/>
      </w:pPr>
      <w:r>
        <w:rPr>
          <w:rStyle w:val="CommentReference"/>
        </w:rPr>
        <w:annotationRef/>
      </w:r>
      <w:proofErr w:type="spellStart"/>
      <w:r>
        <w:t>check</w:t>
      </w:r>
      <w:proofErr w:type="spellEnd"/>
    </w:p>
  </w:comment>
  <w:comment w:id="14" w:author="Micaela Fecchino" w:date="2020-03-03T08:11:00Z" w:initials="MF">
    <w:p w14:paraId="6A3911B5" w14:textId="239C33C9" w:rsidR="00836669" w:rsidRDefault="00836669">
      <w:pPr>
        <w:pStyle w:val="CommentText"/>
      </w:pPr>
      <w:r>
        <w:rPr>
          <w:rStyle w:val="CommentReference"/>
        </w:rPr>
        <w:annotationRef/>
      </w:r>
      <w:r>
        <w:t>redundante</w:t>
      </w:r>
    </w:p>
  </w:comment>
  <w:comment w:id="15" w:author="Micaela Fecchino" w:date="2020-03-03T14:41:00Z" w:initials="MF">
    <w:p w14:paraId="6334C013" w14:textId="465447A8" w:rsidR="00836669" w:rsidRDefault="00836669">
      <w:pPr>
        <w:pStyle w:val="CommentText"/>
      </w:pPr>
      <w:r>
        <w:rPr>
          <w:rStyle w:val="CommentReference"/>
        </w:rPr>
        <w:annotationRef/>
      </w:r>
      <w:r>
        <w:rPr>
          <w:rStyle w:val="CommentReference"/>
        </w:rPr>
        <w:t>tratar de reformular para simplificar lectura</w:t>
      </w:r>
    </w:p>
  </w:comment>
  <w:comment w:id="18" w:author="Micaela Fecchino" w:date="2020-03-01T14:17:00Z" w:initials="MF">
    <w:p w14:paraId="046F57DA" w14:textId="18A0D87B" w:rsidR="00836669" w:rsidRDefault="00836669">
      <w:pPr>
        <w:pStyle w:val="CommentText"/>
      </w:pPr>
      <w:r>
        <w:rPr>
          <w:rStyle w:val="CommentReference"/>
        </w:rPr>
        <w:annotationRef/>
      </w:r>
      <w:r>
        <w:t>queda raro</w:t>
      </w:r>
    </w:p>
  </w:comment>
  <w:comment w:id="20" w:author="Micaela Fecchino" w:date="2020-03-03T10:07:00Z" w:initials="MF">
    <w:p w14:paraId="4E15756B" w14:textId="2837F7B1" w:rsidR="00836669" w:rsidRDefault="00836669">
      <w:pPr>
        <w:pStyle w:val="CommentText"/>
      </w:pPr>
      <w:r>
        <w:rPr>
          <w:rStyle w:val="CommentReference"/>
        </w:rPr>
        <w:annotationRef/>
      </w:r>
      <w:r>
        <w:t>chequear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09D015" w15:done="1"/>
  <w15:commentEx w15:paraId="67BD6363" w15:done="1"/>
  <w15:commentEx w15:paraId="6A3911B5" w15:done="1"/>
  <w15:commentEx w15:paraId="6334C013" w15:done="1"/>
  <w15:commentEx w15:paraId="046F57DA" w15:done="1"/>
  <w15:commentEx w15:paraId="4E1575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09D015" w16cid:durableId="2203ACE5"/>
  <w16cid:commentId w16cid:paraId="67BD6363" w16cid:durableId="2207AFFE"/>
  <w16cid:commentId w16cid:paraId="6A3911B5" w16cid:durableId="22088FC1"/>
  <w16cid:commentId w16cid:paraId="6334C013" w16cid:durableId="2208EB20"/>
  <w16cid:commentId w16cid:paraId="046F57DA" w16cid:durableId="22064272"/>
  <w16cid:commentId w16cid:paraId="4E15756B" w16cid:durableId="2208AA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E2772" w14:textId="77777777" w:rsidR="004B537B" w:rsidRDefault="004B537B">
      <w:pPr>
        <w:spacing w:after="0"/>
      </w:pPr>
      <w:r>
        <w:separator/>
      </w:r>
    </w:p>
  </w:endnote>
  <w:endnote w:type="continuationSeparator" w:id="0">
    <w:p w14:paraId="06754287" w14:textId="77777777" w:rsidR="004B537B" w:rsidRDefault="004B5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7424" w14:textId="77777777" w:rsidR="004B537B" w:rsidRDefault="004B537B">
      <w:pPr>
        <w:spacing w:after="0"/>
      </w:pPr>
      <w:r>
        <w:separator/>
      </w:r>
    </w:p>
  </w:footnote>
  <w:footnote w:type="continuationSeparator" w:id="0">
    <w:p w14:paraId="54E249E5" w14:textId="77777777" w:rsidR="004B537B" w:rsidRDefault="004B537B">
      <w:pPr>
        <w:spacing w:after="0"/>
      </w:pPr>
      <w:r>
        <w:continuationSeparator/>
      </w:r>
    </w:p>
  </w:footnote>
  <w:footnote w:id="1">
    <w:p w14:paraId="6B964295" w14:textId="0B8C9E99" w:rsidR="00BF5447" w:rsidRPr="00BF5447" w:rsidRDefault="00BF5447">
      <w:pPr>
        <w:pStyle w:val="FootnoteText"/>
        <w:rPr>
          <w:lang w:val="en-US"/>
        </w:rPr>
      </w:pPr>
      <w:r>
        <w:rPr>
          <w:rStyle w:val="FootnoteReference"/>
        </w:rPr>
        <w:footnoteRef/>
      </w:r>
      <w:r w:rsidRPr="00BF5447">
        <w:rPr>
          <w:lang w:val="en-US"/>
        </w:rPr>
        <w:t xml:space="preserve"> We believe that replication </w:t>
      </w:r>
      <w:r>
        <w:rPr>
          <w:lang w:val="en-US"/>
        </w:rPr>
        <w:t xml:space="preserve">of scientific studies is a necessary condition for the improvement of science. Codes and data are publicly available at </w:t>
      </w:r>
      <w:hyperlink r:id="rId1" w:history="1">
        <w:r w:rsidRPr="00BF5447">
          <w:rPr>
            <w:rStyle w:val="Hyperlink"/>
            <w:lang w:val="en-US"/>
          </w:rPr>
          <w:t>https://github.com/martinmontane/EPHOcupaciones</w:t>
        </w:r>
      </w:hyperlink>
      <w:r w:rsidRPr="00BF5447">
        <w:rPr>
          <w:lang w:val="en-US"/>
        </w:rPr>
        <w:t>.</w:t>
      </w:r>
      <w:r>
        <w:rPr>
          <w:lang w:val="en-US"/>
        </w:rPr>
        <w:t xml:space="preserve"> Any error or suggestions in the code or data will be most welcome at martinmontane@gmail.com</w:t>
      </w:r>
    </w:p>
  </w:footnote>
  <w:footnote w:id="2">
    <w:p w14:paraId="7C5132BB" w14:textId="1A2E9204" w:rsidR="00836669" w:rsidRPr="00DE1196" w:rsidRDefault="00836669">
      <w:pPr>
        <w:spacing w:after="0"/>
        <w:rPr>
          <w:sz w:val="20"/>
          <w:szCs w:val="20"/>
          <w:lang w:val="en-US"/>
        </w:rPr>
      </w:pPr>
      <w:r w:rsidDel="00000001">
        <w:rPr>
          <w:vertAlign w:val="superscript"/>
          <w:lang w:val="en"/>
        </w:rPr>
        <w:footnoteRef/>
      </w:r>
      <w:r w:rsidRPr="00DE1196">
        <w:rPr>
          <w:sz w:val="20"/>
          <w:szCs w:val="20"/>
          <w:lang w:val="en-US"/>
        </w:rPr>
        <w:t xml:space="preserve"> This period </w:t>
      </w:r>
      <w:r w:rsidRPr="00B03CC9">
        <w:rPr>
          <w:sz w:val="20"/>
          <w:szCs w:val="20"/>
          <w:lang w:val="en-US"/>
        </w:rPr>
        <w:t>coincided</w:t>
      </w:r>
      <w:r w:rsidRPr="00DE1196">
        <w:rPr>
          <w:sz w:val="20"/>
          <w:szCs w:val="20"/>
          <w:lang w:val="en-US"/>
        </w:rPr>
        <w:t xml:space="preserve"> with a sample change in the EPH, which could partially explain this change</w:t>
      </w:r>
      <w:r w:rsidRPr="00DE1196" w:rsidDel="00000002">
        <w:rPr>
          <w:sz w:val="20"/>
          <w:szCs w:val="20"/>
          <w:lang w:val="en-US"/>
        </w:rPr>
        <w:t>.</w:t>
      </w:r>
    </w:p>
  </w:footnote>
  <w:footnote w:id="3">
    <w:p w14:paraId="11A5B74E" w14:textId="53EB4883" w:rsidR="00836669" w:rsidRPr="00DE1196" w:rsidRDefault="00836669">
      <w:pPr>
        <w:pStyle w:val="FootnoteText"/>
        <w:rPr>
          <w:lang w:val="en-US"/>
        </w:rPr>
      </w:pPr>
      <w:r w:rsidDel="00000001">
        <w:rPr>
          <w:rStyle w:val="FootnoteReference"/>
          <w:lang w:val="en"/>
        </w:rPr>
        <w:footnoteRef/>
      </w:r>
      <w:r w:rsidRPr="00DE1196" w:rsidDel="00000002">
        <w:rPr>
          <w:lang w:val="en-US"/>
        </w:rPr>
        <w:t xml:space="preserve"> </w:t>
      </w:r>
      <w:r w:rsidRPr="006B5442">
        <w:rPr>
          <w:lang w:val="en"/>
        </w:rPr>
        <w:t xml:space="preserve">The quarterly average is </w:t>
      </w:r>
      <w:r>
        <w:rPr>
          <w:lang w:val="en"/>
        </w:rPr>
        <w:t>calculated</w:t>
      </w:r>
      <w:r w:rsidRPr="006B5442">
        <w:rPr>
          <w:lang w:val="en"/>
        </w:rPr>
        <w:t xml:space="preserve"> </w:t>
      </w:r>
      <w:r>
        <w:rPr>
          <w:lang w:val="en"/>
        </w:rPr>
        <w:t>instead of</w:t>
      </w:r>
      <w:r w:rsidRPr="006B5442">
        <w:rPr>
          <w:lang w:val="en"/>
        </w:rPr>
        <w:t xml:space="preserve"> the variation between the two points because the regression </w:t>
      </w:r>
      <w:r>
        <w:rPr>
          <w:lang w:val="en"/>
        </w:rPr>
        <w:t>pools</w:t>
      </w:r>
      <w:r w:rsidRPr="006B5442">
        <w:rPr>
          <w:lang w:val="en"/>
        </w:rPr>
        <w:t xml:space="preserve"> movements of 1, 3 and 4 quarters. In an inflationary context, such as the one </w:t>
      </w:r>
      <w:r>
        <w:rPr>
          <w:lang w:val="en"/>
        </w:rPr>
        <w:t xml:space="preserve">that Argentina is </w:t>
      </w:r>
      <w:r w:rsidRPr="006B5442">
        <w:rPr>
          <w:lang w:val="en"/>
        </w:rPr>
        <w:t xml:space="preserve">experiencing, </w:t>
      </w:r>
      <w:r>
        <w:rPr>
          <w:lang w:val="en"/>
        </w:rPr>
        <w:t>longer transitions may be penalized</w:t>
      </w:r>
      <w:r w:rsidRPr="006B5442">
        <w:rPr>
          <w:lang w:val="e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415C2"/>
    <w:multiLevelType w:val="hybridMultilevel"/>
    <w:tmpl w:val="856E5440"/>
    <w:lvl w:ilvl="0" w:tplc="9B127B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Fecchino">
    <w15:presenceInfo w15:providerId="AD" w15:userId="S::mfecchino@mail.utdt.edu::33dd326d-c716-494f-8818-df89b8cf5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A98"/>
    <w:rsid w:val="00004298"/>
    <w:rsid w:val="00014AE0"/>
    <w:rsid w:val="00025E00"/>
    <w:rsid w:val="00027292"/>
    <w:rsid w:val="000337F2"/>
    <w:rsid w:val="000415E0"/>
    <w:rsid w:val="0005276B"/>
    <w:rsid w:val="000544AF"/>
    <w:rsid w:val="00056645"/>
    <w:rsid w:val="00062D3D"/>
    <w:rsid w:val="00070A7B"/>
    <w:rsid w:val="00071CE2"/>
    <w:rsid w:val="00075F10"/>
    <w:rsid w:val="0008457D"/>
    <w:rsid w:val="000902D9"/>
    <w:rsid w:val="00092740"/>
    <w:rsid w:val="000945AC"/>
    <w:rsid w:val="00094F39"/>
    <w:rsid w:val="0009734D"/>
    <w:rsid w:val="000B3F25"/>
    <w:rsid w:val="000B51ED"/>
    <w:rsid w:val="000C2FFF"/>
    <w:rsid w:val="000C7F0B"/>
    <w:rsid w:val="000D0F90"/>
    <w:rsid w:val="000D3CD5"/>
    <w:rsid w:val="000D585F"/>
    <w:rsid w:val="000D6CC9"/>
    <w:rsid w:val="000E0EA6"/>
    <w:rsid w:val="000E3786"/>
    <w:rsid w:val="000E67E8"/>
    <w:rsid w:val="000F1249"/>
    <w:rsid w:val="00112F85"/>
    <w:rsid w:val="00120A85"/>
    <w:rsid w:val="00124C67"/>
    <w:rsid w:val="00131924"/>
    <w:rsid w:val="001331D2"/>
    <w:rsid w:val="00133B4A"/>
    <w:rsid w:val="00137D22"/>
    <w:rsid w:val="00143052"/>
    <w:rsid w:val="00144057"/>
    <w:rsid w:val="00145D93"/>
    <w:rsid w:val="0015188D"/>
    <w:rsid w:val="001520CE"/>
    <w:rsid w:val="00170224"/>
    <w:rsid w:val="001904FB"/>
    <w:rsid w:val="0019365C"/>
    <w:rsid w:val="001C4A6D"/>
    <w:rsid w:val="001C71E0"/>
    <w:rsid w:val="001D11A8"/>
    <w:rsid w:val="001D31B3"/>
    <w:rsid w:val="001F1B63"/>
    <w:rsid w:val="001F4AB0"/>
    <w:rsid w:val="002019FE"/>
    <w:rsid w:val="00202EA2"/>
    <w:rsid w:val="00205502"/>
    <w:rsid w:val="00207517"/>
    <w:rsid w:val="002148DC"/>
    <w:rsid w:val="00214C68"/>
    <w:rsid w:val="00217674"/>
    <w:rsid w:val="0022029D"/>
    <w:rsid w:val="00223852"/>
    <w:rsid w:val="00225CFE"/>
    <w:rsid w:val="00226194"/>
    <w:rsid w:val="00235111"/>
    <w:rsid w:val="00240161"/>
    <w:rsid w:val="002418AC"/>
    <w:rsid w:val="00241AFA"/>
    <w:rsid w:val="00241DC0"/>
    <w:rsid w:val="00244445"/>
    <w:rsid w:val="00247ED4"/>
    <w:rsid w:val="002522C4"/>
    <w:rsid w:val="00252DAD"/>
    <w:rsid w:val="00264EC9"/>
    <w:rsid w:val="00274A0C"/>
    <w:rsid w:val="00276D7F"/>
    <w:rsid w:val="00287F0B"/>
    <w:rsid w:val="002917F7"/>
    <w:rsid w:val="0029198E"/>
    <w:rsid w:val="002A1C9C"/>
    <w:rsid w:val="002A28E1"/>
    <w:rsid w:val="002A50A1"/>
    <w:rsid w:val="002B546C"/>
    <w:rsid w:val="002C0E00"/>
    <w:rsid w:val="002C21BD"/>
    <w:rsid w:val="002C2DB9"/>
    <w:rsid w:val="002C634F"/>
    <w:rsid w:val="002D29E1"/>
    <w:rsid w:val="002D5005"/>
    <w:rsid w:val="002D7397"/>
    <w:rsid w:val="002E0311"/>
    <w:rsid w:val="002F0A15"/>
    <w:rsid w:val="002F240F"/>
    <w:rsid w:val="002F5E24"/>
    <w:rsid w:val="002F6E7C"/>
    <w:rsid w:val="00300AA7"/>
    <w:rsid w:val="00301DCE"/>
    <w:rsid w:val="00302C18"/>
    <w:rsid w:val="00304AB4"/>
    <w:rsid w:val="00306B2F"/>
    <w:rsid w:val="003150C7"/>
    <w:rsid w:val="0031717B"/>
    <w:rsid w:val="0032459C"/>
    <w:rsid w:val="003257B8"/>
    <w:rsid w:val="00327CAF"/>
    <w:rsid w:val="003367E5"/>
    <w:rsid w:val="003535FB"/>
    <w:rsid w:val="003540B2"/>
    <w:rsid w:val="0038105F"/>
    <w:rsid w:val="00386006"/>
    <w:rsid w:val="00387E4E"/>
    <w:rsid w:val="00391A4A"/>
    <w:rsid w:val="003A1DCB"/>
    <w:rsid w:val="003A590F"/>
    <w:rsid w:val="003A7191"/>
    <w:rsid w:val="003B6084"/>
    <w:rsid w:val="003B7F93"/>
    <w:rsid w:val="003C28D2"/>
    <w:rsid w:val="003C3380"/>
    <w:rsid w:val="003C6B89"/>
    <w:rsid w:val="003D3309"/>
    <w:rsid w:val="003D53F8"/>
    <w:rsid w:val="003D7535"/>
    <w:rsid w:val="003E280E"/>
    <w:rsid w:val="003E30B3"/>
    <w:rsid w:val="003F2B4A"/>
    <w:rsid w:val="003F7898"/>
    <w:rsid w:val="00407ACF"/>
    <w:rsid w:val="004101C7"/>
    <w:rsid w:val="00425639"/>
    <w:rsid w:val="00443327"/>
    <w:rsid w:val="0044596E"/>
    <w:rsid w:val="00447A02"/>
    <w:rsid w:val="004542AB"/>
    <w:rsid w:val="00477E94"/>
    <w:rsid w:val="0048259C"/>
    <w:rsid w:val="004A2102"/>
    <w:rsid w:val="004A7D9A"/>
    <w:rsid w:val="004B537B"/>
    <w:rsid w:val="004C153A"/>
    <w:rsid w:val="004C3C59"/>
    <w:rsid w:val="004C782E"/>
    <w:rsid w:val="004D125A"/>
    <w:rsid w:val="004D25C9"/>
    <w:rsid w:val="004D617F"/>
    <w:rsid w:val="004D64AA"/>
    <w:rsid w:val="004F0550"/>
    <w:rsid w:val="004F6739"/>
    <w:rsid w:val="004F69A5"/>
    <w:rsid w:val="0050115C"/>
    <w:rsid w:val="005022C2"/>
    <w:rsid w:val="00504621"/>
    <w:rsid w:val="00520745"/>
    <w:rsid w:val="00520E7A"/>
    <w:rsid w:val="00531701"/>
    <w:rsid w:val="005375B1"/>
    <w:rsid w:val="005430CA"/>
    <w:rsid w:val="00544E40"/>
    <w:rsid w:val="00546537"/>
    <w:rsid w:val="005572A5"/>
    <w:rsid w:val="00565305"/>
    <w:rsid w:val="00575F08"/>
    <w:rsid w:val="0058642A"/>
    <w:rsid w:val="00587ADB"/>
    <w:rsid w:val="00593F0B"/>
    <w:rsid w:val="00594F32"/>
    <w:rsid w:val="00596CC7"/>
    <w:rsid w:val="005B2F2A"/>
    <w:rsid w:val="005C2AA4"/>
    <w:rsid w:val="005E13CB"/>
    <w:rsid w:val="005E5835"/>
    <w:rsid w:val="005F0172"/>
    <w:rsid w:val="00603C5F"/>
    <w:rsid w:val="00610823"/>
    <w:rsid w:val="00612545"/>
    <w:rsid w:val="00621438"/>
    <w:rsid w:val="00624763"/>
    <w:rsid w:val="00652F0E"/>
    <w:rsid w:val="00652FE7"/>
    <w:rsid w:val="00653EC1"/>
    <w:rsid w:val="00653EEF"/>
    <w:rsid w:val="00654B7B"/>
    <w:rsid w:val="00655065"/>
    <w:rsid w:val="0065636D"/>
    <w:rsid w:val="0066390C"/>
    <w:rsid w:val="00663CDF"/>
    <w:rsid w:val="00666BE3"/>
    <w:rsid w:val="00667832"/>
    <w:rsid w:val="00672EFD"/>
    <w:rsid w:val="00680C09"/>
    <w:rsid w:val="00683E56"/>
    <w:rsid w:val="00695CA7"/>
    <w:rsid w:val="006A4BD8"/>
    <w:rsid w:val="006A7589"/>
    <w:rsid w:val="006B2FCD"/>
    <w:rsid w:val="006B3B89"/>
    <w:rsid w:val="006B3DD7"/>
    <w:rsid w:val="006B44E6"/>
    <w:rsid w:val="006B4769"/>
    <w:rsid w:val="006B690C"/>
    <w:rsid w:val="006C10E9"/>
    <w:rsid w:val="006C28A4"/>
    <w:rsid w:val="006D0691"/>
    <w:rsid w:val="006D3D04"/>
    <w:rsid w:val="006D40CA"/>
    <w:rsid w:val="006E204E"/>
    <w:rsid w:val="006E2CA7"/>
    <w:rsid w:val="006F1564"/>
    <w:rsid w:val="006F20C7"/>
    <w:rsid w:val="006F36DD"/>
    <w:rsid w:val="006F60C7"/>
    <w:rsid w:val="00700705"/>
    <w:rsid w:val="007024C6"/>
    <w:rsid w:val="007044E3"/>
    <w:rsid w:val="00707AAA"/>
    <w:rsid w:val="00714502"/>
    <w:rsid w:val="00716EAF"/>
    <w:rsid w:val="0072226C"/>
    <w:rsid w:val="0073165B"/>
    <w:rsid w:val="00734F4D"/>
    <w:rsid w:val="007410FD"/>
    <w:rsid w:val="00741F7B"/>
    <w:rsid w:val="007431DD"/>
    <w:rsid w:val="0074423F"/>
    <w:rsid w:val="00754D97"/>
    <w:rsid w:val="00757DE4"/>
    <w:rsid w:val="00761F55"/>
    <w:rsid w:val="00763DC9"/>
    <w:rsid w:val="00764A3F"/>
    <w:rsid w:val="00775D48"/>
    <w:rsid w:val="00783BB3"/>
    <w:rsid w:val="0078599E"/>
    <w:rsid w:val="00787517"/>
    <w:rsid w:val="007901BC"/>
    <w:rsid w:val="007A75F0"/>
    <w:rsid w:val="007B0308"/>
    <w:rsid w:val="007C110E"/>
    <w:rsid w:val="007C771E"/>
    <w:rsid w:val="007D404C"/>
    <w:rsid w:val="007D63C6"/>
    <w:rsid w:val="007D7E53"/>
    <w:rsid w:val="007E0957"/>
    <w:rsid w:val="007F0866"/>
    <w:rsid w:val="007F24E2"/>
    <w:rsid w:val="007F26C5"/>
    <w:rsid w:val="007F36E9"/>
    <w:rsid w:val="007F3A25"/>
    <w:rsid w:val="007F4333"/>
    <w:rsid w:val="007F591C"/>
    <w:rsid w:val="007F68AF"/>
    <w:rsid w:val="008035E4"/>
    <w:rsid w:val="00820256"/>
    <w:rsid w:val="008232FE"/>
    <w:rsid w:val="00835AE4"/>
    <w:rsid w:val="00836669"/>
    <w:rsid w:val="00836698"/>
    <w:rsid w:val="0084460D"/>
    <w:rsid w:val="00853BB7"/>
    <w:rsid w:val="008551C4"/>
    <w:rsid w:val="00865141"/>
    <w:rsid w:val="00866720"/>
    <w:rsid w:val="008713F2"/>
    <w:rsid w:val="00874472"/>
    <w:rsid w:val="00884EBA"/>
    <w:rsid w:val="008923CE"/>
    <w:rsid w:val="00892FA8"/>
    <w:rsid w:val="008967EE"/>
    <w:rsid w:val="008979B2"/>
    <w:rsid w:val="008A6B7B"/>
    <w:rsid w:val="008A6B97"/>
    <w:rsid w:val="008B24CC"/>
    <w:rsid w:val="008B42AA"/>
    <w:rsid w:val="008B5CA6"/>
    <w:rsid w:val="008C5794"/>
    <w:rsid w:val="008D2C54"/>
    <w:rsid w:val="008E3355"/>
    <w:rsid w:val="008E7936"/>
    <w:rsid w:val="008E7A96"/>
    <w:rsid w:val="008F0573"/>
    <w:rsid w:val="009026CE"/>
    <w:rsid w:val="009044C5"/>
    <w:rsid w:val="00905275"/>
    <w:rsid w:val="00917F7E"/>
    <w:rsid w:val="00933879"/>
    <w:rsid w:val="00934233"/>
    <w:rsid w:val="00940143"/>
    <w:rsid w:val="009436A6"/>
    <w:rsid w:val="00946633"/>
    <w:rsid w:val="00956FBD"/>
    <w:rsid w:val="00957024"/>
    <w:rsid w:val="00957F4D"/>
    <w:rsid w:val="00976EF5"/>
    <w:rsid w:val="00982EBE"/>
    <w:rsid w:val="00992437"/>
    <w:rsid w:val="009B0C54"/>
    <w:rsid w:val="009B0F6D"/>
    <w:rsid w:val="009B504D"/>
    <w:rsid w:val="009B731F"/>
    <w:rsid w:val="009C1818"/>
    <w:rsid w:val="009C6CE5"/>
    <w:rsid w:val="009C7C6C"/>
    <w:rsid w:val="009D171E"/>
    <w:rsid w:val="009D31D2"/>
    <w:rsid w:val="009E0FF2"/>
    <w:rsid w:val="009E38E9"/>
    <w:rsid w:val="009F12A2"/>
    <w:rsid w:val="009F30BA"/>
    <w:rsid w:val="009F5355"/>
    <w:rsid w:val="009F6327"/>
    <w:rsid w:val="00A11326"/>
    <w:rsid w:val="00A260A3"/>
    <w:rsid w:val="00A2639C"/>
    <w:rsid w:val="00A34EBC"/>
    <w:rsid w:val="00A37A23"/>
    <w:rsid w:val="00A4355C"/>
    <w:rsid w:val="00A507BB"/>
    <w:rsid w:val="00A51151"/>
    <w:rsid w:val="00A52868"/>
    <w:rsid w:val="00A54C8C"/>
    <w:rsid w:val="00A70D1B"/>
    <w:rsid w:val="00A7406A"/>
    <w:rsid w:val="00A76350"/>
    <w:rsid w:val="00A85F1E"/>
    <w:rsid w:val="00A9324A"/>
    <w:rsid w:val="00A96F85"/>
    <w:rsid w:val="00AA1FA2"/>
    <w:rsid w:val="00AB4A98"/>
    <w:rsid w:val="00AB6558"/>
    <w:rsid w:val="00AC3AF2"/>
    <w:rsid w:val="00AC70FE"/>
    <w:rsid w:val="00AE2C19"/>
    <w:rsid w:val="00AE44A1"/>
    <w:rsid w:val="00AE618C"/>
    <w:rsid w:val="00AE6371"/>
    <w:rsid w:val="00AE7490"/>
    <w:rsid w:val="00AF4EA5"/>
    <w:rsid w:val="00B03CC9"/>
    <w:rsid w:val="00B04A31"/>
    <w:rsid w:val="00B0622D"/>
    <w:rsid w:val="00B37468"/>
    <w:rsid w:val="00B37B1D"/>
    <w:rsid w:val="00B44F01"/>
    <w:rsid w:val="00B537C9"/>
    <w:rsid w:val="00B55356"/>
    <w:rsid w:val="00B57918"/>
    <w:rsid w:val="00B62109"/>
    <w:rsid w:val="00B64177"/>
    <w:rsid w:val="00B651A6"/>
    <w:rsid w:val="00B65B32"/>
    <w:rsid w:val="00B729E1"/>
    <w:rsid w:val="00B836B4"/>
    <w:rsid w:val="00B87AB4"/>
    <w:rsid w:val="00B93630"/>
    <w:rsid w:val="00BA2698"/>
    <w:rsid w:val="00BB3822"/>
    <w:rsid w:val="00BB3E06"/>
    <w:rsid w:val="00BB745B"/>
    <w:rsid w:val="00BB7555"/>
    <w:rsid w:val="00BC07B6"/>
    <w:rsid w:val="00BE0763"/>
    <w:rsid w:val="00BE4ED5"/>
    <w:rsid w:val="00BF135B"/>
    <w:rsid w:val="00BF1BD0"/>
    <w:rsid w:val="00BF5447"/>
    <w:rsid w:val="00C04A45"/>
    <w:rsid w:val="00C04B53"/>
    <w:rsid w:val="00C21B40"/>
    <w:rsid w:val="00C260C0"/>
    <w:rsid w:val="00C41421"/>
    <w:rsid w:val="00C50711"/>
    <w:rsid w:val="00C53B47"/>
    <w:rsid w:val="00C54A14"/>
    <w:rsid w:val="00C617DB"/>
    <w:rsid w:val="00C811C6"/>
    <w:rsid w:val="00C82274"/>
    <w:rsid w:val="00C86A15"/>
    <w:rsid w:val="00CA3BCD"/>
    <w:rsid w:val="00CB2DEE"/>
    <w:rsid w:val="00CB49D7"/>
    <w:rsid w:val="00CB5A06"/>
    <w:rsid w:val="00CB69AF"/>
    <w:rsid w:val="00CB6A1B"/>
    <w:rsid w:val="00CC4634"/>
    <w:rsid w:val="00CC5F4B"/>
    <w:rsid w:val="00CD51E9"/>
    <w:rsid w:val="00CD72B6"/>
    <w:rsid w:val="00CE14BA"/>
    <w:rsid w:val="00CE3E20"/>
    <w:rsid w:val="00CE7EB8"/>
    <w:rsid w:val="00D027E3"/>
    <w:rsid w:val="00D03897"/>
    <w:rsid w:val="00D04E34"/>
    <w:rsid w:val="00D11772"/>
    <w:rsid w:val="00D161B6"/>
    <w:rsid w:val="00D20955"/>
    <w:rsid w:val="00D2444A"/>
    <w:rsid w:val="00D301DA"/>
    <w:rsid w:val="00D418AB"/>
    <w:rsid w:val="00D44719"/>
    <w:rsid w:val="00D45DB3"/>
    <w:rsid w:val="00D463A0"/>
    <w:rsid w:val="00D63319"/>
    <w:rsid w:val="00D72595"/>
    <w:rsid w:val="00D72DB8"/>
    <w:rsid w:val="00D767D0"/>
    <w:rsid w:val="00D83010"/>
    <w:rsid w:val="00D831F6"/>
    <w:rsid w:val="00D83C69"/>
    <w:rsid w:val="00D850C6"/>
    <w:rsid w:val="00D877B7"/>
    <w:rsid w:val="00D97080"/>
    <w:rsid w:val="00DA57F8"/>
    <w:rsid w:val="00DB06DF"/>
    <w:rsid w:val="00DB7650"/>
    <w:rsid w:val="00DC3F83"/>
    <w:rsid w:val="00DE1196"/>
    <w:rsid w:val="00DE4321"/>
    <w:rsid w:val="00E04F5C"/>
    <w:rsid w:val="00E06A2A"/>
    <w:rsid w:val="00E202A2"/>
    <w:rsid w:val="00E340BC"/>
    <w:rsid w:val="00E344DD"/>
    <w:rsid w:val="00E37497"/>
    <w:rsid w:val="00E37C11"/>
    <w:rsid w:val="00E464AE"/>
    <w:rsid w:val="00E50AF2"/>
    <w:rsid w:val="00E50B0C"/>
    <w:rsid w:val="00E51B28"/>
    <w:rsid w:val="00E51F44"/>
    <w:rsid w:val="00E5214F"/>
    <w:rsid w:val="00E609D8"/>
    <w:rsid w:val="00E6412A"/>
    <w:rsid w:val="00E64A90"/>
    <w:rsid w:val="00E665EE"/>
    <w:rsid w:val="00E70F1F"/>
    <w:rsid w:val="00E7132A"/>
    <w:rsid w:val="00E7456D"/>
    <w:rsid w:val="00E8127D"/>
    <w:rsid w:val="00E82A80"/>
    <w:rsid w:val="00E97D19"/>
    <w:rsid w:val="00EB313B"/>
    <w:rsid w:val="00EB523B"/>
    <w:rsid w:val="00EC049E"/>
    <w:rsid w:val="00EC1C5E"/>
    <w:rsid w:val="00EC7004"/>
    <w:rsid w:val="00ED245A"/>
    <w:rsid w:val="00ED48CA"/>
    <w:rsid w:val="00ED4B09"/>
    <w:rsid w:val="00EE26FA"/>
    <w:rsid w:val="00EF0B0D"/>
    <w:rsid w:val="00EF3769"/>
    <w:rsid w:val="00EF65E6"/>
    <w:rsid w:val="00F00386"/>
    <w:rsid w:val="00F028CE"/>
    <w:rsid w:val="00F16413"/>
    <w:rsid w:val="00F22CE2"/>
    <w:rsid w:val="00F23F7C"/>
    <w:rsid w:val="00F245A2"/>
    <w:rsid w:val="00F260C4"/>
    <w:rsid w:val="00F30903"/>
    <w:rsid w:val="00F36950"/>
    <w:rsid w:val="00F4455B"/>
    <w:rsid w:val="00F5358C"/>
    <w:rsid w:val="00F6087A"/>
    <w:rsid w:val="00F60F66"/>
    <w:rsid w:val="00F804A0"/>
    <w:rsid w:val="00F81813"/>
    <w:rsid w:val="00F90C90"/>
    <w:rsid w:val="00F9320E"/>
    <w:rsid w:val="00F93273"/>
    <w:rsid w:val="00F94F6C"/>
    <w:rsid w:val="00FA3F07"/>
    <w:rsid w:val="00FA7200"/>
    <w:rsid w:val="00FC5520"/>
    <w:rsid w:val="00FD5BDC"/>
    <w:rsid w:val="00FE5A62"/>
    <w:rsid w:val="00FF26F5"/>
    <w:rsid w:val="00FF2DC2"/>
    <w:rsid w:val="00FF52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F2E4"/>
  <w15:docId w15:val="{4C9A9423-E30B-4140-A629-321E06C4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 w:eastAsia="es-AR"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131924"/>
    <w:rPr>
      <w:color w:val="808080"/>
    </w:rPr>
  </w:style>
  <w:style w:type="paragraph" w:styleId="FootnoteText">
    <w:name w:val="footnote text"/>
    <w:basedOn w:val="Normal"/>
    <w:link w:val="FootnoteTextChar"/>
    <w:uiPriority w:val="99"/>
    <w:semiHidden/>
    <w:unhideWhenUsed/>
    <w:rsid w:val="00853BB7"/>
    <w:pPr>
      <w:spacing w:after="0"/>
    </w:pPr>
    <w:rPr>
      <w:sz w:val="20"/>
      <w:szCs w:val="20"/>
    </w:rPr>
  </w:style>
  <w:style w:type="character" w:customStyle="1" w:styleId="FootnoteTextChar">
    <w:name w:val="Footnote Text Char"/>
    <w:basedOn w:val="DefaultParagraphFont"/>
    <w:link w:val="FootnoteText"/>
    <w:uiPriority w:val="99"/>
    <w:semiHidden/>
    <w:rsid w:val="00853BB7"/>
    <w:rPr>
      <w:sz w:val="20"/>
      <w:szCs w:val="20"/>
    </w:rPr>
  </w:style>
  <w:style w:type="character" w:styleId="FootnoteReference">
    <w:name w:val="footnote reference"/>
    <w:basedOn w:val="DefaultParagraphFont"/>
    <w:uiPriority w:val="99"/>
    <w:semiHidden/>
    <w:unhideWhenUsed/>
    <w:rsid w:val="00853BB7"/>
    <w:rPr>
      <w:vertAlign w:val="superscript"/>
    </w:rPr>
  </w:style>
  <w:style w:type="table" w:styleId="TableGrid">
    <w:name w:val="Table Grid"/>
    <w:basedOn w:val="TableNormal"/>
    <w:uiPriority w:val="39"/>
    <w:rsid w:val="00853B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4AE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4A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14AE0"/>
    <w:rPr>
      <w:sz w:val="16"/>
      <w:szCs w:val="16"/>
    </w:rPr>
  </w:style>
  <w:style w:type="paragraph" w:styleId="CommentText">
    <w:name w:val="annotation text"/>
    <w:basedOn w:val="Normal"/>
    <w:link w:val="CommentTextChar"/>
    <w:uiPriority w:val="99"/>
    <w:semiHidden/>
    <w:unhideWhenUsed/>
    <w:rsid w:val="00014AE0"/>
    <w:rPr>
      <w:sz w:val="20"/>
      <w:szCs w:val="20"/>
    </w:rPr>
  </w:style>
  <w:style w:type="character" w:customStyle="1" w:styleId="CommentTextChar">
    <w:name w:val="Comment Text Char"/>
    <w:basedOn w:val="DefaultParagraphFont"/>
    <w:link w:val="CommentText"/>
    <w:uiPriority w:val="99"/>
    <w:semiHidden/>
    <w:rsid w:val="00014AE0"/>
    <w:rPr>
      <w:sz w:val="20"/>
      <w:szCs w:val="20"/>
    </w:rPr>
  </w:style>
  <w:style w:type="paragraph" w:styleId="CommentSubject">
    <w:name w:val="annotation subject"/>
    <w:basedOn w:val="CommentText"/>
    <w:next w:val="CommentText"/>
    <w:link w:val="CommentSubjectChar"/>
    <w:uiPriority w:val="99"/>
    <w:semiHidden/>
    <w:unhideWhenUsed/>
    <w:rsid w:val="00014AE0"/>
    <w:rPr>
      <w:b/>
      <w:bCs/>
    </w:rPr>
  </w:style>
  <w:style w:type="character" w:customStyle="1" w:styleId="CommentSubjectChar">
    <w:name w:val="Comment Subject Char"/>
    <w:basedOn w:val="CommentTextChar"/>
    <w:link w:val="CommentSubject"/>
    <w:uiPriority w:val="99"/>
    <w:semiHidden/>
    <w:rsid w:val="00014AE0"/>
    <w:rPr>
      <w:b/>
      <w:bCs/>
      <w:sz w:val="20"/>
      <w:szCs w:val="20"/>
    </w:rPr>
  </w:style>
  <w:style w:type="paragraph" w:styleId="Header">
    <w:name w:val="header"/>
    <w:basedOn w:val="Normal"/>
    <w:link w:val="HeaderChar"/>
    <w:uiPriority w:val="99"/>
    <w:unhideWhenUsed/>
    <w:rsid w:val="00587ADB"/>
    <w:pPr>
      <w:tabs>
        <w:tab w:val="center" w:pos="4252"/>
        <w:tab w:val="right" w:pos="8504"/>
      </w:tabs>
      <w:spacing w:after="0"/>
    </w:pPr>
  </w:style>
  <w:style w:type="character" w:customStyle="1" w:styleId="HeaderChar">
    <w:name w:val="Header Char"/>
    <w:basedOn w:val="DefaultParagraphFont"/>
    <w:link w:val="Header"/>
    <w:uiPriority w:val="99"/>
    <w:rsid w:val="00587ADB"/>
  </w:style>
  <w:style w:type="paragraph" w:styleId="Footer">
    <w:name w:val="footer"/>
    <w:basedOn w:val="Normal"/>
    <w:link w:val="FooterChar"/>
    <w:uiPriority w:val="99"/>
    <w:unhideWhenUsed/>
    <w:rsid w:val="00587ADB"/>
    <w:pPr>
      <w:tabs>
        <w:tab w:val="center" w:pos="4252"/>
        <w:tab w:val="right" w:pos="8504"/>
      </w:tabs>
      <w:spacing w:after="0"/>
    </w:pPr>
  </w:style>
  <w:style w:type="character" w:customStyle="1" w:styleId="FooterChar">
    <w:name w:val="Footer Char"/>
    <w:basedOn w:val="DefaultParagraphFont"/>
    <w:link w:val="Footer"/>
    <w:uiPriority w:val="99"/>
    <w:rsid w:val="00587ADB"/>
  </w:style>
  <w:style w:type="paragraph" w:styleId="ListParagraph">
    <w:name w:val="List Paragraph"/>
    <w:basedOn w:val="Normal"/>
    <w:uiPriority w:val="34"/>
    <w:qFormat/>
    <w:rsid w:val="00062D3D"/>
    <w:pPr>
      <w:ind w:left="720"/>
      <w:contextualSpacing/>
    </w:pPr>
  </w:style>
  <w:style w:type="character" w:styleId="Hyperlink">
    <w:name w:val="Hyperlink"/>
    <w:basedOn w:val="DefaultParagraphFont"/>
    <w:uiPriority w:val="99"/>
    <w:semiHidden/>
    <w:unhideWhenUsed/>
    <w:rsid w:val="00BF5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912">
      <w:bodyDiv w:val="1"/>
      <w:marLeft w:val="0"/>
      <w:marRight w:val="0"/>
      <w:marTop w:val="0"/>
      <w:marBottom w:val="0"/>
      <w:divBdr>
        <w:top w:val="none" w:sz="0" w:space="0" w:color="auto"/>
        <w:left w:val="none" w:sz="0" w:space="0" w:color="auto"/>
        <w:bottom w:val="none" w:sz="0" w:space="0" w:color="auto"/>
        <w:right w:val="none" w:sz="0" w:space="0" w:color="auto"/>
      </w:divBdr>
    </w:div>
    <w:div w:id="538247671">
      <w:bodyDiv w:val="1"/>
      <w:marLeft w:val="0"/>
      <w:marRight w:val="0"/>
      <w:marTop w:val="0"/>
      <w:marBottom w:val="0"/>
      <w:divBdr>
        <w:top w:val="none" w:sz="0" w:space="0" w:color="auto"/>
        <w:left w:val="none" w:sz="0" w:space="0" w:color="auto"/>
        <w:bottom w:val="none" w:sz="0" w:space="0" w:color="auto"/>
        <w:right w:val="none" w:sz="0" w:space="0" w:color="auto"/>
      </w:divBdr>
    </w:div>
    <w:div w:id="760224327">
      <w:bodyDiv w:val="1"/>
      <w:marLeft w:val="0"/>
      <w:marRight w:val="0"/>
      <w:marTop w:val="0"/>
      <w:marBottom w:val="0"/>
      <w:divBdr>
        <w:top w:val="none" w:sz="0" w:space="0" w:color="auto"/>
        <w:left w:val="none" w:sz="0" w:space="0" w:color="auto"/>
        <w:bottom w:val="none" w:sz="0" w:space="0" w:color="auto"/>
        <w:right w:val="none" w:sz="0" w:space="0" w:color="auto"/>
      </w:divBdr>
    </w:div>
    <w:div w:id="923147301">
      <w:bodyDiv w:val="1"/>
      <w:marLeft w:val="0"/>
      <w:marRight w:val="0"/>
      <w:marTop w:val="0"/>
      <w:marBottom w:val="0"/>
      <w:divBdr>
        <w:top w:val="none" w:sz="0" w:space="0" w:color="auto"/>
        <w:left w:val="none" w:sz="0" w:space="0" w:color="auto"/>
        <w:bottom w:val="none" w:sz="0" w:space="0" w:color="auto"/>
        <w:right w:val="none" w:sz="0" w:space="0" w:color="auto"/>
      </w:divBdr>
    </w:div>
    <w:div w:id="964316942">
      <w:bodyDiv w:val="1"/>
      <w:marLeft w:val="0"/>
      <w:marRight w:val="0"/>
      <w:marTop w:val="0"/>
      <w:marBottom w:val="0"/>
      <w:divBdr>
        <w:top w:val="none" w:sz="0" w:space="0" w:color="auto"/>
        <w:left w:val="none" w:sz="0" w:space="0" w:color="auto"/>
        <w:bottom w:val="none" w:sz="0" w:space="0" w:color="auto"/>
        <w:right w:val="none" w:sz="0" w:space="0" w:color="auto"/>
      </w:divBdr>
    </w:div>
    <w:div w:id="1124737235">
      <w:bodyDiv w:val="1"/>
      <w:marLeft w:val="0"/>
      <w:marRight w:val="0"/>
      <w:marTop w:val="0"/>
      <w:marBottom w:val="0"/>
      <w:divBdr>
        <w:top w:val="none" w:sz="0" w:space="0" w:color="auto"/>
        <w:left w:val="none" w:sz="0" w:space="0" w:color="auto"/>
        <w:bottom w:val="none" w:sz="0" w:space="0" w:color="auto"/>
        <w:right w:val="none" w:sz="0" w:space="0" w:color="auto"/>
      </w:divBdr>
    </w:div>
    <w:div w:id="1336155409">
      <w:bodyDiv w:val="1"/>
      <w:marLeft w:val="0"/>
      <w:marRight w:val="0"/>
      <w:marTop w:val="0"/>
      <w:marBottom w:val="0"/>
      <w:divBdr>
        <w:top w:val="none" w:sz="0" w:space="0" w:color="auto"/>
        <w:left w:val="none" w:sz="0" w:space="0" w:color="auto"/>
        <w:bottom w:val="none" w:sz="0" w:space="0" w:color="auto"/>
        <w:right w:val="none" w:sz="0" w:space="0" w:color="auto"/>
      </w:divBdr>
    </w:div>
    <w:div w:id="1336879433">
      <w:bodyDiv w:val="1"/>
      <w:marLeft w:val="0"/>
      <w:marRight w:val="0"/>
      <w:marTop w:val="0"/>
      <w:marBottom w:val="0"/>
      <w:divBdr>
        <w:top w:val="none" w:sz="0" w:space="0" w:color="auto"/>
        <w:left w:val="none" w:sz="0" w:space="0" w:color="auto"/>
        <w:bottom w:val="none" w:sz="0" w:space="0" w:color="auto"/>
        <w:right w:val="none" w:sz="0" w:space="0" w:color="auto"/>
      </w:divBdr>
    </w:div>
    <w:div w:id="1402364872">
      <w:bodyDiv w:val="1"/>
      <w:marLeft w:val="0"/>
      <w:marRight w:val="0"/>
      <w:marTop w:val="0"/>
      <w:marBottom w:val="0"/>
      <w:divBdr>
        <w:top w:val="none" w:sz="0" w:space="0" w:color="auto"/>
        <w:left w:val="none" w:sz="0" w:space="0" w:color="auto"/>
        <w:bottom w:val="none" w:sz="0" w:space="0" w:color="auto"/>
        <w:right w:val="none" w:sz="0" w:space="0" w:color="auto"/>
      </w:divBdr>
    </w:div>
    <w:div w:id="1415587990">
      <w:bodyDiv w:val="1"/>
      <w:marLeft w:val="0"/>
      <w:marRight w:val="0"/>
      <w:marTop w:val="0"/>
      <w:marBottom w:val="0"/>
      <w:divBdr>
        <w:top w:val="none" w:sz="0" w:space="0" w:color="auto"/>
        <w:left w:val="none" w:sz="0" w:space="0" w:color="auto"/>
        <w:bottom w:val="none" w:sz="0" w:space="0" w:color="auto"/>
        <w:right w:val="none" w:sz="0" w:space="0" w:color="auto"/>
      </w:divBdr>
    </w:div>
    <w:div w:id="1657951801">
      <w:bodyDiv w:val="1"/>
      <w:marLeft w:val="0"/>
      <w:marRight w:val="0"/>
      <w:marTop w:val="0"/>
      <w:marBottom w:val="0"/>
      <w:divBdr>
        <w:top w:val="none" w:sz="0" w:space="0" w:color="auto"/>
        <w:left w:val="none" w:sz="0" w:space="0" w:color="auto"/>
        <w:bottom w:val="none" w:sz="0" w:space="0" w:color="auto"/>
        <w:right w:val="none" w:sz="0" w:space="0" w:color="auto"/>
      </w:divBdr>
    </w:div>
    <w:div w:id="1744176024">
      <w:bodyDiv w:val="1"/>
      <w:marLeft w:val="0"/>
      <w:marRight w:val="0"/>
      <w:marTop w:val="0"/>
      <w:marBottom w:val="0"/>
      <w:divBdr>
        <w:top w:val="none" w:sz="0" w:space="0" w:color="auto"/>
        <w:left w:val="none" w:sz="0" w:space="0" w:color="auto"/>
        <w:bottom w:val="none" w:sz="0" w:space="0" w:color="auto"/>
        <w:right w:val="none" w:sz="0" w:space="0" w:color="auto"/>
      </w:divBdr>
    </w:div>
    <w:div w:id="1754620654">
      <w:bodyDiv w:val="1"/>
      <w:marLeft w:val="0"/>
      <w:marRight w:val="0"/>
      <w:marTop w:val="0"/>
      <w:marBottom w:val="0"/>
      <w:divBdr>
        <w:top w:val="none" w:sz="0" w:space="0" w:color="auto"/>
        <w:left w:val="none" w:sz="0" w:space="0" w:color="auto"/>
        <w:bottom w:val="none" w:sz="0" w:space="0" w:color="auto"/>
        <w:right w:val="none" w:sz="0" w:space="0" w:color="auto"/>
      </w:divBdr>
    </w:div>
    <w:div w:id="2019499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rtinmontane/EPHOcup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F4839-35AF-40BC-A516-836E88F9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6904</Words>
  <Characters>37976</Characters>
  <Application>Microsoft Office Word</Application>
  <DocSecurity>0</DocSecurity>
  <Lines>316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dcterms:created xsi:type="dcterms:W3CDTF">2020-03-26T03:35:00Z</dcterms:created>
  <dcterms:modified xsi:type="dcterms:W3CDTF">2020-03-26T03:39:00Z</dcterms:modified>
</cp:coreProperties>
</file>