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sz w:val="20"/>
          <w:szCs w:val="20"/>
        </w:rPr>
        <w:t xml:space="preserve">Cuadro comparativo: ecosistema de herramientas de evaluación asistida por IA (estado del mercado, marzo 2026)</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100"/>
        <w:gridCol w:w="1000"/>
        <w:gridCol w:w="1100"/>
        <w:gridCol w:w="1000"/>
        <w:gridCol w:w="1000"/>
        <w:gridCol w:w="900"/>
        <w:gridCol w:w="900"/>
        <w:gridCol w:w="10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r>
              <w:rPr>
                <w:rFonts w:ascii="Arial" w:cs="Arial" w:eastAsia="Arial" w:hAnsi="Arial"/>
                <w:b/>
                <w:bCs/>
                <w:color w:val="FFFFFF"/>
                <w:sz w:val="15"/>
                <w:szCs w:val="15"/>
              </w:rPr>
              <w:t xml:space="preserve">Herramienta</w:t>
            </w:r>
          </w:p>
        </w:tc>
        <w:tc>
          <w:tcPr>
            <w:tcW w:type="dxa" w:w="9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r>
              <w:rPr>
                <w:rFonts w:ascii="Arial" w:cs="Arial" w:eastAsia="Arial" w:hAnsi="Arial"/>
                <w:b/>
                <w:bCs/>
                <w:color w:val="FFFFFF"/>
                <w:sz w:val="15"/>
                <w:szCs w:val="15"/>
              </w:rPr>
              <w:t xml:space="preserve">Generación desde corpus propio</w:t>
            </w:r>
          </w:p>
        </w:tc>
        <w:tc>
          <w:tcPr>
            <w:tcW w:type="dxa" w:w="11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r>
              <w:rPr>
                <w:rFonts w:ascii="Arial" w:cs="Arial" w:eastAsia="Arial" w:hAnsi="Arial"/>
                <w:b/>
                <w:bCs/>
                <w:color w:val="FFFFFF"/>
                <w:sz w:val="15"/>
                <w:szCs w:val="15"/>
              </w:rPr>
              <w:t xml:space="preserve">Clasificación Bloom</w:t>
            </w:r>
          </w:p>
        </w:tc>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r>
              <w:rPr>
                <w:rFonts w:ascii="Arial" w:cs="Arial" w:eastAsia="Arial" w:hAnsi="Arial"/>
                <w:b/>
                <w:bCs/>
                <w:color w:val="FFFFFF"/>
                <w:sz w:val="15"/>
                <w:szCs w:val="15"/>
              </w:rPr>
              <w:t xml:space="preserve">Gestión multiusuario institucional</w:t>
            </w:r>
          </w:p>
        </w:tc>
        <w:tc>
          <w:tcPr>
            <w:tcW w:type="dxa" w:w="11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r>
              <w:rPr>
                <w:rFonts w:ascii="Arial" w:cs="Arial" w:eastAsia="Arial" w:hAnsi="Arial"/>
                <w:b/>
                <w:bCs/>
                <w:color w:val="FFFFFF"/>
                <w:sz w:val="15"/>
                <w:szCs w:val="15"/>
              </w:rPr>
              <w:t xml:space="preserve">Descarga PDF (independencia de conexión)</w:t>
            </w:r>
          </w:p>
        </w:tc>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r>
              <w:rPr>
                <w:rFonts w:ascii="Arial" w:cs="Arial" w:eastAsia="Arial" w:hAnsi="Arial"/>
                <w:b/>
                <w:bCs/>
                <w:color w:val="FFFFFF"/>
                <w:sz w:val="15"/>
                <w:szCs w:val="15"/>
              </w:rPr>
              <w:t xml:space="preserve">Exportación con plantilla institucional</w:t>
            </w:r>
          </w:p>
        </w:tc>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r>
              <w:rPr>
                <w:rFonts w:ascii="Arial" w:cs="Arial" w:eastAsia="Arial" w:hAnsi="Arial"/>
                <w:b/>
                <w:bCs/>
                <w:color w:val="FFFFFF"/>
                <w:sz w:val="15"/>
                <w:szCs w:val="15"/>
              </w:rPr>
              <w:t xml:space="preserve">Soberanía de datos / modelo local</w:t>
            </w:r>
          </w:p>
        </w:tc>
        <w:tc>
          <w:tcPr>
            <w:tcW w:type="dxa" w:w="9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r>
              <w:rPr>
                <w:rFonts w:ascii="Arial" w:cs="Arial" w:eastAsia="Arial" w:hAnsi="Arial"/>
                <w:b/>
                <w:bCs/>
                <w:color w:val="FFFFFF"/>
                <w:sz w:val="15"/>
                <w:szCs w:val="15"/>
              </w:rPr>
              <w:t xml:space="preserve">Evaluación oral (bolillero)</w:t>
            </w:r>
          </w:p>
        </w:tc>
        <w:tc>
          <w:tcPr>
            <w:tcW w:type="dxa" w:w="9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r>
              <w:rPr>
                <w:rFonts w:ascii="Arial" w:cs="Arial" w:eastAsia="Arial" w:hAnsi="Arial"/>
                <w:b/>
                <w:bCs/>
                <w:color w:val="FFFFFF"/>
                <w:sz w:val="15"/>
                <w:szCs w:val="15"/>
              </w:rPr>
              <w:t xml:space="preserve">Costo accesible para inst. latinoamericanas</w:t>
            </w:r>
          </w:p>
        </w:tc>
      </w:tr>
      <w:tr>
        <w:tc>
          <w:tcPr>
            <w:gridSpan w:val="9"/>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r>
              <w:rPr>
                <w:rFonts w:ascii="Arial" w:cs="Arial" w:eastAsia="Arial" w:hAnsi="Arial"/>
                <w:b/>
                <w:bCs/>
                <w:color w:val="FFFFFF"/>
                <w:sz w:val="16"/>
                <w:szCs w:val="16"/>
              </w:rPr>
              <w:t xml:space="preserve">LMS con evaluación integrada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sz w:val="16"/>
                <w:szCs w:val="16"/>
              </w:rPr>
              <w:t xml:space="preserve">Canvas (Instructure)</w:t>
            </w:r>
          </w:p>
          <w:p>
            <w:r>
              <w:rPr>
                <w:rFonts w:ascii="Arial" w:cs="Arial" w:eastAsia="Arial" w:hAnsi="Arial"/>
                <w:color w:val="666666"/>
                <w:sz w:val="14"/>
                <w:szCs w:val="14"/>
              </w:rPr>
              <w:t xml:space="preserve">LMS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Genera desde conocimiento genérico del modelo, no desde corpus del docente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No disponible en Canvas (solo en D2L Brightspace)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1A7A3A"/>
                <w:sz w:val="16"/>
                <w:szCs w:val="16"/>
              </w:rPr>
              <w:t xml:space="preserve">✓ </w:t>
            </w:r>
            <w:r>
              <w:rPr>
                <w:rFonts w:ascii="Arial" w:cs="Arial" w:eastAsia="Arial" w:hAnsi="Arial"/>
                <w:color w:val="333333"/>
                <w:sz w:val="15"/>
                <w:szCs w:val="15"/>
              </w:rPr>
              <w:t xml:space="preserve">Sí, robusto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Cloud-only; sin descarga de instrumentos para uso offline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1A7A3A"/>
                <w:sz w:val="16"/>
                <w:szCs w:val="16"/>
              </w:rPr>
              <w:t xml:space="preserve">✓ </w:t>
            </w:r>
            <w:r>
              <w:rPr>
                <w:rFonts w:ascii="Arial" w:cs="Arial" w:eastAsia="Arial" w:hAnsi="Arial"/>
                <w:color w:val="333333"/>
                <w:sz w:val="15"/>
                <w:szCs w:val="15"/>
              </w:rPr>
              <w:t xml:space="preserve">Con plantillas institucionales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Servidores de Instructure (EE.UU.)</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No disponible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Licencia institucional; sin precio público. Prohibitivo para la mayoría de inst. latinoamericanas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sz w:val="16"/>
                <w:szCs w:val="16"/>
              </w:rPr>
              <w:t xml:space="preserve">Blackboard (Anthology)</w:t>
            </w:r>
          </w:p>
          <w:p>
            <w:r>
              <w:rPr>
                <w:rFonts w:ascii="Arial" w:cs="Arial" w:eastAsia="Arial" w:hAnsi="Arial"/>
                <w:color w:val="666666"/>
                <w:sz w:val="14"/>
                <w:szCs w:val="14"/>
              </w:rPr>
              <w:t xml:space="preserve">LMS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IA genérica; no basada en corpus validado por el docente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8860B"/>
                <w:sz w:val="16"/>
                <w:szCs w:val="16"/>
              </w:rPr>
              <w:t xml:space="preserve">◑ </w:t>
            </w:r>
            <w:r>
              <w:rPr>
                <w:rFonts w:ascii="Arial" w:cs="Arial" w:eastAsia="Arial" w:hAnsi="Arial"/>
                <w:color w:val="333333"/>
                <w:sz w:val="15"/>
                <w:szCs w:val="15"/>
              </w:rPr>
              <w:t xml:space="preserve">AI Design Assistant genera ítems sin Bloom explícito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1A7A3A"/>
                <w:sz w:val="16"/>
                <w:szCs w:val="16"/>
              </w:rPr>
              <w:t xml:space="preserve">✓ </w:t>
            </w:r>
            <w:r>
              <w:rPr>
                <w:rFonts w:ascii="Arial" w:cs="Arial" w:eastAsia="Arial" w:hAnsi="Arial"/>
                <w:color w:val="333333"/>
                <w:sz w:val="15"/>
                <w:szCs w:val="15"/>
              </w:rPr>
              <w:t xml:space="preserve">Sí, robusto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Cloud-only (AWS)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1A7A3A"/>
                <w:sz w:val="16"/>
                <w:szCs w:val="16"/>
              </w:rPr>
              <w:t xml:space="preserve">✓ </w:t>
            </w:r>
            <w:r>
              <w:rPr>
                <w:rFonts w:ascii="Arial" w:cs="Arial" w:eastAsia="Arial" w:hAnsi="Arial"/>
                <w:color w:val="333333"/>
                <w:sz w:val="15"/>
                <w:szCs w:val="15"/>
              </w:rPr>
              <w:t xml:space="preserve">Con plantillas institucionales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Servidores de Anthology (EE.UU.)</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No disponible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USD 9.500+/año para inst. pequeñas. Prohibitivo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sz w:val="16"/>
                <w:szCs w:val="16"/>
              </w:rPr>
              <w:t xml:space="preserve">Moodle</w:t>
            </w:r>
          </w:p>
          <w:p>
            <w:r>
              <w:rPr>
                <w:rFonts w:ascii="Arial" w:cs="Arial" w:eastAsia="Arial" w:hAnsi="Arial"/>
                <w:color w:val="666666"/>
                <w:sz w:val="14"/>
                <w:szCs w:val="14"/>
              </w:rPr>
              <w:t xml:space="preserve">LMS open source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Sin IA nativa para generación; requiere plugins externos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No nativo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1A7A3A"/>
                <w:sz w:val="16"/>
                <w:szCs w:val="16"/>
              </w:rPr>
              <w:t xml:space="preserve">✓ </w:t>
            </w:r>
            <w:r>
              <w:rPr>
                <w:rFonts w:ascii="Arial" w:cs="Arial" w:eastAsia="Arial" w:hAnsi="Arial"/>
                <w:color w:val="333333"/>
                <w:sz w:val="15"/>
                <w:szCs w:val="15"/>
              </w:rPr>
              <w:t xml:space="preserve">Sí, flexible y personalizable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8860B"/>
                <w:sz w:val="16"/>
                <w:szCs w:val="16"/>
              </w:rPr>
              <w:t xml:space="preserve">◑ </w:t>
            </w:r>
            <w:r>
              <w:rPr>
                <w:rFonts w:ascii="Arial" w:cs="Arial" w:eastAsia="Arial" w:hAnsi="Arial"/>
                <w:color w:val="333333"/>
                <w:sz w:val="15"/>
                <w:szCs w:val="15"/>
              </w:rPr>
              <w:t xml:space="preserve">Auto-hospedado posible, pero requiere personal IT especializado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1A7A3A"/>
                <w:sz w:val="16"/>
                <w:szCs w:val="16"/>
              </w:rPr>
              <w:t xml:space="preserve">✓ </w:t>
            </w:r>
            <w:r>
              <w:rPr>
                <w:rFonts w:ascii="Arial" w:cs="Arial" w:eastAsia="Arial" w:hAnsi="Arial"/>
                <w:color w:val="333333"/>
                <w:sz w:val="15"/>
                <w:szCs w:val="15"/>
              </w:rPr>
              <w:t xml:space="preserve">Con plantillas institucionales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8860B"/>
                <w:sz w:val="16"/>
                <w:szCs w:val="16"/>
              </w:rPr>
              <w:t xml:space="preserve">◑ </w:t>
            </w:r>
            <w:r>
              <w:rPr>
                <w:rFonts w:ascii="Arial" w:cs="Arial" w:eastAsia="Arial" w:hAnsi="Arial"/>
                <w:color w:val="333333"/>
                <w:sz w:val="15"/>
                <w:szCs w:val="15"/>
              </w:rPr>
              <w:t xml:space="preserve">Depende del servidor donde se hospede la institución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No disponible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8860B"/>
                <w:sz w:val="16"/>
                <w:szCs w:val="16"/>
              </w:rPr>
              <w:t xml:space="preserve">◑ </w:t>
            </w:r>
            <w:r>
              <w:rPr>
                <w:rFonts w:ascii="Arial" w:cs="Arial" w:eastAsia="Arial" w:hAnsi="Arial"/>
                <w:color w:val="333333"/>
                <w:sz w:val="15"/>
                <w:szCs w:val="15"/>
              </w:rPr>
              <w:t xml:space="preserve">Licencia gratis; hosting + mantenimiento con costo variable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sz w:val="16"/>
                <w:szCs w:val="16"/>
              </w:rPr>
              <w:t xml:space="preserve">D2L Brightspace</w:t>
            </w:r>
          </w:p>
          <w:p>
            <w:r>
              <w:rPr>
                <w:rFonts w:ascii="Arial" w:cs="Arial" w:eastAsia="Arial" w:hAnsi="Arial"/>
                <w:color w:val="666666"/>
                <w:sz w:val="14"/>
                <w:szCs w:val="14"/>
              </w:rPr>
              <w:t xml:space="preserve">LMS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D2L Lumi genera desde temas generales, no desde corpus del docente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1A7A3A"/>
                <w:sz w:val="16"/>
                <w:szCs w:val="16"/>
              </w:rPr>
              <w:t xml:space="preserve">✓ </w:t>
            </w:r>
            <w:r>
              <w:rPr>
                <w:rFonts w:ascii="Arial" w:cs="Arial" w:eastAsia="Arial" w:hAnsi="Arial"/>
                <w:color w:val="333333"/>
                <w:sz w:val="15"/>
                <w:szCs w:val="15"/>
              </w:rPr>
              <w:t xml:space="preserve">D2L Lumi alinea con Bloom y objetivos de aprendizaje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1A7A3A"/>
                <w:sz w:val="16"/>
                <w:szCs w:val="16"/>
              </w:rPr>
              <w:t xml:space="preserve">✓ </w:t>
            </w:r>
            <w:r>
              <w:rPr>
                <w:rFonts w:ascii="Arial" w:cs="Arial" w:eastAsia="Arial" w:hAnsi="Arial"/>
                <w:color w:val="333333"/>
                <w:sz w:val="15"/>
                <w:szCs w:val="15"/>
              </w:rPr>
              <w:t xml:space="preserve">Sí, robusto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Cloud-only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1A7A3A"/>
                <w:sz w:val="16"/>
                <w:szCs w:val="16"/>
              </w:rPr>
              <w:t xml:space="preserve">✓ </w:t>
            </w:r>
            <w:r>
              <w:rPr>
                <w:rFonts w:ascii="Arial" w:cs="Arial" w:eastAsia="Arial" w:hAnsi="Arial"/>
                <w:color w:val="333333"/>
                <w:sz w:val="15"/>
                <w:szCs w:val="15"/>
              </w:rPr>
              <w:t xml:space="preserve">Con plantillas institucionales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Procesamiento vía Anthropic Claude (nube de terceros)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No disponible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Licencia institucional; sin precio público. Prohibitivo</w:t>
            </w:r>
          </w:p>
        </w:tc>
      </w:tr>
      <w:tr>
        <w:tc>
          <w:tcPr>
            <w:gridSpan w:val="9"/>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r>
              <w:rPr>
                <w:rFonts w:ascii="Arial" w:cs="Arial" w:eastAsia="Arial" w:hAnsi="Arial"/>
                <w:b/>
                <w:bCs/>
                <w:color w:val="FFFFFF"/>
                <w:sz w:val="16"/>
                <w:szCs w:val="16"/>
              </w:rPr>
              <w:t xml:space="preserve">Herramientas independientes de generación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sz w:val="16"/>
                <w:szCs w:val="16"/>
              </w:rPr>
              <w:t xml:space="preserve">QuizGecko</w:t>
            </w:r>
          </w:p>
          <w:p>
            <w:r>
              <w:rPr>
                <w:rFonts w:ascii="Arial" w:cs="Arial" w:eastAsia="Arial" w:hAnsi="Arial"/>
                <w:color w:val="666666"/>
                <w:sz w:val="14"/>
                <w:szCs w:val="14"/>
              </w:rPr>
              <w:t xml:space="preserve">Generador IA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1A7A3A"/>
                <w:sz w:val="16"/>
                <w:szCs w:val="16"/>
              </w:rPr>
              <w:t xml:space="preserve">✓ </w:t>
            </w:r>
            <w:r>
              <w:rPr>
                <w:rFonts w:ascii="Arial" w:cs="Arial" w:eastAsia="Arial" w:hAnsi="Arial"/>
                <w:color w:val="333333"/>
                <w:sz w:val="15"/>
                <w:szCs w:val="15"/>
              </w:rPr>
              <w:t xml:space="preserve">Desde PDF/Word/PPT cargados por el docente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Sin clasificación taxonómica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Solo uso individual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Requiere conexión para generar y administrar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8860B"/>
                <w:sz w:val="16"/>
                <w:szCs w:val="16"/>
              </w:rPr>
              <w:t xml:space="preserve">◑ </w:t>
            </w:r>
            <w:r>
              <w:rPr>
                <w:rFonts w:ascii="Arial" w:cs="Arial" w:eastAsia="Arial" w:hAnsi="Arial"/>
                <w:color w:val="333333"/>
                <w:sz w:val="15"/>
                <w:szCs w:val="15"/>
              </w:rPr>
              <w:t xml:space="preserve">Exporta; sin plantilla institucional personalizada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Servidores externos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No disponible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1A7A3A"/>
                <w:sz w:val="16"/>
                <w:szCs w:val="16"/>
              </w:rPr>
              <w:t xml:space="preserve">✓ </w:t>
            </w:r>
            <w:r>
              <w:rPr>
                <w:rFonts w:ascii="Arial" w:cs="Arial" w:eastAsia="Arial" w:hAnsi="Arial"/>
                <w:color w:val="333333"/>
                <w:sz w:val="15"/>
                <w:szCs w:val="15"/>
              </w:rPr>
              <w:t xml:space="preserve">USD 16–20/mes por docente. Accesible individualmente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sz w:val="16"/>
                <w:szCs w:val="16"/>
              </w:rPr>
              <w:t xml:space="preserve">PrepAI</w:t>
            </w:r>
          </w:p>
          <w:p>
            <w:r>
              <w:rPr>
                <w:rFonts w:ascii="Arial" w:cs="Arial" w:eastAsia="Arial" w:hAnsi="Arial"/>
                <w:color w:val="666666"/>
                <w:sz w:val="14"/>
                <w:szCs w:val="14"/>
              </w:rPr>
              <w:t xml:space="preserve">Generador IA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1A7A3A"/>
                <w:sz w:val="16"/>
                <w:szCs w:val="16"/>
              </w:rPr>
              <w:t xml:space="preserve">✓ </w:t>
            </w:r>
            <w:r>
              <w:rPr>
                <w:rFonts w:ascii="Arial" w:cs="Arial" w:eastAsia="Arial" w:hAnsi="Arial"/>
                <w:color w:val="333333"/>
                <w:sz w:val="15"/>
                <w:szCs w:val="15"/>
              </w:rPr>
              <w:t xml:space="preserve">Desde documentos propios del docente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8860B"/>
                <w:sz w:val="16"/>
                <w:szCs w:val="16"/>
              </w:rPr>
              <w:t xml:space="preserve">◑ </w:t>
            </w:r>
            <w:r>
              <w:rPr>
                <w:rFonts w:ascii="Arial" w:cs="Arial" w:eastAsia="Arial" w:hAnsi="Arial"/>
                <w:color w:val="333333"/>
                <w:sz w:val="15"/>
                <w:szCs w:val="15"/>
              </w:rPr>
              <w:t xml:space="preserve">Bloom disponible como opción de configuración; no como principio arquitectónico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Solo uso individual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Cloud-only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8860B"/>
                <w:sz w:val="16"/>
                <w:szCs w:val="16"/>
              </w:rPr>
              <w:t xml:space="preserve">◑ </w:t>
            </w:r>
            <w:r>
              <w:rPr>
                <w:rFonts w:ascii="Arial" w:cs="Arial" w:eastAsia="Arial" w:hAnsi="Arial"/>
                <w:color w:val="333333"/>
                <w:sz w:val="15"/>
                <w:szCs w:val="15"/>
              </w:rPr>
              <w:t xml:space="preserve">Exporta a varios formatos; sin plantilla institucional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Servidores externos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No disponible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1A7A3A"/>
                <w:sz w:val="16"/>
                <w:szCs w:val="16"/>
              </w:rPr>
              <w:t xml:space="preserve">✓ </w:t>
            </w:r>
            <w:r>
              <w:rPr>
                <w:rFonts w:ascii="Arial" w:cs="Arial" w:eastAsia="Arial" w:hAnsi="Arial"/>
                <w:color w:val="333333"/>
                <w:sz w:val="15"/>
                <w:szCs w:val="15"/>
              </w:rPr>
              <w:t xml:space="preserve">Freemium; planes de pago accesibles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sz w:val="16"/>
                <w:szCs w:val="16"/>
              </w:rPr>
              <w:t xml:space="preserve">Gradescope (Turnitin)</w:t>
            </w:r>
          </w:p>
          <w:p>
            <w:r>
              <w:rPr>
                <w:rFonts w:ascii="Arial" w:cs="Arial" w:eastAsia="Arial" w:hAnsi="Arial"/>
                <w:color w:val="666666"/>
                <w:sz w:val="14"/>
                <w:szCs w:val="14"/>
              </w:rPr>
              <w:t xml:space="preserve">Corrección IA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No genera ítems; solo corrige evaluaciones ya existentes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No aplica (foco en corrección, no en generación)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8860B"/>
                <w:sz w:val="16"/>
                <w:szCs w:val="16"/>
              </w:rPr>
              <w:t xml:space="preserve">◑ </w:t>
            </w:r>
            <w:r>
              <w:rPr>
                <w:rFonts w:ascii="Arial" w:cs="Arial" w:eastAsia="Arial" w:hAnsi="Arial"/>
                <w:color w:val="333333"/>
                <w:sz w:val="15"/>
                <w:szCs w:val="15"/>
              </w:rPr>
              <w:t xml:space="preserve">Integración LTI con LMS existentes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Cloud-only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1A7A3A"/>
                <w:sz w:val="16"/>
                <w:szCs w:val="16"/>
              </w:rPr>
              <w:t xml:space="preserve">✓ </w:t>
            </w:r>
            <w:r>
              <w:rPr>
                <w:rFonts w:ascii="Arial" w:cs="Arial" w:eastAsia="Arial" w:hAnsi="Arial"/>
                <w:color w:val="333333"/>
                <w:sz w:val="15"/>
                <w:szCs w:val="15"/>
              </w:rPr>
              <w:t xml:space="preserve">Exporta resultados y reportes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Servidores de Turnitin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No disponible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8860B"/>
                <w:sz w:val="16"/>
                <w:szCs w:val="16"/>
              </w:rPr>
              <w:t xml:space="preserve">◑ </w:t>
            </w:r>
            <w:r>
              <w:rPr>
                <w:rFonts w:ascii="Arial" w:cs="Arial" w:eastAsia="Arial" w:hAnsi="Arial"/>
                <w:color w:val="333333"/>
                <w:sz w:val="15"/>
                <w:szCs w:val="15"/>
              </w:rPr>
              <w:t xml:space="preserve">Licencia institucional; precio moderado con acuerdo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sz w:val="16"/>
                <w:szCs w:val="16"/>
              </w:rPr>
              <w:t xml:space="preserve">Quizizz / Wayground</w:t>
            </w:r>
          </w:p>
          <w:p>
            <w:r>
              <w:rPr>
                <w:rFonts w:ascii="Arial" w:cs="Arial" w:eastAsia="Arial" w:hAnsi="Arial"/>
                <w:color w:val="666666"/>
                <w:sz w:val="14"/>
                <w:szCs w:val="14"/>
              </w:rPr>
              <w:t xml:space="preserve">Gamificación + IA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8860B"/>
                <w:sz w:val="16"/>
                <w:szCs w:val="16"/>
              </w:rPr>
              <w:t xml:space="preserve">◑ </w:t>
            </w:r>
            <w:r>
              <w:rPr>
                <w:rFonts w:ascii="Arial" w:cs="Arial" w:eastAsia="Arial" w:hAnsi="Arial"/>
                <w:color w:val="333333"/>
                <w:sz w:val="15"/>
                <w:szCs w:val="15"/>
              </w:rPr>
              <w:t xml:space="preserve">Genera desde PDFs sin restricción de corpus docente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Sin clasificación taxonómica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8860B"/>
                <w:sz w:val="16"/>
                <w:szCs w:val="16"/>
              </w:rPr>
              <w:t xml:space="preserve">◑ </w:t>
            </w:r>
            <w:r>
              <w:rPr>
                <w:rFonts w:ascii="Arial" w:cs="Arial" w:eastAsia="Arial" w:hAnsi="Arial"/>
                <w:color w:val="333333"/>
                <w:sz w:val="15"/>
                <w:szCs w:val="15"/>
              </w:rPr>
              <w:t xml:space="preserve">LTI con Canvas, Schoology y Google Classroom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Cloud-only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8860B"/>
                <w:sz w:val="16"/>
                <w:szCs w:val="16"/>
              </w:rPr>
              <w:t xml:space="preserve">◑ </w:t>
            </w:r>
            <w:r>
              <w:rPr>
                <w:rFonts w:ascii="Arial" w:cs="Arial" w:eastAsia="Arial" w:hAnsi="Arial"/>
                <w:color w:val="333333"/>
                <w:sz w:val="15"/>
                <w:szCs w:val="15"/>
              </w:rPr>
              <w:t xml:space="preserve">Exporta; sin plantilla institucional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Servidores externos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No disponible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1A7A3A"/>
                <w:sz w:val="16"/>
                <w:szCs w:val="16"/>
              </w:rPr>
              <w:t xml:space="preserve">✓ </w:t>
            </w:r>
            <w:r>
              <w:rPr>
                <w:rFonts w:ascii="Arial" w:cs="Arial" w:eastAsia="Arial" w:hAnsi="Arial"/>
                <w:color w:val="333333"/>
                <w:sz w:val="15"/>
                <w:szCs w:val="15"/>
              </w:rPr>
              <w:t xml:space="preserve">Freemium. Muy accesible</w:t>
            </w:r>
          </w:p>
        </w:tc>
      </w:tr>
      <w:tr>
        <w:tc>
          <w:tcPr>
            <w:gridSpan w:val="9"/>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r>
              <w:rPr>
                <w:rFonts w:ascii="Arial" w:cs="Arial" w:eastAsia="Arial" w:hAnsi="Arial"/>
                <w:b/>
                <w:bCs/>
                <w:color w:val="FFFFFF"/>
                <w:sz w:val="16"/>
                <w:szCs w:val="16"/>
              </w:rPr>
              <w:t xml:space="preserve">Herramientas RAG (corpus propio del usuario)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sz w:val="16"/>
                <w:szCs w:val="16"/>
              </w:rPr>
              <w:t xml:space="preserve">NotebookLM (Google)</w:t>
            </w:r>
          </w:p>
          <w:p>
            <w:r>
              <w:rPr>
                <w:rFonts w:ascii="Arial" w:cs="Arial" w:eastAsia="Arial" w:hAnsi="Arial"/>
                <w:color w:val="666666"/>
                <w:sz w:val="14"/>
                <w:szCs w:val="14"/>
              </w:rPr>
              <w:t xml:space="preserve">RAG generalista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1A7A3A"/>
                <w:sz w:val="16"/>
                <w:szCs w:val="16"/>
              </w:rPr>
              <w:t xml:space="preserve">✓ </w:t>
            </w:r>
            <w:r>
              <w:rPr>
                <w:rFonts w:ascii="Arial" w:cs="Arial" w:eastAsia="Arial" w:hAnsi="Arial"/>
                <w:color w:val="333333"/>
                <w:sz w:val="15"/>
                <w:szCs w:val="15"/>
              </w:rPr>
              <w:t xml:space="preserve">Opera exclusivamente desde fuentes cargadas por el usuario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Sin clasificación taxonómica ni foco evaluativo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Solo uso individual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Cloud-only (Google Cloud); idioma nativo inglés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Sin exportación de instrumentos evaluativos formateados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Datos en Google Cloud; sin opción de procesamiento local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No disponible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1A7A3A"/>
                <w:sz w:val="16"/>
                <w:szCs w:val="16"/>
              </w:rPr>
              <w:t xml:space="preserve">✓ </w:t>
            </w:r>
            <w:r>
              <w:rPr>
                <w:rFonts w:ascii="Arial" w:cs="Arial" w:eastAsia="Arial" w:hAnsi="Arial"/>
                <w:color w:val="333333"/>
                <w:sz w:val="15"/>
                <w:szCs w:val="15"/>
              </w:rPr>
              <w:t xml:space="preserve">Gratuito / USD 19,99/mes (Plus). Muy accesible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sz w:val="16"/>
                <w:szCs w:val="16"/>
              </w:rPr>
              <w:t xml:space="preserve">MagicSchool AI</w:t>
            </w:r>
          </w:p>
          <w:p>
            <w:r>
              <w:rPr>
                <w:rFonts w:ascii="Arial" w:cs="Arial" w:eastAsia="Arial" w:hAnsi="Arial"/>
                <w:color w:val="666666"/>
                <w:sz w:val="14"/>
                <w:szCs w:val="14"/>
              </w:rPr>
              <w:t xml:space="preserve">Suite docente RAG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8860B"/>
                <w:sz w:val="16"/>
                <w:szCs w:val="16"/>
              </w:rPr>
              <w:t xml:space="preserve">◑ </w:t>
            </w:r>
            <w:r>
              <w:rPr>
                <w:rFonts w:ascii="Arial" w:cs="Arial" w:eastAsia="Arial" w:hAnsi="Arial"/>
                <w:color w:val="333333"/>
                <w:sz w:val="15"/>
                <w:szCs w:val="15"/>
              </w:rPr>
              <w:t xml:space="preserve">80+ generadores; sin Jardín Vallado ni restricción estricta al corpus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Sin clasificación Bloom sistemática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8860B"/>
                <w:sz w:val="16"/>
                <w:szCs w:val="16"/>
              </w:rPr>
              <w:t xml:space="preserve">◑ </w:t>
            </w:r>
            <w:r>
              <w:rPr>
                <w:rFonts w:ascii="Arial" w:cs="Arial" w:eastAsia="Arial" w:hAnsi="Arial"/>
                <w:color w:val="333333"/>
                <w:sz w:val="15"/>
                <w:szCs w:val="15"/>
              </w:rPr>
              <w:t xml:space="preserve">Planes institucionales con SSO y panel de administrador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Cloud-only (OpenAI)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8860B"/>
                <w:sz w:val="16"/>
                <w:szCs w:val="16"/>
              </w:rPr>
              <w:t xml:space="preserve">◑ </w:t>
            </w:r>
            <w:r>
              <w:rPr>
                <w:rFonts w:ascii="Arial" w:cs="Arial" w:eastAsia="Arial" w:hAnsi="Arial"/>
                <w:color w:val="333333"/>
                <w:sz w:val="15"/>
                <w:szCs w:val="15"/>
              </w:rPr>
              <w:t xml:space="preserve">Exporta contenido; sin plantilla institucional propia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Depende de OpenAI (procesamiento en nube de terceros)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22222"/>
                <w:sz w:val="16"/>
                <w:szCs w:val="16"/>
              </w:rPr>
              <w:t xml:space="preserve">✗ </w:t>
            </w:r>
            <w:r>
              <w:rPr>
                <w:rFonts w:ascii="Arial" w:cs="Arial" w:eastAsia="Arial" w:hAnsi="Arial"/>
                <w:color w:val="333333"/>
                <w:sz w:val="15"/>
                <w:szCs w:val="15"/>
              </w:rPr>
              <w:t xml:space="preserve">No disponible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B8860B"/>
                <w:sz w:val="16"/>
                <w:szCs w:val="16"/>
              </w:rPr>
              <w:t xml:space="preserve">◑ </w:t>
            </w:r>
            <w:r>
              <w:rPr>
                <w:rFonts w:ascii="Arial" w:cs="Arial" w:eastAsia="Arial" w:hAnsi="Arial"/>
                <w:color w:val="333333"/>
                <w:sz w:val="15"/>
                <w:szCs w:val="15"/>
              </w:rPr>
              <w:t xml:space="preserve">Gratuito individual; institucional a pedido</w:t>
            </w:r>
          </w:p>
        </w:tc>
      </w:tr>
      <w:tr>
        <w:tc>
          <w:tcPr>
            <w:gridSpan w:val="9"/>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r>
              <w:rPr>
                <w:rFonts w:ascii="Arial" w:cs="Arial" w:eastAsia="Arial" w:hAnsi="Arial"/>
                <w:b/>
                <w:bCs/>
                <w:color w:val="FFFFFF"/>
                <w:sz w:val="16"/>
                <w:szCs w:val="16"/>
              </w:rPr>
              <w:t xml:space="preserve">Propuesta de esta investigación</w:t>
            </w:r>
          </w:p>
        </w:tc>
      </w:tr>
      <w:tr>
        <w:tc>
          <w:tcPr>
            <w:tcW w:type="dxa" w:w="14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vAlign w:val="top"/>
          </w:tcPr>
          <w:p>
            <w:r>
              <w:rPr>
                <w:rFonts w:ascii="Arial" w:cs="Arial" w:eastAsia="Arial" w:hAnsi="Arial"/>
                <w:b/>
                <w:bCs/>
                <w:color w:val="1A5C1A"/>
                <w:sz w:val="17"/>
                <w:szCs w:val="17"/>
              </w:rPr>
              <w:t xml:space="preserve">EducaApp ★</w:t>
            </w:r>
          </w:p>
          <w:p>
            <w:r>
              <w:rPr>
                <w:rFonts w:ascii="Arial" w:cs="Arial" w:eastAsia="Arial" w:hAnsi="Arial"/>
                <w:color w:val="2E7D2E"/>
                <w:sz w:val="14"/>
                <w:szCs w:val="14"/>
              </w:rPr>
              <w:t xml:space="preserve">Middleware pedagógico</w:t>
            </w:r>
          </w:p>
        </w:tc>
        <w:tc>
          <w:tcPr>
            <w:tcW w:type="dxa" w:w="9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vAlign w:val="top"/>
          </w:tcPr>
          <w:p>
            <w:r>
              <w:rPr>
                <w:rFonts w:ascii="Arial" w:cs="Arial" w:eastAsia="Arial" w:hAnsi="Arial"/>
                <w:b/>
                <w:bCs/>
                <w:color w:val="1A7A3A"/>
                <w:sz w:val="16"/>
                <w:szCs w:val="16"/>
              </w:rPr>
              <w:t xml:space="preserve">✓ </w:t>
            </w:r>
            <w:r>
              <w:rPr>
                <w:rFonts w:ascii="Arial" w:cs="Arial" w:eastAsia="Arial" w:hAnsi="Arial"/>
                <w:color w:val="333333"/>
                <w:sz w:val="15"/>
                <w:szCs w:val="15"/>
              </w:rPr>
              <w:t xml:space="preserve">Solo desde corpus validado por el docente (Jardín Vallado + RAG). Principio arquitectónico fundante</w:t>
            </w:r>
          </w:p>
        </w:tc>
        <w:tc>
          <w:tcPr>
            <w:tcW w:type="dxa" w:w="11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vAlign w:val="top"/>
          </w:tcPr>
          <w:p>
            <w:r>
              <w:rPr>
                <w:rFonts w:ascii="Arial" w:cs="Arial" w:eastAsia="Arial" w:hAnsi="Arial"/>
                <w:b/>
                <w:bCs/>
                <w:color w:val="1A7A3A"/>
                <w:sz w:val="16"/>
                <w:szCs w:val="16"/>
              </w:rPr>
              <w:t xml:space="preserve">✓ </w:t>
            </w:r>
            <w:r>
              <w:rPr>
                <w:rFonts w:ascii="Arial" w:cs="Arial" w:eastAsia="Arial" w:hAnsi="Arial"/>
                <w:color w:val="333333"/>
                <w:sz w:val="15"/>
                <w:szCs w:val="15"/>
              </w:rPr>
              <w:t xml:space="preserve">Bloom revisado (Anderson &amp; Krathwohl, 2001) como eje transversal. Pirámide SVG, distribución en tiempo real y tabla comparativa 1956 vs. 2001 disponibles para el docente que las use</w:t>
            </w:r>
          </w:p>
        </w:tc>
        <w:tc>
          <w:tcPr>
            <w:tcW w:type="dxa" w:w="10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vAlign w:val="top"/>
          </w:tcPr>
          <w:p>
            <w:r>
              <w:rPr>
                <w:rFonts w:ascii="Arial" w:cs="Arial" w:eastAsia="Arial" w:hAnsi="Arial"/>
                <w:b/>
                <w:bCs/>
                <w:color w:val="1A7A3A"/>
                <w:sz w:val="16"/>
                <w:szCs w:val="16"/>
              </w:rPr>
              <w:t xml:space="preserve">✓ </w:t>
            </w:r>
            <w:r>
              <w:rPr>
                <w:rFonts w:ascii="Arial" w:cs="Arial" w:eastAsia="Arial" w:hAnsi="Arial"/>
                <w:color w:val="333333"/>
                <w:sz w:val="15"/>
                <w:szCs w:val="15"/>
              </w:rPr>
              <w:t xml:space="preserve">Jerarquía completa: institución → sede → facultad → carrera → materia. Gestión multiusuario nativa</w:t>
            </w:r>
          </w:p>
        </w:tc>
        <w:tc>
          <w:tcPr>
            <w:tcW w:type="dxa" w:w="11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vAlign w:val="top"/>
          </w:tcPr>
          <w:p>
            <w:r>
              <w:rPr>
                <w:rFonts w:ascii="Arial" w:cs="Arial" w:eastAsia="Arial" w:hAnsi="Arial"/>
                <w:b/>
                <w:bCs/>
                <w:color w:val="1A7A3A"/>
                <w:sz w:val="16"/>
                <w:szCs w:val="16"/>
              </w:rPr>
              <w:t xml:space="preserve">✓ </w:t>
            </w:r>
            <w:r>
              <w:rPr>
                <w:rFonts w:ascii="Arial" w:cs="Arial" w:eastAsia="Arial" w:hAnsi="Arial"/>
                <w:color w:val="333333"/>
                <w:sz w:val="15"/>
                <w:szCs w:val="15"/>
              </w:rPr>
              <w:t xml:space="preserve">Exportación PDF descargable. El docente no depende de la app en el momento de tomar evaluaciones escritas. Oral requiere conexión</w:t>
            </w:r>
          </w:p>
        </w:tc>
        <w:tc>
          <w:tcPr>
            <w:tcW w:type="dxa" w:w="10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vAlign w:val="top"/>
          </w:tcPr>
          <w:p>
            <w:r>
              <w:rPr>
                <w:rFonts w:ascii="Arial" w:cs="Arial" w:eastAsia="Arial" w:hAnsi="Arial"/>
                <w:b/>
                <w:bCs/>
                <w:color w:val="1A7A3A"/>
                <w:sz w:val="16"/>
                <w:szCs w:val="16"/>
              </w:rPr>
              <w:t xml:space="preserve">✓ </w:t>
            </w:r>
            <w:r>
              <w:rPr>
                <w:rFonts w:ascii="Arial" w:cs="Arial" w:eastAsia="Arial" w:hAnsi="Arial"/>
                <w:color w:val="333333"/>
                <w:sz w:val="15"/>
                <w:szCs w:val="15"/>
              </w:rPr>
              <w:t xml:space="preserve">PDF y DOCX con plantilla institucional propia + bolillero oral imprimible</w:t>
            </w:r>
          </w:p>
        </w:tc>
        <w:tc>
          <w:tcPr>
            <w:tcW w:type="dxa" w:w="10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vAlign w:val="top"/>
          </w:tcPr>
          <w:p>
            <w:r>
              <w:rPr>
                <w:rFonts w:ascii="Arial" w:cs="Arial" w:eastAsia="Arial" w:hAnsi="Arial"/>
                <w:b/>
                <w:bCs/>
                <w:color w:val="1A7A3A"/>
                <w:sz w:val="16"/>
                <w:szCs w:val="16"/>
              </w:rPr>
              <w:t xml:space="preserve">✓ </w:t>
            </w:r>
            <w:r>
              <w:rPr>
                <w:rFonts w:ascii="Arial" w:cs="Arial" w:eastAsia="Arial" w:hAnsi="Arial"/>
                <w:color w:val="333333"/>
                <w:sz w:val="15"/>
                <w:szCs w:val="15"/>
              </w:rPr>
              <w:t xml:space="preserve">Modo Local (Ollama + modelo libre, sin datos a terceros) o Modo Cloud BYOK (elección institucional). Soberanía flexible</w:t>
            </w:r>
          </w:p>
        </w:tc>
        <w:tc>
          <w:tcPr>
            <w:tcW w:type="dxa" w:w="9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vAlign w:val="top"/>
          </w:tcPr>
          <w:p>
            <w:r>
              <w:rPr>
                <w:rFonts w:ascii="Arial" w:cs="Arial" w:eastAsia="Arial" w:hAnsi="Arial"/>
                <w:b/>
                <w:bCs/>
                <w:color w:val="1A7A3A"/>
                <w:sz w:val="16"/>
                <w:szCs w:val="16"/>
              </w:rPr>
              <w:t xml:space="preserve">✓ </w:t>
            </w:r>
            <w:r>
              <w:rPr>
                <w:rFonts w:ascii="Arial" w:cs="Arial" w:eastAsia="Arial" w:hAnsi="Arial"/>
                <w:color w:val="333333"/>
                <w:sz w:val="15"/>
                <w:szCs w:val="15"/>
              </w:rPr>
              <w:t xml:space="preserve">Bolillero Digital con distribución equitativa por niveles Bloom. Funcionalidad única del sistema</w:t>
            </w:r>
          </w:p>
        </w:tc>
        <w:tc>
          <w:tcPr>
            <w:tcW w:type="dxa" w:w="9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vAlign w:val="top"/>
          </w:tcPr>
          <w:p>
            <w:r>
              <w:rPr>
                <w:rFonts w:ascii="Arial" w:cs="Arial" w:eastAsia="Arial" w:hAnsi="Arial"/>
                <w:b/>
                <w:bCs/>
                <w:color w:val="1A7A3A"/>
                <w:sz w:val="16"/>
                <w:szCs w:val="16"/>
              </w:rPr>
              <w:t xml:space="preserve">✓ </w:t>
            </w:r>
            <w:r>
              <w:rPr>
                <w:rFonts w:ascii="Arial" w:cs="Arial" w:eastAsia="Arial" w:hAnsi="Arial"/>
                <w:color w:val="333333"/>
                <w:sz w:val="15"/>
                <w:szCs w:val="15"/>
              </w:rPr>
              <w:t xml:space="preserve">Sin costo variable en Modo Local. Accesible para inst. con recursos limitados</w:t>
            </w:r>
          </w:p>
        </w:tc>
      </w:tr>
    </w:tbl>
    <w:p>
      <w:pPr>
        <w:spacing w:before="120"/>
      </w:pPr>
      <w:r>
        <w:rPr>
          <w:rFonts w:ascii="Arial" w:cs="Arial" w:eastAsia="Arial" w:hAnsi="Arial"/>
          <w:b/>
          <w:bCs/>
          <w:sz w:val="16"/>
          <w:szCs w:val="16"/>
        </w:rPr>
        <w:t xml:space="preserve">Leyenda: </w:t>
      </w:r>
      <w:r>
        <w:rPr>
          <w:rFonts w:ascii="Arial" w:cs="Arial" w:eastAsia="Arial" w:hAnsi="Arial"/>
          <w:color w:val="1A7A3A"/>
          <w:sz w:val="15"/>
          <w:szCs w:val="15"/>
        </w:rPr>
        <w:t xml:space="preserve">✓ Sí, implementado   </w:t>
      </w:r>
      <w:r>
        <w:rPr>
          <w:rFonts w:ascii="Arial" w:cs="Arial" w:eastAsia="Arial" w:hAnsi="Arial"/>
          <w:color w:val="B8860B"/>
          <w:sz w:val="15"/>
          <w:szCs w:val="15"/>
        </w:rPr>
        <w:t xml:space="preserve">◑ Parcial o condicional   </w:t>
      </w:r>
      <w:r>
        <w:rPr>
          <w:rFonts w:ascii="Arial" w:cs="Arial" w:eastAsia="Arial" w:hAnsi="Arial"/>
          <w:color w:val="B22222"/>
          <w:sz w:val="15"/>
          <w:szCs w:val="15"/>
        </w:rPr>
        <w:t xml:space="preserve">✗ No disponible   </w:t>
      </w:r>
      <w:r>
        <w:rPr>
          <w:rFonts w:ascii="Arial" w:cs="Arial" w:eastAsia="Arial" w:hAnsi="Arial"/>
          <w:b/>
          <w:bCs/>
          <w:color w:val="1A5C1A"/>
          <w:sz w:val="15"/>
          <w:szCs w:val="15"/>
        </w:rPr>
        <w:t xml:space="preserve">★ Propuesta de esta tesis</w:t>
      </w:r>
    </w:p>
    <w:p>
      <w:pPr>
        <w:spacing w:before="80"/>
      </w:pPr>
      <w:r>
        <w:rPr>
          <w:rFonts w:ascii="Arial" w:cs="Arial" w:eastAsia="Arial" w:hAnsi="Arial"/>
          <w:b/>
          <w:bCs/>
          <w:sz w:val="14"/>
          <w:szCs w:val="14"/>
        </w:rPr>
        <w:t xml:space="preserve">Nota: </w:t>
      </w:r>
      <w:r>
        <w:rPr>
          <w:rFonts w:ascii="Arial" w:cs="Arial" w:eastAsia="Arial" w:hAnsi="Arial"/>
          <w:color w:val="555555"/>
          <w:sz w:val="14"/>
          <w:szCs w:val="14"/>
        </w:rPr>
        <w:t xml:space="preserve">Fuentes: sitios oficiales de cada plataforma y reportes de mercado consultados en marzo 2026 (ver Referencias, sección 2.6). Los precios y funcionalidades pueden variar; se recomienda verificar con cada proveedor. La columna «Descarga PDF» indica si el docente puede obtener el instrumento generado para usarlo sin depender de la aplicación en el momento de la evaluación.</w:t>
      </w:r>
    </w:p>
    <w:sectPr>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2026-04-24T00:31:44.245Z</dcterms:created>
  <dcterms:modified xsi:type="dcterms:W3CDTF">2026-04-24T00:31:44.265Z</dcterms:modified>
</cp:coreProperties>
</file>

<file path=docProps/custom.xml><?xml version="1.0" encoding="utf-8"?>
<Properties xmlns="http://schemas.openxmlformats.org/officeDocument/2006/custom-properties" xmlns:vt="http://schemas.openxmlformats.org/officeDocument/2006/docPropsVTypes"/>
</file>