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Cuadro 1. Comparativa de herramientas de evaluación asistida por IA según criterios de relevancia pedagógica y equidad para el contexto latinoamericano (estado del mercado, primer trimestre 2026)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  <w:gridCol w:w="2400"/>
        <w:gridCol w:w="235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Generación desde corpus propio del docente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Clasificación según Taxonomía de Bloom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Descarga e independencia de conexión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Soberanía de datos / procesamiento local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Costo accesible para instituciones latinoamericanas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LMS con evaluación integrada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Canvas</w:t>
            </w:r>
          </w:p>
          <w:p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LMS institucional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IA genera desde conocimiento genérico del modelo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 clasificación taxonómica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Solo disponible en cloud corporativo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Servidores de Instructure (EE.UU.)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Licencia institucional sin precio público; prohibitivo para la mayoría de las instituciones de la región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Blackboard (Anthology)</w:t>
            </w:r>
          </w:p>
          <w:p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LMS institucional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IA genérica; no basada en corpus del docente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6E00"/>
                <w:sz w:val="15"/>
                <w:szCs w:val="15"/>
              </w:rPr>
              <w:t xml:space="preserve">◑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AI Design Assistant genera ítems sin Bloom explícito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Cloud-only (AWS)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Servidores de Anthology (EE.UU.)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USD 9.500+/año para instituciones pequeñas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Moodle</w:t>
            </w:r>
          </w:p>
          <w:p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LMS open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 IA nativa; requiere plugins externos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No disponible de manera nativa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6E00"/>
                <w:sz w:val="15"/>
                <w:szCs w:val="15"/>
              </w:rPr>
              <w:t xml:space="preserve">◑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Auto-hospedado posible, pero requiere infraestructura y personal 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6E00"/>
                <w:sz w:val="15"/>
                <w:szCs w:val="15"/>
              </w:rPr>
              <w:t xml:space="preserve">◑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Depende del servidor de la institución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6E00"/>
                <w:sz w:val="15"/>
                <w:szCs w:val="15"/>
              </w:rPr>
              <w:t xml:space="preserve">◑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Licencia gratuita; hosting y soporte con costo variable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D2L Brightspace</w:t>
            </w:r>
          </w:p>
          <w:p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LMS institucional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D2L Lumi genera desde temas generales, no desde corpus del docente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D2L Lumi alinea con Bloom y resultados de aprendizaje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Cloud-only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Procesamiento vía Anthropic Claude en nube de terceros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Licencia institucional sin precio público; prohibitivo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Herramientas independientes de generación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QuizGecko</w:t>
            </w:r>
          </w:p>
          <w:p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Generador 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Desde PDF/Word/PPT del docente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 clasificación taxonómica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Cloud-only; sin descarga de instrumentos finales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Servidores externos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USD 16–20/mes por docente; accesible individualmente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PrepAI</w:t>
            </w:r>
          </w:p>
          <w:p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Generador 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Desde documentos propios del docente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6E00"/>
                <w:sz w:val="15"/>
                <w:szCs w:val="15"/>
              </w:rPr>
              <w:t xml:space="preserve">◑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Bloom disponible como opción de configuración, no como principio arquitectónico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Cloud-only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Servidores externos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Freemium; planes de pago accesibles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Quizizz / Wayground</w:t>
            </w:r>
          </w:p>
          <w:p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Gamificación + 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6E00"/>
                <w:sz w:val="15"/>
                <w:szCs w:val="15"/>
              </w:rPr>
              <w:t xml:space="preserve">◑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Genera desde PDFs sin restricción estricta al corpus del docente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 clasificación taxonómica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Cloud-only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Servidores externos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Freemium; muy accesible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Herramientas RAG (corpus propio del usuario)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NotebookLM (Google)</w:t>
            </w:r>
          </w:p>
          <w:p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RAG generalista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Opera exclusivamente sobre fuentes cargadas por el usuario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 clasificación evaluativa ni foco en instrumentos de examen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Cloud-only (Google); idioma nativo inglés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Datos en Google Cloud; sin opción de procesamiento local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Gratuito / USD 19,99 mes (Plus)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MagicSchool AI</w:t>
            </w:r>
          </w:p>
          <w:p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Suite docente 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6E00"/>
                <w:sz w:val="15"/>
                <w:szCs w:val="15"/>
              </w:rPr>
              <w:t xml:space="preserve">◑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80+ generadores; sin restricción estricta al corpus del docente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 clasificación Bloom sistemática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Cloud-only (OpenAI)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A01010"/>
                <w:sz w:val="15"/>
                <w:szCs w:val="15"/>
              </w:rPr>
              <w:t xml:space="preserve">✗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Depende de OpenAI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6E00"/>
                <w:sz w:val="15"/>
                <w:szCs w:val="15"/>
              </w:rPr>
              <w:t xml:space="preserve">◑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Gratuito individualmente; institucional a pedido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Propuesta de esta investigación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5"/>
                <w:szCs w:val="15"/>
              </w:rPr>
              <w:t xml:space="preserve">EducaApp ★</w:t>
            </w:r>
          </w:p>
          <w:p>
            <w:r>
              <w:rPr>
                <w:rFonts w:ascii="Arial" w:cs="Arial" w:eastAsia="Arial" w:hAnsi="Arial"/>
                <w:color w:val="666666"/>
                <w:sz w:val="13"/>
                <w:szCs w:val="13"/>
              </w:rPr>
              <w:t xml:space="preserve">Middleware pedagógico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Solo desde corpus validado por el docente (Jardín Vallado + RAG). Principio arquitectónico fundante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Bloom revisado (Anderson &amp; Krathwohl, 2001) como eje transversal; pirámide y distribución disponibles como herramienta de consulta para el docente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Descarga de PDF con plantilla institucional; el docente no depende de la app en la evaluación escrita presencial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Modo Local (Ollama + modelo de código abierto, sin datos a terceros) o Modo Cloud con proveedor a elección de la institución</w:t>
            </w:r>
          </w:p>
        </w:tc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5"/>
                <w:szCs w:val="15"/>
              </w:rPr>
              <w:t xml:space="preserve">✓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Sin costo variable en Modo Local; accesible para instituciones con recursos limitados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Leyenda: </w:t>
      </w:r>
      <w:r>
        <w:rPr>
          <w:rFonts w:ascii="Arial" w:cs="Arial" w:eastAsia="Arial" w:hAnsi="Arial"/>
          <w:color w:val="1A6B2A"/>
          <w:sz w:val="14"/>
          <w:szCs w:val="14"/>
        </w:rPr>
        <w:t xml:space="preserve">✓ Sí, implementado   </w:t>
      </w:r>
      <w:r>
        <w:rPr>
          <w:rFonts w:ascii="Arial" w:cs="Arial" w:eastAsia="Arial" w:hAnsi="Arial"/>
          <w:color w:val="9B6E00"/>
          <w:sz w:val="14"/>
          <w:szCs w:val="14"/>
        </w:rPr>
        <w:t xml:space="preserve">◑ Parcial o condicional   </w:t>
      </w:r>
      <w:r>
        <w:rPr>
          <w:rFonts w:ascii="Arial" w:cs="Arial" w:eastAsia="Arial" w:hAnsi="Arial"/>
          <w:color w:val="A01010"/>
          <w:sz w:val="14"/>
          <w:szCs w:val="14"/>
        </w:rPr>
        <w:t xml:space="preserve">✗ No disponible   </w:t>
      </w:r>
      <w:r>
        <w:rPr>
          <w:rFonts w:ascii="Arial" w:cs="Arial" w:eastAsia="Arial" w:hAnsi="Arial"/>
          <w:b/>
          <w:bCs/>
          <w:color w:val="1A5C1A"/>
          <w:sz w:val="14"/>
          <w:szCs w:val="14"/>
        </w:rPr>
        <w:t xml:space="preserve">★ Propuesta de esta investigación</w:t>
      </w:r>
    </w:p>
    <w:p>
      <w:pPr>
        <w:spacing w:before="100"/>
      </w:pPr>
      <w:r>
        <w:rPr>
          <w:rFonts w:ascii="Arial" w:cs="Arial" w:eastAsia="Arial" w:hAnsi="Arial"/>
          <w:color w:val="555555"/>
          <w:sz w:val="13"/>
          <w:szCs w:val="13"/>
        </w:rPr>
        <w:t xml:space="preserve">Nota: La comparativa se centra en las cinco variables con mayor relevancia pedagógica y de equidad para el contexto latinoamericano. Para información técnica exhaustiva de cada plataforma se remite a los sitios oficiales citados en las Referencias (sección 2.6). Los precios y funcionalidades son orientativos y pueden variar.</w:t>
      </w:r>
    </w:p>
    <w:sectPr>
      <w:pgSz w:w="15840" w:h="12240" w:orient="landscape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2026-04-25T23:01:46.582Z</dcterms:created>
  <dcterms:modified xsi:type="dcterms:W3CDTF">2026-04-25T23:01:46.583Z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