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</w:tblPr>
      <w:tblGrid>
        <w:gridCol w:w="1191"/>
        <w:gridCol w:w="3230"/>
        <w:gridCol w:w="1304"/>
      </w:tblGrid>
      <w:tr>
        <w:tc>
          <w:tcPr>
            <w:tcW w:type="dxa" w:w="323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ai_LtUclp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b/>
                <w:color w:val="111111"/>
                <w:sz w:val="24"/>
              </w:rPr>
              <w:t>UAI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b/>
                <w:color w:val="111111"/>
                <w:sz w:val="20"/>
              </w:rPr>
              <w:t>Año</w:t>
              <w:br/>
            </w:r>
            <w:r>
              <w:rPr>
                <w:color w:val="111111"/>
                <w:sz w:val="22"/>
              </w:rPr>
              <w:t>2026</w:t>
            </w:r>
          </w:p>
        </w:tc>
      </w:tr>
      <w:tr>
        <w:tc>
          <w:tcPr>
            <w:tcW w:type="dxa" w:w="3230"/>
          </w:tcPr>
          <w:p/>
        </w:tc>
        <w:tc>
          <w:tcPr>
            <w:tcW w:type="dxa" w:w="3230"/>
          </w:tcPr>
          <w:p>
            <w:r>
              <w:rPr>
                <w:color w:val="111111"/>
                <w:sz w:val="22"/>
              </w:rPr>
              <w:t>Carrera: Ingeniería en Sistemas    Profesor: Martin Romero</w:t>
            </w:r>
          </w:p>
          <w:p>
            <w:r>
              <w:rPr>
                <w:b/>
                <w:color w:val="111111"/>
                <w:sz w:val="22"/>
              </w:rPr>
              <w:t>Materia: OGE    Examen</w:t>
            </w:r>
          </w:p>
        </w:tc>
        <w:tc>
          <w:tcPr>
            <w:tcW w:type="dxa" w:w="323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  <w:color w:val="111111"/>
                <w:sz w:val="22"/>
              </w:rPr>
              <w:t>Nombre</w:t>
            </w:r>
          </w:p>
        </w:tc>
        <w:tc>
          <w:tcPr>
            <w:tcW w:type="dxa" w:w="2422"/>
          </w:tcPr>
          <w:p>
            <w:r>
              <w:rPr>
                <w:color w:val="111111"/>
                <w:sz w:val="22"/>
              </w:rPr>
              <w:t>____________________</w:t>
            </w:r>
          </w:p>
        </w:tc>
        <w:tc>
          <w:tcPr>
            <w:tcW w:type="dxa" w:w="2422"/>
          </w:tcPr>
          <w:p>
            <w:r>
              <w:rPr>
                <w:b/>
                <w:color w:val="111111"/>
                <w:sz w:val="22"/>
              </w:rPr>
              <w:t>Apellido</w:t>
            </w:r>
          </w:p>
        </w:tc>
        <w:tc>
          <w:tcPr>
            <w:tcW w:type="dxa" w:w="2422"/>
          </w:tcPr>
          <w:p>
            <w:r>
              <w:rPr>
                <w:color w:val="111111"/>
                <w:sz w:val="22"/>
              </w:rPr>
              <w:t>____________________</w:t>
            </w:r>
          </w:p>
        </w:tc>
      </w:tr>
      <w:tr>
        <w:tc>
          <w:tcPr>
            <w:tcW w:type="dxa" w:w="2422"/>
          </w:tcPr>
          <w:p>
            <w:r>
              <w:rPr>
                <w:b/>
                <w:color w:val="111111"/>
                <w:sz w:val="22"/>
              </w:rPr>
              <w:t>Fecha</w:t>
            </w:r>
          </w:p>
        </w:tc>
        <w:tc>
          <w:tcPr>
            <w:tcW w:type="dxa" w:w="2422"/>
          </w:tcPr>
          <w:p>
            <w:r>
              <w:rPr>
                <w:color w:val="111111"/>
                <w:sz w:val="22"/>
              </w:rPr>
              <w:t>2026-04-22</w:t>
            </w:r>
          </w:p>
        </w:tc>
        <w:tc>
          <w:tcPr>
            <w:tcW w:type="dxa" w:w="4844"/>
            <w:gridSpan w:val="2"/>
          </w:tcPr>
          <w:p>
            <w:pPr>
              <w:jc w:val="center"/>
            </w:pPr>
            <w:r>
              <w:rPr>
                <w:b/>
                <w:color w:val="111111"/>
                <w:sz w:val="22"/>
              </w:rPr>
              <w:t>EXAMEN</w:t>
            </w:r>
          </w:p>
        </w:tc>
      </w:tr>
    </w:tbl>
    <w:p>
      <w:pPr>
        <w:jc w:val="center"/>
      </w:pPr>
      <w:r>
        <w:rPr>
          <w:b/>
          <w:color w:val="111111"/>
          <w:sz w:val="30"/>
        </w:rPr>
        <w:t>1er Parcial - OGE (2026-04-22)</w:t>
      </w:r>
    </w:p>
    <w:p>
      <w:r>
        <w:rPr>
          <w:b/>
          <w:color w:val="111111"/>
          <w:sz w:val="24"/>
        </w:rPr>
        <w:t>Instrucciones generales</w:t>
      </w:r>
    </w:p>
    <w:p>
      <w:r>
        <w:rPr>
          <w:b w:val="0"/>
          <w:color w:val="111111"/>
          <w:sz w:val="22"/>
        </w:rPr>
        <w:t>gdfgdfsgdsgsdgdfgfgfdsgsdfgsdfg</w:t>
      </w:r>
    </w:p>
    <w:p>
      <w:r>
        <w:rPr>
          <w:b/>
          <w:color w:val="111111"/>
          <w:sz w:val="24"/>
        </w:rPr>
        <w:t>Resultados de aprendizaje evaluados</w:t>
      </w:r>
    </w:p>
    <w:p>
      <w:r>
        <w:rPr>
          <w:b w:val="0"/>
          <w:color w:val="111111"/>
          <w:sz w:val="22"/>
        </w:rPr>
        <w:t>- ra2b</w:t>
      </w:r>
    </w:p>
    <w:p>
      <w:r>
        <w:rPr>
          <w:b w:val="0"/>
          <w:color w:val="111111"/>
          <w:sz w:val="22"/>
        </w:rPr>
        <w:t>Tiempo: oral, escrito, presencial, virtual</w:t>
      </w:r>
    </w:p>
    <w:p>
      <w:r>
        <w:rPr>
          <w:b/>
          <w:color w:val="111111"/>
          <w:sz w:val="24"/>
        </w:rPr>
        <w:t>Temas a evaluar</w:t>
      </w:r>
    </w:p>
    <w:p>
      <w:r>
        <w:rPr>
          <w:b w:val="0"/>
          <w:color w:val="111111"/>
          <w:sz w:val="22"/>
        </w:rPr>
        <w:t>- Cambio</w:t>
      </w:r>
    </w:p>
    <w:p>
      <w:r>
        <w:rPr>
          <w:b w:val="0"/>
          <w:color w:val="111111"/>
          <w:sz w:val="22"/>
        </w:rPr>
        <w:t>- Negociación</w:t>
      </w:r>
    </w:p>
    <w:p>
      <w:r>
        <w:rPr>
          <w:b/>
          <w:color w:val="111111"/>
          <w:sz w:val="22"/>
        </w:rPr>
        <w:t xml:space="preserve">1.  las variables del cambio son 3: contexto, top management y diseño organizacional.  De qué se compone el diseño organizacional? </w:t>
      </w:r>
    </w:p>
    <w:p>
      <w:r>
        <w:rPr>
          <w:b/>
          <w:color w:val="111111"/>
          <w:sz w:val="22"/>
        </w:rPr>
        <w:t>2.  de las variables del cambio que estudiamos, cuáles factores son transformaciones y cuáles transaccionales?</w:t>
      </w:r>
    </w:p>
    <w:p>
      <w:r>
        <w:rPr>
          <w:b/>
          <w:color w:val="111111"/>
          <w:sz w:val="22"/>
        </w:rPr>
        <w:t>3. de qué se trata el Cambio transformacional:</w:t>
      </w:r>
    </w:p>
    <w:p>
      <w:r>
        <w:rPr>
          <w:b/>
          <w:color w:val="111111"/>
          <w:sz w:val="22"/>
        </w:rPr>
        <w:t>4. de qué se trata el Cambio transaccional: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