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794D30" w:rsidRDefault="00794D30" w:rsidP="00794D30">
      <w:pPr>
        <w:jc w:val="center"/>
        <w:rPr>
          <w:rFonts w:ascii="Arial" w:hAnsi="Arial" w:cs="Arial"/>
          <w:sz w:val="20"/>
          <w:lang w:val="es-MX"/>
        </w:rPr>
      </w:pPr>
      <w:bookmarkStart w:id="0" w:name="_GoBack"/>
      <w:r w:rsidRPr="00794D30">
        <w:rPr>
          <w:rFonts w:ascii="Arial" w:hAnsi="Arial" w:cs="Arial"/>
          <w:sz w:val="20"/>
          <w:lang w:val="es-MX"/>
        </w:rPr>
        <w:drawing>
          <wp:inline distT="0" distB="0" distL="0" distR="0" wp14:anchorId="6CED0242" wp14:editId="69342B83">
            <wp:extent cx="3825572" cy="1828958"/>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5572" cy="1828958"/>
                    </a:xfrm>
                    <a:prstGeom prst="rect">
                      <a:avLst/>
                    </a:prstGeom>
                  </pic:spPr>
                </pic:pic>
              </a:graphicData>
            </a:graphic>
          </wp:inline>
        </w:drawing>
      </w:r>
      <w:bookmarkEnd w:id="0"/>
    </w:p>
    <w:p w:rsidR="00884317" w:rsidRDefault="00884317" w:rsidP="00884317">
      <w:pPr>
        <w:jc w:val="both"/>
        <w:rPr>
          <w:rFonts w:ascii="Arial" w:hAnsi="Arial" w:cs="Arial"/>
          <w:sz w:val="20"/>
          <w:lang w:val="es-MX"/>
        </w:rPr>
      </w:pPr>
    </w:p>
    <w:p w:rsidR="00884317" w:rsidRPr="007F60ED" w:rsidRDefault="00884317" w:rsidP="00884317">
      <w:pPr>
        <w:jc w:val="both"/>
        <w:rPr>
          <w:rFonts w:ascii="Arial" w:hAnsi="Arial" w:cs="Arial"/>
          <w:sz w:val="20"/>
          <w:lang w:val="es-MX"/>
        </w:rPr>
      </w:pPr>
    </w:p>
    <w:sectPr w:rsidR="00884317" w:rsidRPr="007F60ED" w:rsidSect="004E1AED">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C3A" w:rsidRDefault="00800C3A">
      <w:pPr>
        <w:spacing w:after="0" w:line="240" w:lineRule="auto"/>
      </w:pPr>
      <w:r>
        <w:separator/>
      </w:r>
    </w:p>
  </w:endnote>
  <w:endnote w:type="continuationSeparator" w:id="0">
    <w:p w:rsidR="00800C3A" w:rsidRDefault="0080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884317">
          <w:rPr>
            <w:noProof/>
            <w:lang w:bidi="es-ES"/>
          </w:rPr>
          <w:t>5</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C3A" w:rsidRDefault="00800C3A">
      <w:pPr>
        <w:spacing w:after="0" w:line="240" w:lineRule="auto"/>
      </w:pPr>
      <w:r>
        <w:separator/>
      </w:r>
    </w:p>
  </w:footnote>
  <w:footnote w:type="continuationSeparator" w:id="0">
    <w:p w:rsidR="00800C3A" w:rsidRDefault="00800C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155DC"/>
    <w:rsid w:val="00093EA8"/>
    <w:rsid w:val="00117503"/>
    <w:rsid w:val="00157E29"/>
    <w:rsid w:val="00194DF6"/>
    <w:rsid w:val="0020127B"/>
    <w:rsid w:val="002B6B3F"/>
    <w:rsid w:val="00361733"/>
    <w:rsid w:val="004E1AED"/>
    <w:rsid w:val="005039B2"/>
    <w:rsid w:val="00540534"/>
    <w:rsid w:val="005A0009"/>
    <w:rsid w:val="005C12A5"/>
    <w:rsid w:val="0065063B"/>
    <w:rsid w:val="00711134"/>
    <w:rsid w:val="007313AD"/>
    <w:rsid w:val="00794D30"/>
    <w:rsid w:val="007F60ED"/>
    <w:rsid w:val="00800C3A"/>
    <w:rsid w:val="00833627"/>
    <w:rsid w:val="00884317"/>
    <w:rsid w:val="00A1310C"/>
    <w:rsid w:val="00BF7549"/>
    <w:rsid w:val="00C17B9A"/>
    <w:rsid w:val="00D47A97"/>
    <w:rsid w:val="00E376CB"/>
    <w:rsid w:val="00EB41B0"/>
    <w:rsid w:val="00EE57AF"/>
    <w:rsid w:val="00EF1081"/>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0A8FD7C-9B97-44AC-9760-D757260B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394</TotalTime>
  <Pages>5</Pages>
  <Words>1486</Words>
  <Characters>8174</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12</cp:revision>
  <dcterms:created xsi:type="dcterms:W3CDTF">2020-08-25T15:31:00Z</dcterms:created>
  <dcterms:modified xsi:type="dcterms:W3CDTF">2020-08-27T20:57:00Z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