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FORMATION PROFESSIONNELLE • RÉFÉRENCE 4-024</w:t>
      </w:r>
    </w:p>
    <w:p>
      <w:pPr>
        <w:pStyle w:val="Title"/>
      </w:pPr>
      <w:r>
        <w:t>Évaluations</w:t>
        <w:br/>
        <w:t>Version participant</w:t>
      </w:r>
    </w:p>
    <w:p>
      <w:pPr>
        <w:pStyle w:val="Subtitle"/>
      </w:pPr>
      <w:r>
        <w:t>Diagnostic, QCM, épreuve pratique et critères de réussite</w:t>
      </w:r>
    </w:p>
    <w:p>
      <w:r>
        <w:t>Intelligence artificielle : Deep Learning par la pratique</w:t>
        <w:br/>
        <w:t>18 heures • 3 jours • Niveau Application (A)</w:t>
        <w:br/>
        <w:t>DGFiP • 21 au 23 septembre 2026 • Asnières-sur-Seine</w:t>
      </w:r>
    </w:p>
    <w:p>
      <w:r>
        <w:drawing>
          <wp:inline xmlns:a="http://schemas.openxmlformats.org/drawingml/2006/main" xmlns:pic="http://schemas.openxmlformats.org/drawingml/2006/picture">
            <wp:extent cx="6192000" cy="3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étadonnée"/>
      </w:pPr>
      <w:r>
        <w:t>[MÉTA-DOSSIER | Langue : français | Référence : 4-024 | Édition de production : 14 septembre 2026]</w:t>
      </w:r>
    </w:p>
    <w:p>
      <w:r>
        <w:t>Auteur et formateur : Martino Bettucci • P2Enjoy</w:t>
        <w:br/>
        <w:t>Les exemples métiers du kit sont synthétiques. Les cas institutionnels sont distingués des simulations pédagogiques. Aucune donnée fiscale personnelle n’est utilisée.</w:t>
      </w:r>
    </w:p>
    <w:p>
      <w:r>
        <w:br w:type="page"/>
      </w:r>
    </w:p>
    <w:p>
      <w:pPr>
        <w:pStyle w:val="Heading1"/>
      </w:pPr>
      <w:r>
        <w:t>Dispositif d’évaluation et preuves</w:t>
      </w:r>
    </w:p>
    <w:p>
      <w:pPr>
        <w:pStyle w:val="Métadonnée"/>
      </w:pPr>
      <w:r>
        <w:t>[MÉTA | Évaluation | Niveau Application | Proposition opérationnelle du kit]</w:t>
      </w:r>
    </w:p>
    <w:p>
      <w:r>
        <w:t>Le diagnostic initial n’est pas noté. Les TP sont évalués par des preuves observables. La proposition de validation suivante est pédagogique et ne remplace pas les règles contractuelles de l’organisme : au moins 7/10 au QCM, au moins 60/100 au projet, identification de trois défauts sur cinq et correction de deux défauts à l’épreuve individuelle. Une fuite de test non corrigée impose une remédiation, même si le score global est élevé.</w:t>
      </w:r>
    </w:p>
    <w:p>
      <w:pPr>
        <w:pStyle w:val="Heading2"/>
      </w:pPr>
      <w:r>
        <w:t>Diagnostic d’entrée</w:t>
      </w:r>
    </w:p>
    <w:p>
      <w:pPr>
        <w:pStyle w:val="Métadonnée"/>
      </w:pPr>
      <w:r>
        <w:t>[MÉTA | J1 | 15 minutes intégrées au conducteur]</w:t>
      </w:r>
    </w:p>
    <w:p>
      <w:r>
        <w:t>Quelle différence entre validation et test ?</w:t>
        <w:br/>
        <w:t>Réponse : __________________________________________________________</w:t>
      </w:r>
    </w:p>
    <w:p>
      <w:r>
        <w:t>Pourquoi normaliser certaines variables ?</w:t>
        <w:br/>
        <w:t>Réponse : __________________________________________________________</w:t>
      </w:r>
    </w:p>
    <w:p>
      <w:r>
        <w:t>Qu’est-ce qu’un paramètre appris ?</w:t>
        <w:br/>
        <w:t>Réponse : __________________________________________________________</w:t>
      </w:r>
    </w:p>
    <w:p>
      <w:r>
        <w:t>Que signifie une exactitude de 95 % ?</w:t>
        <w:br/>
        <w:t>Réponse : __________________________________________________________</w:t>
      </w:r>
    </w:p>
    <w:p>
      <w:r>
        <w:t>À quoi sert le gradient ?</w:t>
        <w:br/>
        <w:t>Réponse : __________________________________________________________</w:t>
      </w:r>
    </w:p>
    <w:p>
      <w:pPr>
        <w:pStyle w:val="Heading2"/>
      </w:pPr>
      <w:r>
        <w:t>QCM final : une réponse par question</w:t>
      </w:r>
    </w:p>
    <w:p>
      <w:pPr>
        <w:pStyle w:val="Métadonnée"/>
      </w:pPr>
      <w:r>
        <w:t>[MÉTA | J3 | 10 minutes | 1 point par réponse correcte]</w:t>
      </w:r>
    </w:p>
    <w:p>
      <w:pPr>
        <w:keepNext/>
        <w:keepLines/>
      </w:pPr>
      <w:r/>
      <w:r>
        <w:rPr>
          <w:b/>
        </w:rPr>
        <w:t>1. Un scaler doit être ajusté…</w:t>
      </w:r>
      <w:r/>
    </w:p>
    <w:p>
      <w:pPr>
        <w:keepNext/>
        <w:keepLines/>
      </w:pPr>
      <w:r>
        <w:t>A. avant toute séparation</w:t>
      </w:r>
    </w:p>
    <w:p>
      <w:pPr>
        <w:keepNext/>
        <w:keepLines/>
      </w:pPr>
      <w:r>
        <w:t>B. sur l’entraînement uniquement</w:t>
      </w:r>
    </w:p>
    <w:p>
      <w:pPr>
        <w:keepNext/>
        <w:keepLines/>
      </w:pPr>
      <w:r>
        <w:t>C. sur entraînement et test</w:t>
      </w:r>
    </w:p>
    <w:p>
      <w:pPr>
        <w:keepNext w:val="0"/>
        <w:keepLines/>
      </w:pPr>
      <w:r>
        <w:t>D. séparément sur chaque partition</w:t>
      </w:r>
    </w:p>
    <w:p>
      <w:pPr>
        <w:keepNext/>
        <w:keepLines/>
      </w:pPr>
      <w:r/>
      <w:r>
        <w:rPr>
          <w:b/>
        </w:rPr>
        <w:t>2. Que réalise loss.backward() ?</w:t>
      </w:r>
      <w:r/>
    </w:p>
    <w:p>
      <w:pPr>
        <w:keepNext/>
        <w:keepLines/>
      </w:pPr>
      <w:r>
        <w:t>A. Il met les poids à jour</w:t>
      </w:r>
    </w:p>
    <w:p>
      <w:pPr>
        <w:keepNext/>
        <w:keepLines/>
      </w:pPr>
      <w:r>
        <w:t>B. Il calcule les gradients</w:t>
      </w:r>
    </w:p>
    <w:p>
      <w:pPr>
        <w:keepNext/>
        <w:keepLines/>
      </w:pPr>
      <w:r>
        <w:t>C. Il choisit le seuil</w:t>
      </w:r>
    </w:p>
    <w:p>
      <w:pPr>
        <w:keepNext w:val="0"/>
        <w:keepLines/>
      </w:pPr>
      <w:r>
        <w:t>D. Il sauvegarde le modèle</w:t>
      </w:r>
    </w:p>
    <w:p>
      <w:pPr>
        <w:keepNext/>
        <w:keepLines/>
      </w:pPr>
      <w:r/>
      <w:r>
        <w:rPr>
          <w:b/>
        </w:rPr>
        <w:t>3. Avec 99,5 % de négatifs, une exactitude de 99,5 %…</w:t>
      </w:r>
      <w:r/>
    </w:p>
    <w:p>
      <w:pPr>
        <w:keepNext/>
        <w:keepLines/>
      </w:pPr>
      <w:r>
        <w:t>A. prouve l’utilité</w:t>
      </w:r>
    </w:p>
    <w:p>
      <w:pPr>
        <w:keepNext/>
        <w:keepLines/>
      </w:pPr>
      <w:r>
        <w:t>B. prouve la calibration</w:t>
      </w:r>
    </w:p>
    <w:p>
      <w:pPr>
        <w:keepNext/>
        <w:keepLines/>
      </w:pPr>
      <w:r>
        <w:t>C. peut être obtenue sans détecter aucun positif</w:t>
      </w:r>
    </w:p>
    <w:p>
      <w:pPr>
        <w:keepNext w:val="0"/>
        <w:keepLines/>
      </w:pPr>
      <w:r>
        <w:t>D. suffit à fixer le seuil</w:t>
      </w:r>
    </w:p>
    <w:p>
      <w:pPr>
        <w:keepNext/>
        <w:keepLines/>
      </w:pPr>
      <w:r/>
      <w:r>
        <w:rPr>
          <w:b/>
        </w:rPr>
        <w:t>4. Train 99 %, validation 71 % : première hypothèse ?</w:t>
      </w:r>
      <w:r/>
    </w:p>
    <w:p>
      <w:pPr>
        <w:keepNext/>
        <w:keepLines/>
      </w:pPr>
      <w:r>
        <w:t>A. Surapprentissage ou décalage à examiner</w:t>
      </w:r>
    </w:p>
    <w:p>
      <w:pPr>
        <w:keepNext/>
        <w:keepLines/>
      </w:pPr>
      <w:r>
        <w:t>B. Conformité garantie</w:t>
      </w:r>
    </w:p>
    <w:p>
      <w:pPr>
        <w:keepNext/>
        <w:keepLines/>
      </w:pPr>
      <w:r>
        <w:t>C. Modèle nécessairement trop petit</w:t>
      </w:r>
    </w:p>
    <w:p>
      <w:pPr>
        <w:keepNext w:val="0"/>
        <w:keepLines/>
      </w:pPr>
      <w:r>
        <w:t>D. Test inutile</w:t>
      </w:r>
    </w:p>
    <w:p>
      <w:pPr>
        <w:keepNext/>
        <w:keepLines/>
      </w:pPr>
      <w:r/>
      <w:r>
        <w:rPr>
          <w:b/>
        </w:rPr>
        <w:t>5. Pour CrossEntropyLoss multiclasse, fournir…</w:t>
      </w:r>
      <w:r/>
    </w:p>
    <w:p>
      <w:pPr>
        <w:keepNext/>
        <w:keepLines/>
      </w:pPr>
      <w:r>
        <w:t>A. des probabilités et des labels réels</w:t>
      </w:r>
    </w:p>
    <w:p>
      <w:pPr>
        <w:keepNext/>
        <w:keepLines/>
      </w:pPr>
      <w:r>
        <w:t>B. des logits et des indices de classe entiers</w:t>
      </w:r>
    </w:p>
    <w:p>
      <w:pPr>
        <w:keepNext/>
        <w:keepLines/>
      </w:pPr>
      <w:r>
        <w:t>C. un booléen par lot</w:t>
      </w:r>
    </w:p>
    <w:p>
      <w:pPr>
        <w:keepNext w:val="0"/>
        <w:keepLines/>
      </w:pPr>
      <w:r>
        <w:t>D. une sortie sigmoïde unique</w:t>
      </w:r>
    </w:p>
    <w:p>
      <w:pPr>
        <w:keepNext/>
        <w:keepLines/>
      </w:pPr>
      <w:r/>
      <w:r>
        <w:rPr>
          <w:b/>
        </w:rPr>
        <w:t>6. L’intérêt central d’un CNN sur image est…</w:t>
      </w:r>
      <w:r/>
    </w:p>
    <w:p>
      <w:pPr>
        <w:keepNext/>
        <w:keepLines/>
      </w:pPr>
      <w:r>
        <w:t>A. d’apprendre sans données</w:t>
      </w:r>
    </w:p>
    <w:p>
      <w:pPr>
        <w:keepNext/>
        <w:keepLines/>
      </w:pPr>
      <w:r>
        <w:t>B. d’exploiter le voisinage spatial avec filtres partagés</w:t>
      </w:r>
    </w:p>
    <w:p>
      <w:pPr>
        <w:keepNext/>
        <w:keepLines/>
      </w:pPr>
      <w:r>
        <w:t>C. de garantir l’équité</w:t>
      </w:r>
    </w:p>
    <w:p>
      <w:pPr>
        <w:keepNext w:val="0"/>
        <w:keepLines/>
      </w:pPr>
      <w:r>
        <w:t>D. d’éviter toute évaluation</w:t>
      </w:r>
    </w:p>
    <w:p>
      <w:pPr>
        <w:keepNext/>
        <w:keepLines/>
      </w:pPr>
      <w:r/>
      <w:r>
        <w:rPr>
          <w:b/>
        </w:rPr>
        <w:t>7. Un LSTM…</w:t>
      </w:r>
      <w:r/>
    </w:p>
    <w:p>
      <w:pPr>
        <w:keepNext/>
        <w:keepLines/>
      </w:pPr>
      <w:r>
        <w:t>A. est toujours supérieur à la persistance</w:t>
      </w:r>
    </w:p>
    <w:p>
      <w:pPr>
        <w:keepNext/>
        <w:keepLines/>
      </w:pPr>
      <w:r>
        <w:t>B. maintient des états et des portes différentiables</w:t>
      </w:r>
    </w:p>
    <w:p>
      <w:pPr>
        <w:keepNext/>
        <w:keepLines/>
      </w:pPr>
      <w:r>
        <w:t>C. supprime toutes les fuites temporelles</w:t>
      </w:r>
    </w:p>
    <w:p>
      <w:pPr>
        <w:keepNext w:val="0"/>
        <w:keepLines/>
      </w:pPr>
      <w:r>
        <w:t>D. garantit la prévision financière</w:t>
      </w:r>
    </w:p>
    <w:p>
      <w:pPr>
        <w:keepNext/>
        <w:keepLines/>
      </w:pPr>
      <w:r/>
      <w:r>
        <w:rPr>
          <w:b/>
        </w:rPr>
        <w:t>8. Le seuil de revue doit être choisi…</w:t>
      </w:r>
      <w:r/>
    </w:p>
    <w:p>
      <w:pPr>
        <w:keepNext/>
        <w:keepLines/>
      </w:pPr>
      <w:r>
        <w:t>A. sur le test après chaque essai</w:t>
      </w:r>
    </w:p>
    <w:p>
      <w:pPr>
        <w:keepNext/>
        <w:keepLines/>
      </w:pPr>
      <w:r>
        <w:t>B. au hasard</w:t>
      </w:r>
    </w:p>
    <w:p>
      <w:pPr>
        <w:keepNext/>
        <w:keepLines/>
      </w:pPr>
      <w:r>
        <w:t>C. sur validation selon coûts et capacité</w:t>
      </w:r>
    </w:p>
    <w:p>
      <w:pPr>
        <w:keepNext w:val="0"/>
        <w:keepLines/>
      </w:pPr>
      <w:r>
        <w:t>D. toujours à 0,5</w:t>
      </w:r>
    </w:p>
    <w:p>
      <w:pPr>
        <w:keepNext/>
        <w:keepLines/>
      </w:pPr>
      <w:r/>
      <w:r>
        <w:rPr>
          <w:b/>
        </w:rPr>
        <w:t>9. Un transfert prudent commence généralement par…</w:t>
      </w:r>
      <w:r/>
    </w:p>
    <w:p>
      <w:pPr>
        <w:keepNext/>
        <w:keepLines/>
      </w:pPr>
      <w:r>
        <w:t>A. tout dégeler avec un taux élevé</w:t>
      </w:r>
    </w:p>
    <w:p>
      <w:pPr>
        <w:keepNext/>
        <w:keepLines/>
      </w:pPr>
      <w:r>
        <w:t>B. geler l’extracteur et entraîner une nouvelle tête</w:t>
      </w:r>
    </w:p>
    <w:p>
      <w:pPr>
        <w:keepNext/>
        <w:keepLines/>
      </w:pPr>
      <w:r>
        <w:t>C. supprimer la validation</w:t>
      </w:r>
    </w:p>
    <w:p>
      <w:pPr>
        <w:keepNext w:val="0"/>
        <w:keepLines/>
      </w:pPr>
      <w:r>
        <w:t>D. réutiliser le test pour entraîner</w:t>
      </w:r>
    </w:p>
    <w:p>
      <w:pPr>
        <w:keepNext/>
        <w:keepLines/>
      </w:pPr>
      <w:r/>
      <w:r>
        <w:rPr>
          <w:b/>
        </w:rPr>
        <w:t>10. Une supervision humaine effective suppose…</w:t>
      </w:r>
      <w:r/>
    </w:p>
    <w:p>
      <w:pPr>
        <w:keepNext/>
        <w:keepLines/>
      </w:pPr>
      <w:r>
        <w:t>A. un simple clic obligatoire</w:t>
      </w:r>
    </w:p>
    <w:p>
      <w:pPr>
        <w:keepNext/>
        <w:keepLines/>
      </w:pPr>
      <w:r>
        <w:t>B. que le score décide seul</w:t>
      </w:r>
    </w:p>
    <w:p>
      <w:pPr>
        <w:keepNext/>
        <w:keepLines/>
      </w:pPr>
      <w:r>
        <w:t>C. l’accès aux éléments utiles et le pouvoir de contester</w:t>
      </w:r>
    </w:p>
    <w:p>
      <w:pPr>
        <w:keepNext w:val="0"/>
        <w:keepLines/>
      </w:pPr>
      <w:r>
        <w:t>D. l’absence de suivi</w:t>
      </w:r>
    </w:p>
    <w:p>
      <w:pPr>
        <w:pStyle w:val="Heading2"/>
      </w:pPr>
      <w:r>
        <w:t>Épreuve pratique individuelle</w:t>
      </w:r>
    </w:p>
    <w:p>
      <w:pPr>
        <w:pStyle w:val="Métadonnée"/>
      </w:pPr>
      <w:r>
        <w:t>[MÉTA | J3 | 20 minutes | Diagnostic et corrections]</w:t>
      </w:r>
    </w:p>
    <w:p>
      <w:r>
        <w:t>À partir du notebook 08, relever cinq défauts : prétraitement avant split ; Dropout actif pendant une évaluation ; sortie/perte ou type de cible incohérents ; exactitude utilisée seule sur une classe rare ; choix répétés après consultation du test. Identifier au moins trois défauts, en corriger deux et expliciter les effets attendus. Le formateur fournit l’extrait défectueux, pas le corrigé.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Preuve</w:t>
            </w:r>
          </w:p>
        </w:tc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Attendu</w:t>
            </w:r>
          </w:p>
        </w:tc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Vérification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Repérage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Au moins 3 défauts sur 5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Annotation du code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Correction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Au moins 2 corrections pertinentes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Cellules exécutées / assertions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Justification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Conséquence sur apprentissage ou évaluation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3 phrases explicites</w:t>
            </w:r>
          </w:p>
        </w:tc>
      </w:tr>
    </w:tbl>
    <w:p/>
    <w:p>
      <w:pPr>
        <w:pStyle w:val="Heading2"/>
      </w:pPr>
      <w:r>
        <w:t>Grille du projet final</w:t>
      </w:r>
    </w:p>
    <w:p>
      <w:pPr>
        <w:pStyle w:val="Métadonnée"/>
      </w:pPr>
      <w:r>
        <w:t>[MÉTA | Équipe | Barème /100 | SAME Application]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Critère</w:t>
            </w:r>
          </w:p>
        </w:tc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Points</w:t>
            </w:r>
          </w:p>
        </w:tc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Preuve attendue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Problème métier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15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Cible, utilisateur, moment de prédiction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Données et séparation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15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Partitions disjointes, preprocessing sur train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Baseline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10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Référence simple pertinente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Architecture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10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Choix cohérent avec les entrées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Protocole expérimental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15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Hypothèse et essai documentés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Métriques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15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Mesure adaptée et seuil justifié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Analyse d’erreurs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10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Trois erreurs ou limites examinées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Risques et recommandation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10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Usage limité, contrôle humain et prochaine étape</w:t>
            </w:r>
          </w:p>
        </w:tc>
      </w:tr>
    </w:tbl>
    <w:p/>
    <w:p>
      <w:r/>
      <w:r>
        <w:rPr>
          <w:b/>
        </w:rPr>
        <w:t>Le score brut du réseau ne rapporte pas de points à lui seul.</w:t>
      </w:r>
      <w:r>
        <w:t xml:space="preserve"> Une équipe concluant de manière fondée à l’insuffisance de son modèle peut réussir l’évaluation.</w:t>
      </w:r>
    </w:p>
    <w:p>
      <w:pPr>
        <w:pStyle w:val="Heading2"/>
      </w:pPr>
      <w:r>
        <w:t>Remédiations</w:t>
      </w:r>
    </w:p>
    <w:p>
      <w:pPr>
        <w:pStyle w:val="Métadonnée"/>
      </w:pPr>
      <w:r>
        <w:t>[MÉTA | Formateur | Ajustement au niveau observé]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Difficulté</w:t>
            </w:r>
          </w:p>
        </w:tc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Intervention</w:t>
            </w:r>
          </w:p>
        </w:tc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Nouvelle preuve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Python ou formes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Cellules guidées et schéma du tenseur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Assertion corrigée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Fuite de données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Reconstituer le moment réel de prédiction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Nouveau split et scaler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Métriques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Revenir à 100 cas avec classe rare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Confusion et charge expliquées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Diagnostic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Limiter à une hypothèse et un test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Journal renseigné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Interprétation excessive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Distinguer observation et recommandation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Conclusion métier bornée</w:t>
            </w:r>
          </w:p>
        </w:tc>
      </w:tr>
    </w:tbl>
    <w:p/>
    <w:p>
      <w:pPr>
        <w:pStyle w:val="Heading2"/>
      </w:pPr>
      <w:r>
        <w:t>Traçabilité objectifs, activités et évaluations</w:t>
      </w:r>
    </w:p>
    <w:p>
      <w:pPr>
        <w:pStyle w:val="Métadonnée"/>
      </w:pPr>
      <w:r>
        <w:t>[MÉTA | Qualité pédagogique | Preuves conservées]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Compétence</w:t>
            </w:r>
          </w:p>
        </w:tc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Activités</w:t>
            </w:r>
          </w:p>
        </w:tc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Preuves / évaluation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Comprendre les réseaux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J1, TP 01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Gradient, formes, QCM 2 et 6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Utiliser les bibliothèques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J1, TP 00 et 02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Imports, entraînement, sauvegarde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Concevoir un CNN et un LSTM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J2, TP 04 et 06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Dimensions, modèles, comparaison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Diagnostiquer et optimiser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J2, TP 05, 07, 08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Journal, corrections, épreuve individuelle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Appliquer à un métier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J3, TP 09 et 10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Fiche de cadrage, projet /100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Documenter les limites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Cas et projet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Fiches modèle/système, soutenance</w:t>
            </w:r>
          </w:p>
        </w:tc>
      </w:tr>
    </w:tbl>
    <w:p/>
    <w:p>
      <w:pPr>
        <w:pStyle w:val="Heading2"/>
      </w:pPr>
      <w:r>
        <w:t>Suivi de réalisation et retour de formation</w:t>
      </w:r>
    </w:p>
    <w:p>
      <w:pPr>
        <w:pStyle w:val="Métadonnée"/>
      </w:pPr>
      <w:r>
        <w:t>[MÉTA | Administration de formation | Modèles à renseigner]</w:t>
      </w:r>
    </w:p>
    <w:p>
      <w:r>
        <w:t>Recueillir les présences par demi-journée, les productions significatives, les résultats d’évaluation et le questionnaire de satisfaction. Le certificat de réalisation atteste la réalisation de l’action ; ne pas le présenter comme une certification professionnelle de maîtrise.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Indicateur</w:t>
            </w:r>
          </w:p>
        </w:tc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Calcul proposé</w:t>
            </w:r>
          </w:p>
        </w:tc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À conserver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Satisfaction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Moyenne des réponses valides sur échelle annoncée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Effectif répondant et distribution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Nombre d’apprenants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Nombre de participants effectivement accueillis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Liste et présences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Abandons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Abandons / inscrits ayant commencé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Motif, date, suivi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Taux de retour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Questionnaires reçus / questionnaires attendus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Dénominateur explicite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Interruptions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Prestations interrompues / prestations commencées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Cause et durée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935" w:left="992" w:header="369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/>
        <w:color w:val="56677F"/>
        <w:sz w:val="16"/>
      </w:rPr>
      <w:t xml:space="preserve">https://p2enjoy.studio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étadonnée"/>
    </w:pPr>
    <w:r>
      <w:t>P2ENJOY   /   FORMATION 4-024   /   DEEP LEARNING PAR LA PRATIQUE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DejaVu Sans" w:hAnsi="DejaVu Sans"/>
      <w:color w:val="0D0D0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23468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3468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2346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60"/>
      <w:contextualSpacing/>
    </w:pPr>
    <w:rPr>
      <w:rFonts w:asciiTheme="majorHAnsi" w:eastAsiaTheme="majorEastAsia" w:hAnsiTheme="majorHAnsi" w:cstheme="majorBidi" w:ascii="DejaVu Sans" w:hAnsi="DejaVu Sans"/>
      <w:b/>
      <w:color w:val="23468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60" w:after="140"/>
    </w:pPr>
    <w:rPr>
      <w:rFonts w:asciiTheme="majorHAnsi" w:eastAsiaTheme="majorEastAsia" w:hAnsiTheme="majorHAnsi" w:cstheme="majorBidi" w:ascii="DejaVu Sans" w:hAnsi="DejaVu Sans"/>
      <w:b/>
      <w:i/>
      <w:iCs/>
      <w:color w:val="23468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269" w:lineRule="auto"/>
      <w:ind w:left="720"/>
      <w:contextualSpacing/>
    </w:pPr>
    <w:rPr>
      <w:rFonts w:ascii="DejaVu Sans" w:hAnsi="DejaVu Sans"/>
      <w:color w:val="0D0D0D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DejaVu Sans" w:hAnsi="DejaVu Sans"/>
      <w:color w:val="0D0D0D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étadonnée">
    <w:name w:val="Métadonnée"/>
    <w:pPr>
      <w:keepNext/>
      <w:spacing w:after="100" w:line="254" w:lineRule="auto"/>
    </w:pPr>
    <w:rPr>
      <w:rFonts w:ascii="DejaVu Sans" w:hAnsi="DejaVu Sans"/>
      <w:color w:val="56677F"/>
      <w:sz w:val="16"/>
    </w:rPr>
  </w:style>
  <w:style w:type="paragraph" w:customStyle="1" w:styleId="Légende">
    <w:name w:val="Légende"/>
    <w:pPr>
      <w:spacing w:after="100" w:line="254" w:lineRule="auto"/>
    </w:pPr>
    <w:rPr>
      <w:rFonts w:ascii="DejaVu Sans" w:hAnsi="DejaVu Sans"/>
      <w:color w:val="56677F"/>
      <w:sz w:val="16"/>
    </w:rPr>
  </w:style>
  <w:style w:type="paragraph" w:customStyle="1" w:styleId="Code">
    <w:name w:val="Code"/>
    <w:pPr>
      <w:spacing w:after="100" w:line="254" w:lineRule="auto"/>
      <w:ind w:left="142"/>
    </w:pPr>
    <w:rPr>
      <w:rFonts w:ascii="DejaVu Sans Mono" w:hAnsi="DejaVu Sans Mono"/>
      <w:color w:val="122441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Évaluations
Version participant</dc:title>
  <dc:subject>Formation DGFiP, 21 au 23 septembre 2026, Asnières-sur-Seine</dc:subject>
  <dc:creator>Martino Bettucci | P2Enjoy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