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38C33"/>
        </w:rPr>
        <w:t>P2ENJOY STUDIO</w:t>
      </w:r>
    </w:p>
    <w:p>
      <w:r>
        <w:rPr>
          <w:b w:val="0"/>
        </w:rPr>
        <w:t>COLLECTION FORMATION  /  LOT 4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/>
          <w:color w:val="23468C"/>
          <w:sz w:val="68"/>
        </w:rPr>
        <w:t>Cahier participant</w:t>
      </w:r>
    </w:p>
    <w:p>
      <w:r>
        <w:rPr>
          <w:b w:val="0"/>
          <w:sz w:val="34"/>
        </w:rPr>
        <w:t>Ateliers, fiches de travail, évaluation et repères</w:t>
      </w:r>
    </w:p>
    <w:p>
      <w:r>
        <w:rPr>
          <w:b w:val="0"/>
          <w:sz w:val="36"/>
        </w:rPr>
        <w:t>Intelligence artificielle appliquée aux systèmes d’information de l’entreprise</w:t>
      </w:r>
    </w:p>
    <w:p>
      <w:r>
        <w:rPr>
          <w:b/>
        </w:rPr>
        <w:t>Référence 4-020 • Niveau SAME : Application (A) • 12 heures sur 2 jours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Périmètre  </w:t>
      </w:r>
      <w:r>
        <w:t>Aucun client ni aucune date de session n’est attribué. Le référentiel fourni est conservé ; les modalités détaillées sont des choix de conception pédagogique.</w:t>
      </w:r>
    </w:p>
    <w:p>
      <w:r>
        <w:rPr>
          <w:b w:val="0"/>
        </w:rPr>
        <w:t>Version de production : 14 septembre 2026. Les exemples Novalia et les jeux de données sont entièrement synthétiques. Les cas externes sont distingués des simulations et documentés dans le corpus de sources.</w:t>
      </w:r>
    </w:p>
    <w:p>
      <w:pPr>
        <w:pStyle w:val="Heading1"/>
      </w:pPr>
      <w:r>
        <w:t>Mode d’emploi et parcours</w:t>
      </w:r>
    </w:p>
    <w:p>
      <w:r>
        <w:rPr>
          <w:b w:val="0"/>
        </w:rPr>
        <w:t>Ce cahier accompagne les deux journées. Les espaces sont destinés à votre production, pas à recopier des définitions. Pour chaque atelier, notez une hypothèse, une preuve et une limite. Les corrigés sont remis séparément dans le guide formateur après l’activité.</w:t>
      </w:r>
    </w:p>
    <w:p>
      <w:r>
        <w:rPr>
          <w:b w:val="0"/>
        </w:rPr>
        <w:t>Nom : ..............................................................    Date de session : ........................................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cantSplit/>
          <w:tblHeader/>
        </w:trPr>
        <w:tc>
          <w:tcPr>
            <w:tcW w:type="dxa" w:w="4904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Jour 1</w:t>
            </w:r>
          </w:p>
        </w:tc>
        <w:tc>
          <w:tcPr>
            <w:tcW w:type="dxa" w:w="4904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Jour 2</w:t>
            </w:r>
          </w:p>
        </w:tc>
      </w:tr>
      <w:tr>
        <w:trPr>
          <w:cantSplit/>
        </w:trPr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  <w:t>A01 à A07 : comprendre, cadrer, valoriser et gouverner</w:t>
            </w:r>
          </w:p>
        </w:tc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  <w:t>A08 à A12 : expérimenter, restituer et intégrer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9"/>
              </w:rPr>
              <w:t>6 heures hors pauses</w:t>
            </w:r>
          </w:p>
        </w:tc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9"/>
              </w:rPr>
              <w:t>6 heures hors pauses</w:t>
            </w:r>
          </w:p>
        </w:tc>
      </w:tr>
    </w:tbl>
    <w:p>
      <w:pPr>
        <w:pStyle w:val="Heading2"/>
      </w:pPr>
      <w:r>
        <w:t>Diagnostic initial individuel</w:t>
      </w:r>
    </w:p>
    <w:p>
      <w:r>
        <w:rPr>
          <w:b/>
        </w:rPr>
        <w:t>Une API est-elle une IA ?</w:t>
      </w:r>
    </w:p>
    <w:p>
      <w:r>
        <w:rPr>
          <w:b w:val="0"/>
        </w:rPr>
        <w:t>Réponse et degré de certitude : 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r>
        <w:rPr>
          <w:b/>
        </w:rPr>
        <w:t>Entraînement et inférence correspondent-ils à la même étape ?</w:t>
      </w:r>
    </w:p>
    <w:p>
      <w:r>
        <w:rPr>
          <w:b w:val="0"/>
        </w:rPr>
        <w:t>Réponse et degré de certitude : 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r>
        <w:rPr>
          <w:b/>
        </w:rPr>
        <w:t>Avec 1 % de fraudes, « tout accepter » peut-il atteindre 99 % d’exactitude ?</w:t>
      </w:r>
    </w:p>
    <w:p>
      <w:r>
        <w:rPr>
          <w:b w:val="0"/>
        </w:rPr>
        <w:t>Réponse et degré de certitude : 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r>
        <w:rPr>
          <w:b/>
        </w:rPr>
        <w:t>Le score le plus performant hors ligne garantit-il une valeur métier ?</w:t>
      </w:r>
    </w:p>
    <w:p>
      <w:r>
        <w:rPr>
          <w:b w:val="0"/>
        </w:rPr>
        <w:t>Réponse et degré de certitude : 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r>
        <w:rPr>
          <w:b/>
        </w:rPr>
        <w:t>Pourquoi une API partenaire requiert-elle davantage qu’une clé secrète ?</w:t>
      </w:r>
    </w:p>
    <w:p>
      <w:r>
        <w:rPr>
          <w:b w:val="0"/>
        </w:rPr>
        <w:t>Réponse et degré de certitude : 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pPr>
        <w:pStyle w:val="Heading1"/>
      </w:pPr>
      <w:r>
        <w:t>A01 | Classer huit situations métier</w:t>
      </w:r>
    </w:p>
    <w:p>
      <w:pPr>
        <w:spacing w:after="160"/>
      </w:pPr>
      <w:r>
        <w:rPr>
          <w:b w:val="0"/>
          <w:color w:val="238C33"/>
          <w:sz w:val="16"/>
        </w:rPr>
        <w:t>[Durée : 30 min] [Livrable : production argumentée]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Critère de réussite  </w:t>
      </w:r>
      <w:r>
        <w:t>Une proposition de famille de traitement est justifiée par la question, la cible et l’usage.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Finance  </w:t>
      </w:r>
      <w:r>
        <w:t>Repérer un paiement suspect.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Support  </w:t>
      </w:r>
      <w:r>
        <w:t>Affecter un ticket à la bonne équipe.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Marketing  </w:t>
      </w:r>
      <w:r>
        <w:t>Anticiper un départ dans trente jours.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Commerce  </w:t>
      </w:r>
      <w:r>
        <w:t>Proposer trois articles pertinents.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Opérations  </w:t>
      </w:r>
      <w:r>
        <w:t>Prévoir la quantité vendue demain.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IT  </w:t>
      </w:r>
      <w:r>
        <w:t>Repérer un comportement inhabituel dans les journaux.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RH  </w:t>
      </w:r>
      <w:r>
        <w:t>Classer des documents de formation, sans sélectionner des candidats.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Achats  </w:t>
      </w:r>
      <w:r>
        <w:t>Alerter lorsque le montant dépasse un seuil contractuel explicite.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/>
        </w:trPr>
        <w:tc>
          <w:tcPr>
            <w:tcW w:type="dxa" w:w="3269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Cas</w:t>
            </w:r>
          </w:p>
        </w:tc>
        <w:tc>
          <w:tcPr>
            <w:tcW w:type="dxa" w:w="3269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Famille et sortie</w:t>
            </w:r>
          </w:p>
        </w:tc>
        <w:tc>
          <w:tcPr>
            <w:tcW w:type="dxa" w:w="3269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Donnée / décision</w:t>
            </w:r>
          </w:p>
        </w:tc>
      </w:tr>
      <w:tr>
        <w:trPr>
          <w:cantSplit/>
          <w:trHeight w:val="522"/>
        </w:trPr>
        <w:tc>
          <w:tcPr>
            <w:tcW w:type="dxa" w:w="3269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  <w:t>Finance</w:t>
            </w:r>
          </w:p>
        </w:tc>
        <w:tc>
          <w:tcPr>
            <w:tcW w:type="dxa" w:w="3269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3269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3269"/>
          </w:tcPr>
          <w:p>
            <w:pPr>
              <w:spacing w:after="100" w:before="100"/>
            </w:pPr>
            <w:r>
              <w:rPr>
                <w:sz w:val="19"/>
              </w:rPr>
              <w:t>Support</w:t>
            </w:r>
          </w:p>
        </w:tc>
        <w:tc>
          <w:tcPr>
            <w:tcW w:type="dxa" w:w="3269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3269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3269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  <w:t>Marketing</w:t>
            </w:r>
          </w:p>
        </w:tc>
        <w:tc>
          <w:tcPr>
            <w:tcW w:type="dxa" w:w="3269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3269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3269"/>
          </w:tcPr>
          <w:p>
            <w:pPr>
              <w:spacing w:after="100" w:before="100"/>
            </w:pPr>
            <w:r>
              <w:rPr>
                <w:sz w:val="19"/>
              </w:rPr>
              <w:t>Commerce</w:t>
            </w:r>
          </w:p>
        </w:tc>
        <w:tc>
          <w:tcPr>
            <w:tcW w:type="dxa" w:w="3269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3269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3269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  <w:t>Opérations</w:t>
            </w:r>
          </w:p>
        </w:tc>
        <w:tc>
          <w:tcPr>
            <w:tcW w:type="dxa" w:w="3269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3269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3269"/>
          </w:tcPr>
          <w:p>
            <w:pPr>
              <w:spacing w:after="100" w:before="100"/>
            </w:pPr>
            <w:r>
              <w:rPr>
                <w:sz w:val="19"/>
              </w:rPr>
              <w:t>IT</w:t>
            </w:r>
          </w:p>
        </w:tc>
        <w:tc>
          <w:tcPr>
            <w:tcW w:type="dxa" w:w="3269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3269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3269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  <w:t>RH</w:t>
            </w:r>
          </w:p>
        </w:tc>
        <w:tc>
          <w:tcPr>
            <w:tcW w:type="dxa" w:w="3269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3269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3269"/>
          </w:tcPr>
          <w:p>
            <w:pPr>
              <w:spacing w:after="100" w:before="100"/>
            </w:pPr>
            <w:r>
              <w:rPr>
                <w:sz w:val="19"/>
              </w:rPr>
              <w:t>Achats</w:t>
            </w:r>
          </w:p>
        </w:tc>
        <w:tc>
          <w:tcPr>
            <w:tcW w:type="dxa" w:w="3269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3269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</w:tbl>
    <w:p>
      <w:r>
        <w:rPr>
          <w:b w:val="0"/>
        </w:rPr>
        <w:t>Hypothèse décisive : ....................................................................................................................</w:t>
      </w:r>
    </w:p>
    <w:p>
      <w:r>
        <w:rPr>
          <w:b w:val="0"/>
        </w:rPr>
        <w:t>Preuve ou test d’acceptation : ........................................................................................................</w:t>
      </w:r>
    </w:p>
    <w:p>
      <w:r>
        <w:rPr>
          <w:b w:val="0"/>
        </w:rPr>
        <w:t>Limite à ne pas masquer : .............................................................................................................</w:t>
      </w:r>
    </w:p>
    <w:p>
      <w:pPr>
        <w:pStyle w:val="Heading1"/>
      </w:pPr>
      <w:r>
        <w:t>A02 | Cartographier la chaîne de décision Novalia</w:t>
      </w:r>
    </w:p>
    <w:p>
      <w:pPr>
        <w:spacing w:after="160"/>
      </w:pPr>
      <w:r>
        <w:rPr>
          <w:b w:val="0"/>
          <w:color w:val="238C33"/>
          <w:sz w:val="16"/>
        </w:rPr>
        <w:t>[Durée : 30 min] [Livrable : production argumentée]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Critère de réussite  </w:t>
      </w:r>
      <w:r>
        <w:t>Un autre groupe peut suivre un dossier de sa source à la mesure du résultat.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Contexte  </w:t>
      </w:r>
      <w:r>
        <w:t>Novalia dispose d’un CRM, d’un ERP, d’un ticketing, d’un site marchand et d’un entrepôt analytique.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Mission  </w:t>
      </w:r>
      <w:r>
        <w:t>Choisir une décision répétitive et dessiner la chaîne de bout en bout.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Contraintes  </w:t>
      </w:r>
      <w:r>
        <w:t>Chaque flèche porte le type de donnée, la fréquence et le destinataire. Ne pas supposer qu’un score déclenche seul une décision.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cantSplit/>
          <w:tblHeader/>
        </w:trPr>
        <w:tc>
          <w:tcPr>
            <w:tcW w:type="dxa" w:w="196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Source et donnée</w:t>
            </w:r>
          </w:p>
        </w:tc>
        <w:tc>
          <w:tcPr>
            <w:tcW w:type="dxa" w:w="196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Préparation</w:t>
            </w:r>
          </w:p>
        </w:tc>
        <w:tc>
          <w:tcPr>
            <w:tcW w:type="dxa" w:w="196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Score ou résultat</w:t>
            </w:r>
          </w:p>
        </w:tc>
        <w:tc>
          <w:tcPr>
            <w:tcW w:type="dxa" w:w="196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Règle et action</w:t>
            </w:r>
          </w:p>
        </w:tc>
        <w:tc>
          <w:tcPr>
            <w:tcW w:type="dxa" w:w="196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Indicateur métier</w:t>
            </w:r>
          </w:p>
        </w:tc>
      </w:tr>
      <w:tr>
        <w:trPr>
          <w:cantSplit/>
          <w:trHeight w:val="522"/>
        </w:trPr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</w:tbl>
    <w:p>
      <w:r>
        <w:rPr>
          <w:b w:val="0"/>
        </w:rPr>
        <w:t>Hypothèse décisive : ....................................................................................................................</w:t>
      </w:r>
    </w:p>
    <w:p>
      <w:r>
        <w:rPr>
          <w:b w:val="0"/>
        </w:rPr>
        <w:t>Preuve ou test d’acceptation : ........................................................................................................</w:t>
      </w:r>
    </w:p>
    <w:p>
      <w:r>
        <w:rPr>
          <w:b w:val="0"/>
        </w:rPr>
        <w:t>Limite à ne pas masquer : .............................................................................................................</w:t>
      </w:r>
    </w:p>
    <w:p>
      <w:r>
        <w:br w:type="page"/>
      </w:r>
    </w:p>
    <w:p>
      <w:pPr>
        <w:pStyle w:val="Heading2"/>
      </w:pPr>
      <w:r>
        <w:t>Zone de schéma</w:t>
      </w:r>
    </w:p>
    <w:p>
      <w:r>
        <w:rPr>
          <w:b/>
        </w:rPr>
        <w:t>Données entrantes → préparation → modèle ou traitement → application → action → mesure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  <w:tblHeader/>
        </w:trPr>
        <w:tc>
          <w:tcPr>
            <w:tcW w:type="dxa" w:w="9808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Dessinez les composants, puis annotez les flèches.</w:t>
            </w:r>
          </w:p>
        </w:tc>
      </w:tr>
      <w:tr>
        <w:trPr>
          <w:cantSplit/>
        </w:trPr>
        <w:tc>
          <w:tcPr>
            <w:tcW w:type="dxa" w:w="9808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>
      <w:pPr>
        <w:pStyle w:val="Heading1"/>
      </w:pPr>
      <w:r>
        <w:t>A03 | Comparer Netflix et Google Play</w:t>
      </w:r>
    </w:p>
    <w:p>
      <w:pPr>
        <w:spacing w:after="160"/>
      </w:pPr>
      <w:r>
        <w:rPr>
          <w:b w:val="0"/>
          <w:color w:val="238C33"/>
          <w:sz w:val="16"/>
        </w:rPr>
        <w:t>[Durée : 30 min] [Livrable : production argumentée]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Critère de réussite  </w:t>
      </w:r>
      <w:r>
        <w:t>L’analyse distingue le modèle, le système de recommandation et la preuve d’impact.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Netflix  </w:t>
      </w:r>
      <w:r>
        <w:t>L’article de Gomez-Uribe et Hunt (2015) décrit plusieurs algorithmes articulés à la présentation du catalogue et à l’expérimentation. [S07]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Google Play  </w:t>
      </w:r>
      <w:r>
        <w:t>Cheng et ses coauteurs (2016) combinent une voie large et une voie profonde pour mémoriser certaines associations et généraliser à de nouvelles combinaisons. [S08]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Travail  </w:t>
      </w:r>
      <w:r>
        <w:t>Repérer les données, le mécanisme, l’interface, les indicateurs et une limite de transfert.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cantSplit/>
          <w:tblHeader/>
        </w:trPr>
        <w:tc>
          <w:tcPr>
            <w:tcW w:type="dxa" w:w="196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Cas</w:t>
            </w:r>
          </w:p>
        </w:tc>
        <w:tc>
          <w:tcPr>
            <w:tcW w:type="dxa" w:w="196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Données</w:t>
            </w:r>
          </w:p>
        </w:tc>
        <w:tc>
          <w:tcPr>
            <w:tcW w:type="dxa" w:w="196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Mécanisme</w:t>
            </w:r>
          </w:p>
        </w:tc>
        <w:tc>
          <w:tcPr>
            <w:tcW w:type="dxa" w:w="196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Mesure de valeur</w:t>
            </w:r>
          </w:p>
        </w:tc>
        <w:tc>
          <w:tcPr>
            <w:tcW w:type="dxa" w:w="196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Limite</w:t>
            </w:r>
          </w:p>
        </w:tc>
      </w:tr>
      <w:tr>
        <w:trPr>
          <w:cantSplit/>
          <w:trHeight w:val="522"/>
        </w:trPr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</w:tbl>
    <w:p>
      <w:r>
        <w:rPr>
          <w:b w:val="0"/>
        </w:rPr>
        <w:t>Hypothèse décisive : ....................................................................................................................</w:t>
      </w:r>
    </w:p>
    <w:p>
      <w:r>
        <w:rPr>
          <w:b w:val="0"/>
        </w:rPr>
        <w:t>Preuve ou test d’acceptation : ........................................................................................................</w:t>
      </w:r>
    </w:p>
    <w:p>
      <w:r>
        <w:rPr>
          <w:b w:val="0"/>
        </w:rPr>
        <w:t>Limite à ne pas masquer : .............................................................................................................</w:t>
      </w:r>
    </w:p>
    <w:p>
      <w:pPr>
        <w:pStyle w:val="Heading1"/>
      </w:pPr>
      <w:r>
        <w:t>A04 | Arbitrer les erreurs de fraude</w:t>
      </w:r>
    </w:p>
    <w:p>
      <w:pPr>
        <w:spacing w:after="160"/>
      </w:pPr>
      <w:r>
        <w:rPr>
          <w:b w:val="0"/>
          <w:color w:val="238C33"/>
          <w:sz w:val="16"/>
        </w:rPr>
        <w:t>[Durée : 30 min] [Livrable : production argumentée]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Critère de réussite  </w:t>
      </w:r>
      <w:r>
        <w:t>Le choix est étayé par le calcul et la capacité opérationnelle, pas par l’exactitude seule.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Population  </w:t>
      </w:r>
      <w:r>
        <w:t>10 000 paiements fictifs, dont 100 fraudes.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Politique A  </w:t>
      </w:r>
      <w:r>
        <w:t>80 fraudes détectées, 20 manquées, 400 paiements légitimes signalés.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Politique B  </w:t>
      </w:r>
      <w:r>
        <w:t>65 fraudes détectées, 35 manquées, 100 paiements légitimes signalés.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Hypothèses  </w:t>
      </w:r>
      <w:r>
        <w:t>Une fraude manquée coûte 100 €. Une fausse alerte coûte 5 €. Les autres coûts sont supposés identiques.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cantSplit/>
          <w:tblHeader/>
        </w:trPr>
        <w:tc>
          <w:tcPr>
            <w:tcW w:type="dxa" w:w="196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Politique</w:t>
            </w:r>
          </w:p>
        </w:tc>
        <w:tc>
          <w:tcPr>
            <w:tcW w:type="dxa" w:w="196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Précision</w:t>
            </w:r>
          </w:p>
        </w:tc>
        <w:tc>
          <w:tcPr>
            <w:tcW w:type="dxa" w:w="196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Rappel</w:t>
            </w:r>
          </w:p>
        </w:tc>
        <w:tc>
          <w:tcPr>
            <w:tcW w:type="dxa" w:w="196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Coût total</w:t>
            </w:r>
          </w:p>
        </w:tc>
        <w:tc>
          <w:tcPr>
            <w:tcW w:type="dxa" w:w="196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Charge de revue</w:t>
            </w:r>
          </w:p>
        </w:tc>
      </w:tr>
      <w:tr>
        <w:trPr>
          <w:cantSplit/>
          <w:trHeight w:val="522"/>
        </w:trPr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  <w:t>Politique A</w:t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  <w:t>Politique B</w:t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</w:tbl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Deuxième tour  </w:t>
      </w:r>
      <w:r>
        <w:t>Recalculer avec une fausse alerte à 10 €. La préférence change-t-elle ? Quelle charge votre équipe peut-elle traiter ?</w:t>
      </w:r>
    </w:p>
    <w:p>
      <w:r>
        <w:rPr>
          <w:b w:val="0"/>
        </w:rPr>
        <w:t>Hypothèse décisive : ....................................................................................................................</w:t>
      </w:r>
    </w:p>
    <w:p>
      <w:r>
        <w:rPr>
          <w:b w:val="0"/>
        </w:rPr>
        <w:t>Preuve ou test d’acceptation : ........................................................................................................</w:t>
      </w:r>
    </w:p>
    <w:p>
      <w:r>
        <w:rPr>
          <w:b w:val="0"/>
        </w:rPr>
        <w:t>Limite à ne pas masquer : .............................................................................................................</w:t>
      </w:r>
    </w:p>
    <w:p>
      <w:pPr>
        <w:pStyle w:val="Heading1"/>
      </w:pPr>
      <w:r>
        <w:t>A05 | Rédiger le canevas de valeur des données</w:t>
      </w:r>
    </w:p>
    <w:p>
      <w:pPr>
        <w:spacing w:after="160"/>
      </w:pPr>
      <w:r>
        <w:rPr>
          <w:b w:val="0"/>
          <w:color w:val="238C33"/>
          <w:sz w:val="16"/>
        </w:rPr>
        <w:t>[Durée : 30 min] [Livrable : production argumentée]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Critère de réussite  </w:t>
      </w:r>
      <w:r>
        <w:t>La proposition relie problème, action et indicateur métier mesurable.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Mission  </w:t>
      </w:r>
      <w:r>
        <w:t>Choisir un usage Novalia et défendre sa valeur sans promesse de performance non démontrée.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Étapes  </w:t>
      </w:r>
      <w:r>
        <w:t>5 minutes de choix, 15 de rédaction, 10 de contre-expertise.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Question centrale  </w:t>
      </w:r>
      <w:r>
        <w:t>Que fera réellement une personne ou un système avec le résultat 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cantSplit/>
          <w:tblHeader/>
        </w:trPr>
        <w:tc>
          <w:tcPr>
            <w:tcW w:type="dxa" w:w="4904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8"/>
              </w:rPr>
              <w:t>Élément à préciser</w:t>
            </w:r>
          </w:p>
        </w:tc>
        <w:tc>
          <w:tcPr>
            <w:tcW w:type="dxa" w:w="4904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8"/>
              </w:rPr>
              <w:t>Votre réponse</w:t>
            </w:r>
          </w:p>
        </w:tc>
      </w:tr>
      <w:tr>
        <w:trPr>
          <w:cantSplit/>
          <w:trHeight w:val="522"/>
        </w:trPr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8"/>
              </w:rPr>
              <w:t>Problème</w:t>
            </w:r>
          </w:p>
        </w:tc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8"/>
              </w:rPr>
              <w:t>Utilisateur</w:t>
            </w:r>
          </w:p>
        </w:tc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8"/>
              </w:rPr>
              <w:t>Action</w:t>
            </w:r>
          </w:p>
        </w:tc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8"/>
              </w:rPr>
              <w:t>Données</w:t>
            </w:r>
          </w:p>
        </w:tc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8"/>
              </w:rPr>
              <w:t>Famille de traitement</w:t>
            </w:r>
          </w:p>
        </w:tc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8"/>
              </w:rPr>
              <w:t>Métrique modèle</w:t>
            </w:r>
          </w:p>
        </w:tc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8"/>
              </w:rPr>
              <w:t>KPI métier</w:t>
            </w:r>
          </w:p>
        </w:tc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8"/>
              </w:rPr>
              <w:t>Risques</w:t>
            </w:r>
          </w:p>
        </w:tc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8"/>
              </w:rPr>
              <w:t>Responsable</w:t>
            </w:r>
          </w:p>
        </w:tc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8"/>
              </w:rPr>
              <w:t>Intégration</w:t>
            </w:r>
          </w:p>
        </w:tc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</w:tbl>
    <w:p>
      <w:r>
        <w:rPr>
          <w:b w:val="0"/>
        </w:rPr>
        <w:t>Hypothèse décisive : ....................................................................................................................</w:t>
      </w:r>
    </w:p>
    <w:p>
      <w:r>
        <w:rPr>
          <w:b w:val="0"/>
        </w:rPr>
        <w:t>Preuve ou test d’acceptation : ........................................................................................................</w:t>
      </w:r>
    </w:p>
    <w:p>
      <w:r>
        <w:rPr>
          <w:b w:val="0"/>
        </w:rPr>
        <w:t>Limite à ne pas masquer : .............................................................................................................</w:t>
      </w:r>
    </w:p>
    <w:p>
      <w:pPr>
        <w:pStyle w:val="Heading1"/>
      </w:pPr>
      <w:r>
        <w:t>A06 | Auditer la qualité et la disponibilité temporelle</w:t>
      </w:r>
    </w:p>
    <w:p>
      <w:pPr>
        <w:spacing w:after="160"/>
      </w:pPr>
      <w:r>
        <w:rPr>
          <w:b w:val="0"/>
          <w:color w:val="238C33"/>
          <w:sz w:val="16"/>
        </w:rPr>
        <w:t>[Durée : 35 min] [Livrable : production argumentée]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Critère de réussite  </w:t>
      </w:r>
      <w:r>
        <w:t>Les anomalies sont associées à des règles testables et à un propriétaire.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Fichier  </w:t>
      </w:r>
      <w:r>
        <w:t>novalia_audit_qualite.csv, réservé à cet exercice ; ne pas remplacer le fichier propre du TP ML.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Mission  </w:t>
      </w:r>
      <w:r>
        <w:t>Rechercher les défauts, distinguer correction automatique et arbitrage métier.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Vigilance  </w:t>
      </w:r>
      <w:r>
        <w:t>Une excellente prédiction peut cacher une variable disponible après la décision.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cantSplit/>
          <w:tblHeader/>
        </w:trPr>
        <w:tc>
          <w:tcPr>
            <w:tcW w:type="dxa" w:w="196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Anomalie</w:t>
            </w:r>
          </w:p>
        </w:tc>
        <w:tc>
          <w:tcPr>
            <w:tcW w:type="dxa" w:w="196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Règle de détection</w:t>
            </w:r>
          </w:p>
        </w:tc>
        <w:tc>
          <w:tcPr>
            <w:tcW w:type="dxa" w:w="196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Conséquence</w:t>
            </w:r>
          </w:p>
        </w:tc>
        <w:tc>
          <w:tcPr>
            <w:tcW w:type="dxa" w:w="196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Correction</w:t>
            </w:r>
          </w:p>
        </w:tc>
        <w:tc>
          <w:tcPr>
            <w:tcW w:type="dxa" w:w="196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Responsable</w:t>
            </w:r>
          </w:p>
        </w:tc>
      </w:tr>
      <w:tr>
        <w:trPr>
          <w:cantSplit/>
          <w:trHeight w:val="522"/>
        </w:trPr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196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</w:tbl>
    <w:p>
      <w:r>
        <w:rPr>
          <w:b w:val="0"/>
        </w:rPr>
        <w:t>Hypothèse décisive : ....................................................................................................................</w:t>
      </w:r>
    </w:p>
    <w:p>
      <w:r>
        <w:rPr>
          <w:b w:val="0"/>
        </w:rPr>
        <w:t>Preuve ou test d’acceptation : ........................................................................................................</w:t>
      </w:r>
    </w:p>
    <w:p>
      <w:r>
        <w:rPr>
          <w:b w:val="0"/>
        </w:rPr>
        <w:t>Limite à ne pas masquer : .............................................................................................................</w:t>
      </w:r>
    </w:p>
    <w:p>
      <w:pPr>
        <w:pStyle w:val="Heading1"/>
      </w:pPr>
      <w:r>
        <w:t>A07 | Attribuer les responsabilités et traiter les risques</w:t>
      </w:r>
    </w:p>
    <w:p>
      <w:pPr>
        <w:spacing w:after="160"/>
      </w:pPr>
      <w:r>
        <w:rPr>
          <w:b w:val="0"/>
          <w:color w:val="238C33"/>
          <w:sz w:val="16"/>
        </w:rPr>
        <w:t>[Durée : 45 min] [Livrable : production argumentée]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Critère de réussite  </w:t>
      </w:r>
      <w:r>
        <w:t>Chaque arbitrage possède un responsable et une procédure utilisable.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Scénario  </w:t>
      </w:r>
      <w:r>
        <w:t>Novalia calcule chaque nuit un risque de départ et le transmet à l’équipe commerciale.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Livrable  </w:t>
      </w:r>
      <w:r>
        <w:t>RACI, règles de qualité, matrice de risques et procédure d’incident.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À instruire  </w:t>
      </w:r>
      <w:r>
        <w:t>Finalité, accès, conservation, bases juridiques, catégorie éventuelle de système IA : ne pas inventer une validation juridique.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cantSplit/>
          <w:tblHeader/>
        </w:trPr>
        <w:tc>
          <w:tcPr>
            <w:tcW w:type="dxa" w:w="4904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Élément à préciser</w:t>
            </w:r>
          </w:p>
        </w:tc>
        <w:tc>
          <w:tcPr>
            <w:tcW w:type="dxa" w:w="4904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Votre réponse</w:t>
            </w:r>
          </w:p>
        </w:tc>
      </w:tr>
      <w:tr>
        <w:trPr>
          <w:cantSplit/>
          <w:trHeight w:val="522"/>
        </w:trPr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  <w:t>Décision</w:t>
            </w:r>
          </w:p>
        </w:tc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9"/>
              </w:rPr>
              <w:t>A : arbitrage</w:t>
            </w:r>
          </w:p>
        </w:tc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  <w:t>R : réalisation</w:t>
            </w:r>
          </w:p>
        </w:tc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9"/>
              </w:rPr>
              <w:t>C : consultation</w:t>
            </w:r>
          </w:p>
        </w:tc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  <w:t>I : information</w:t>
            </w:r>
          </w:p>
        </w:tc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</w:tbl>
    <w:p>
      <w:r>
        <w:rPr>
          <w:b w:val="0"/>
        </w:rPr>
        <w:t>Hypothèse décisive : ....................................................................................................................</w:t>
      </w:r>
    </w:p>
    <w:p>
      <w:r>
        <w:rPr>
          <w:b w:val="0"/>
        </w:rPr>
        <w:t>Preuve ou test d’acceptation : ........................................................................................................</w:t>
      </w:r>
    </w:p>
    <w:p>
      <w:r>
        <w:rPr>
          <w:b w:val="0"/>
        </w:rPr>
        <w:t>Limite à ne pas masquer : .............................................................................................................</w:t>
      </w:r>
    </w:p>
    <w:p>
      <w:pPr>
        <w:pStyle w:val="Heading1"/>
      </w:pPr>
      <w:r>
        <w:t>A08 | Explorer, entraîner, choisir puis évaluer</w:t>
      </w:r>
    </w:p>
    <w:p>
      <w:pPr>
        <w:spacing w:after="160"/>
      </w:pPr>
      <w:r>
        <w:rPr>
          <w:b w:val="0"/>
          <w:color w:val="238C33"/>
          <w:sz w:val="16"/>
        </w:rPr>
        <w:t>[Durée : 75 min] [Livrable : production argumentée]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Critère de réussite  </w:t>
      </w:r>
      <w:r>
        <w:t>Les décisions de modèle et de seuil sont prises sans exploiter le test final.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Fichiers  </w:t>
      </w:r>
      <w:r>
        <w:t>01_Atelier_Novalia_participant.ipynb et novalia_clients.csv.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Phase A, 40 min  </w:t>
      </w:r>
      <w:r>
        <w:t>Explorer, identifier la cible, séparer entraînement/validation/test, ajuster une référence puis deux modèles.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Phase B, 35 min  </w:t>
      </w:r>
      <w:r>
        <w:t>Comparer sur validation, arrêter modèle et politique, ouvrir le test, expliquer erreurs et limites.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Variante sans code  </w:t>
      </w:r>
      <w:r>
        <w:t>Analyser le notebook corrigé exécuté et les CSV de résultats, en masquant d’abord les réponses.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/>
        </w:trPr>
        <w:tc>
          <w:tcPr>
            <w:tcW w:type="dxa" w:w="245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Étape</w:t>
            </w:r>
          </w:p>
        </w:tc>
        <w:tc>
          <w:tcPr>
            <w:tcW w:type="dxa" w:w="245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Choix retenu</w:t>
            </w:r>
          </w:p>
        </w:tc>
        <w:tc>
          <w:tcPr>
            <w:tcW w:type="dxa" w:w="245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Preuve ou calcul</w:t>
            </w:r>
          </w:p>
        </w:tc>
        <w:tc>
          <w:tcPr>
            <w:tcW w:type="dxa" w:w="245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Limite</w:t>
            </w:r>
          </w:p>
        </w:tc>
      </w:tr>
      <w:tr>
        <w:trPr>
          <w:cantSplit/>
          <w:trHeight w:val="522"/>
        </w:trPr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245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245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245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</w:tbl>
    <w:p>
      <w:r>
        <w:rPr>
          <w:b w:val="0"/>
        </w:rPr>
        <w:t>Hypothèse décisive : ....................................................................................................................</w:t>
      </w:r>
    </w:p>
    <w:p>
      <w:r>
        <w:rPr>
          <w:b w:val="0"/>
        </w:rPr>
        <w:t>Preuve ou test d’acceptation : ........................................................................................................</w:t>
      </w:r>
    </w:p>
    <w:p>
      <w:r>
        <w:rPr>
          <w:b w:val="0"/>
        </w:rPr>
        <w:t>Limite à ne pas masquer : .............................................................................................................</w:t>
      </w:r>
    </w:p>
    <w:p>
      <w:r>
        <w:br w:type="page"/>
      </w:r>
    </w:p>
    <w:p>
      <w:pPr>
        <w:pStyle w:val="Heading2"/>
      </w:pPr>
      <w:r>
        <w:t>Arrêter le choix avant le test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cantSplit/>
          <w:tblHeader/>
        </w:trPr>
        <w:tc>
          <w:tcPr>
            <w:tcW w:type="dxa" w:w="4904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Décision à figer</w:t>
            </w:r>
          </w:p>
        </w:tc>
        <w:tc>
          <w:tcPr>
            <w:tcW w:type="dxa" w:w="4904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Votre réponse</w:t>
            </w:r>
          </w:p>
        </w:tc>
      </w:tr>
      <w:tr>
        <w:trPr>
          <w:cantSplit/>
          <w:trHeight w:val="522"/>
        </w:trPr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  <w:t>Modèle retenu</w:t>
            </w:r>
          </w:p>
        </w:tc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9"/>
              </w:rPr>
              <w:t>Critère sur validation</w:t>
            </w:r>
          </w:p>
        </w:tc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  <w:t>Seuil ou quota</w:t>
            </w:r>
          </w:p>
        </w:tc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9"/>
              </w:rPr>
              <w:t>Capacité maximale</w:t>
            </w:r>
          </w:p>
        </w:tc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  <w:t>Coût des erreurs</w:t>
            </w:r>
          </w:p>
        </w:tc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9"/>
              </w:rPr>
              <w:t>Motif du choix</w:t>
            </w:r>
          </w:p>
        </w:tc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</w:tbl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Une fois le test ouvert  </w:t>
      </w:r>
      <w:r>
        <w:t>Rapporter le résultat, les erreurs et les limites. Modifier le seuil pour réussir le test transforme ce test en nouvelle validation ; une évaluation indépendante devient nécessaire.</w:t>
      </w:r>
    </w:p>
    <w:p>
      <w:pPr>
        <w:pStyle w:val="Heading1"/>
      </w:pPr>
      <w:r>
        <w:t>A09 | Construire une vue de décision Power BI</w:t>
      </w:r>
    </w:p>
    <w:p>
      <w:pPr>
        <w:spacing w:after="160"/>
      </w:pPr>
      <w:r>
        <w:rPr>
          <w:b w:val="0"/>
          <w:color w:val="238C33"/>
          <w:sz w:val="16"/>
        </w:rPr>
        <w:t>[Durée : 35 min] [Livrable : production argumentée]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Critère de réussite  </w:t>
      </w:r>
      <w:r>
        <w:t>La vue est correctement étiquetée et permet de décider sans masquer les limites.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Entrée  </w:t>
      </w:r>
      <w:r>
        <w:t>predictions_powerbi.csv, cohorte indépendante de 1 000 clients synthétiques.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Production  </w:t>
      </w:r>
      <w:r>
        <w:t>Indicateurs de population, alertes, part d’alertes et montant mensuel associé ; distribution des scores, comparaison des contrats, tableau de synthèse.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Traçabilité  </w:t>
      </w:r>
      <w:r>
        <w:t>Afficher périmètre, date, version de modèle et seuil ; distinguer exposition comptable et perte attendue.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Variante  </w:t>
      </w:r>
      <w:r>
        <w:t>Un classeur tabulaire ou la maquette du support suffit pour discuter la décision si Power BI Desktop est indisponible.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/>
        </w:trPr>
        <w:tc>
          <w:tcPr>
            <w:tcW w:type="dxa" w:w="245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Vue</w:t>
            </w:r>
          </w:p>
        </w:tc>
        <w:tc>
          <w:tcPr>
            <w:tcW w:type="dxa" w:w="245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Question métier</w:t>
            </w:r>
          </w:p>
        </w:tc>
        <w:tc>
          <w:tcPr>
            <w:tcW w:type="dxa" w:w="245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Champ ou calcul</w:t>
            </w:r>
          </w:p>
        </w:tc>
        <w:tc>
          <w:tcPr>
            <w:tcW w:type="dxa" w:w="245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Précaution d’interprétation</w:t>
            </w:r>
          </w:p>
        </w:tc>
      </w:tr>
      <w:tr>
        <w:trPr>
          <w:cantSplit/>
          <w:trHeight w:val="522"/>
        </w:trPr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245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245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</w:tbl>
    <w:p>
      <w:r>
        <w:rPr>
          <w:b w:val="0"/>
        </w:rPr>
        <w:t>Hypothèse décisive : ....................................................................................................................</w:t>
      </w:r>
    </w:p>
    <w:p>
      <w:r>
        <w:rPr>
          <w:b w:val="0"/>
        </w:rPr>
        <w:t>Preuve ou test d’acceptation : ........................................................................................................</w:t>
      </w:r>
    </w:p>
    <w:p>
      <w:r>
        <w:rPr>
          <w:b w:val="0"/>
        </w:rPr>
        <w:t>Limite à ne pas masquer : .............................................................................................................</w:t>
      </w:r>
    </w:p>
    <w:p>
      <w:pPr>
        <w:pStyle w:val="Heading1"/>
      </w:pPr>
      <w:r>
        <w:t>A10 | Concevoir les flux entrants et sortants</w:t>
      </w:r>
    </w:p>
    <w:p>
      <w:pPr>
        <w:spacing w:after="160"/>
      </w:pPr>
      <w:r>
        <w:rPr>
          <w:b w:val="0"/>
          <w:color w:val="238C33"/>
          <w:sz w:val="16"/>
        </w:rPr>
        <w:t>[Durée : 45 min] [Livrable : production argumentée]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Critère de réussite  </w:t>
      </w:r>
      <w:r>
        <w:t>L’architecture justifie chaque échange, sa fréquence et ses contrôles.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Besoin  </w:t>
      </w:r>
      <w:r>
        <w:t>Mieux prévoir la demande et les livraisons.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Entrées  </w:t>
      </w:r>
      <w:r>
        <w:t>Commandes, stocks, météo, transporteurs ; retenir seulement les données utiles et disponibles.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Sorties  </w:t>
      </w:r>
      <w:r>
        <w:t>Prévisions agrégées vers des fournisseurs autorisés.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Production  </w:t>
      </w:r>
      <w:r>
        <w:t>Architecture, latence attendue, propriétaires, gestion des secrets et mode dégradé.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cantSplit/>
          <w:tblHeader/>
        </w:trPr>
        <w:tc>
          <w:tcPr>
            <w:tcW w:type="dxa" w:w="4904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Élément à préciser</w:t>
            </w:r>
          </w:p>
        </w:tc>
        <w:tc>
          <w:tcPr>
            <w:tcW w:type="dxa" w:w="4904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Votre réponse</w:t>
            </w:r>
          </w:p>
        </w:tc>
      </w:tr>
      <w:tr>
        <w:trPr>
          <w:cantSplit/>
          <w:trHeight w:val="522"/>
        </w:trPr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  <w:t>Flux</w:t>
            </w:r>
          </w:p>
        </w:tc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9"/>
              </w:rPr>
              <w:t>Donnée et finalité</w:t>
            </w:r>
          </w:p>
        </w:tc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  <w:t>Mode / fréquence</w:t>
            </w:r>
          </w:p>
        </w:tc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9"/>
              </w:rPr>
              <w:t>Contrôles</w:t>
            </w:r>
          </w:p>
        </w:tc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  <w:t>Responsable / repli</w:t>
            </w:r>
          </w:p>
        </w:tc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</w:tbl>
    <w:p>
      <w:r>
        <w:rPr>
          <w:b w:val="0"/>
        </w:rPr>
        <w:t>Hypothèse décisive : ....................................................................................................................</w:t>
      </w:r>
    </w:p>
    <w:p>
      <w:r>
        <w:rPr>
          <w:b w:val="0"/>
        </w:rPr>
        <w:t>Preuve ou test d’acceptation : ........................................................................................................</w:t>
      </w:r>
    </w:p>
    <w:p>
      <w:r>
        <w:rPr>
          <w:b w:val="0"/>
        </w:rPr>
        <w:t>Limite à ne pas masquer : .............................................................................................................</w:t>
      </w:r>
    </w:p>
    <w:p>
      <w:r>
        <w:br w:type="page"/>
      </w:r>
    </w:p>
    <w:p>
      <w:pPr>
        <w:pStyle w:val="Heading2"/>
      </w:pPr>
      <w:r>
        <w:t>Zone de schéma</w:t>
      </w:r>
    </w:p>
    <w:p>
      <w:r>
        <w:rPr>
          <w:b/>
        </w:rPr>
        <w:t>Données entrantes → préparation → modèle ou traitement → application → action → mesure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  <w:tblHeader/>
        </w:trPr>
        <w:tc>
          <w:tcPr>
            <w:tcW w:type="dxa" w:w="9808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Dessinez les composants, puis annotez les flèches.</w:t>
            </w:r>
          </w:p>
        </w:tc>
      </w:tr>
      <w:tr>
        <w:trPr>
          <w:cantSplit/>
        </w:trPr>
        <w:tc>
          <w:tcPr>
            <w:tcW w:type="dxa" w:w="9808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>
      <w:pPr>
        <w:pStyle w:val="Heading1"/>
      </w:pPr>
      <w:r>
        <w:t>A11 | Définir et tester un contrat de données</w:t>
      </w:r>
    </w:p>
    <w:p>
      <w:pPr>
        <w:spacing w:after="160"/>
      </w:pPr>
      <w:r>
        <w:rPr>
          <w:b w:val="0"/>
          <w:color w:val="238C33"/>
          <w:sz w:val="16"/>
        </w:rPr>
        <w:t>[Durée : 35 min] [Livrable : production argumentée]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Critère de réussite  </w:t>
      </w:r>
      <w:r>
        <w:t>Le contrat précise aussi les échecs et la réponse attendue.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Objet  </w:t>
      </w:r>
      <w:r>
        <w:t>Choisir une prévision météo entrante ou une prévision agrégée sortante.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Contenu  </w:t>
      </w:r>
      <w:r>
        <w:t>Schéma, unités, horodatage, versions, finalité, droits, fraîcheur, disponibilité et repli.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Test local  </w:t>
      </w:r>
      <w:r>
        <w:t>03_Simulation_contrat_donnees.ipynb, sans API externe ni secret.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/>
        </w:trPr>
        <w:tc>
          <w:tcPr>
            <w:tcW w:type="dxa" w:w="245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Règle</w:t>
            </w:r>
          </w:p>
        </w:tc>
        <w:tc>
          <w:tcPr>
            <w:tcW w:type="dxa" w:w="245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Entrée de test</w:t>
            </w:r>
          </w:p>
        </w:tc>
        <w:tc>
          <w:tcPr>
            <w:tcW w:type="dxa" w:w="245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Résultat attendu</w:t>
            </w:r>
          </w:p>
        </w:tc>
        <w:tc>
          <w:tcPr>
            <w:tcW w:type="dxa" w:w="2452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Réponse de repli</w:t>
            </w:r>
          </w:p>
        </w:tc>
      </w:tr>
      <w:tr>
        <w:trPr>
          <w:cantSplit/>
          <w:trHeight w:val="522"/>
        </w:trPr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245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245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  <w:tc>
          <w:tcPr>
            <w:tcW w:type="dxa" w:w="2452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</w:tbl>
    <w:p>
      <w:r>
        <w:rPr>
          <w:b w:val="0"/>
        </w:rPr>
        <w:t>Hypothèse décisive : ....................................................................................................................</w:t>
      </w:r>
    </w:p>
    <w:p>
      <w:r>
        <w:rPr>
          <w:b w:val="0"/>
        </w:rPr>
        <w:t>Preuve ou test d’acceptation : ........................................................................................................</w:t>
      </w:r>
    </w:p>
    <w:p>
      <w:r>
        <w:rPr>
          <w:b w:val="0"/>
        </w:rPr>
        <w:t>Limite à ne pas masquer : .............................................................................................................</w:t>
      </w:r>
    </w:p>
    <w:p>
      <w:pPr>
        <w:pStyle w:val="Heading1"/>
      </w:pPr>
      <w:r>
        <w:t>A12 | Réagir à un incident sur le SI ouvert</w:t>
      </w:r>
    </w:p>
    <w:p>
      <w:pPr>
        <w:spacing w:after="160"/>
      </w:pPr>
      <w:r>
        <w:rPr>
          <w:b w:val="0"/>
          <w:color w:val="238C33"/>
          <w:sz w:val="16"/>
        </w:rPr>
        <w:t>[Durée : 30 min] [Livrable : production argumentée]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Critère de réussite  </w:t>
      </w:r>
      <w:r>
        <w:t>La réponse précise impact, détection, repli, responsable et reprise.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Déclencheur  </w:t>
      </w:r>
      <w:r>
        <w:t>Tirer une carte incident ; conserver le cadre défensif et simulé.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Méthode  </w:t>
      </w:r>
      <w:r>
        <w:t>5 minutes de lecture, 10 d’analyse, 10 de contradiction, 5 de documentation.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Livrable  </w:t>
      </w:r>
      <w:r>
        <w:t>Une procédure courte qu’un opérateur peut appliquer sans deviner.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cantSplit/>
          <w:tblHeader/>
        </w:trPr>
        <w:tc>
          <w:tcPr>
            <w:tcW w:type="dxa" w:w="4904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Élément à préciser</w:t>
            </w:r>
          </w:p>
        </w:tc>
        <w:tc>
          <w:tcPr>
            <w:tcW w:type="dxa" w:w="4904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Votre réponse</w:t>
            </w:r>
          </w:p>
        </w:tc>
      </w:tr>
      <w:tr>
        <w:trPr>
          <w:cantSplit/>
          <w:trHeight w:val="522"/>
        </w:trPr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  <w:t>Impact</w:t>
            </w:r>
          </w:p>
        </w:tc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9"/>
              </w:rPr>
              <w:t>Signal de détection</w:t>
            </w:r>
          </w:p>
        </w:tc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  <w:t>Mesure immédiate</w:t>
            </w:r>
          </w:p>
        </w:tc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9"/>
              </w:rPr>
              <w:t>Responsable</w:t>
            </w:r>
          </w:p>
        </w:tc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  <w:t>Critère de reprise</w:t>
            </w:r>
          </w:p>
        </w:tc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9"/>
              </w:rPr>
            </w:r>
          </w:p>
        </w:tc>
      </w:tr>
    </w:tbl>
    <w:p>
      <w:r>
        <w:rPr>
          <w:b w:val="0"/>
        </w:rPr>
        <w:t>Hypothèse décisive : ....................................................................................................................</w:t>
      </w:r>
    </w:p>
    <w:p>
      <w:r>
        <w:rPr>
          <w:b w:val="0"/>
        </w:rPr>
        <w:t>Preuve ou test d’acceptation : ........................................................................................................</w:t>
      </w:r>
    </w:p>
    <w:p>
      <w:r>
        <w:rPr>
          <w:b w:val="0"/>
        </w:rPr>
        <w:t>Limite à ne pas masquer : .............................................................................................................</w:t>
      </w:r>
    </w:p>
    <w:p>
      <w:pPr>
        <w:pStyle w:val="Heading1"/>
      </w:pPr>
      <w:r>
        <w:t>Cartes incident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API météo indisponible  </w:t>
      </w:r>
      <w:r>
        <w:t>Quelle donnée de repli est encore acceptable, et pendant combien de temps ?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Schéma JSON modifié  </w:t>
      </w:r>
      <w:r>
        <w:t>Comment détecter et isoler un changement incompatible ?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Volume multiplié par dix  </w:t>
      </w:r>
      <w:r>
        <w:t>Quel service dégrader et quelle file prioriser ?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Donnée personnelle inattendue  </w:t>
      </w:r>
      <w:r>
        <w:t>Comment isoler le flux et qualifier la situation ?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Rappel en baisse  </w:t>
      </w:r>
      <w:r>
        <w:t>Comment distinguer changement de population et défaut de données ?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Demande de données brutes  </w:t>
      </w:r>
      <w:r>
        <w:t>Quelle finalité et quel droit justifieraient ce partage ?</w:t>
      </w:r>
    </w:p>
    <w:p>
      <w:pPr>
        <w:spacing w:before="120" w:after="180"/>
        <w:pBdr>
          <w:left w:val="single" w:sz="18" w:color="238C33"/>
        </w:pBdr>
        <w:ind w:left="142"/>
      </w:pPr>
      <w:r>
        <w:rPr>
          <w:b/>
          <w:color w:val="23468C"/>
        </w:rPr>
        <w:t xml:space="preserve">Jeton partenaire compromis  </w:t>
      </w:r>
      <w:r>
        <w:t>Comment révoquer, enquêter et reprendre avec un périmètre limité ?</w:t>
      </w:r>
    </w:p>
    <w:p>
      <w:pPr>
        <w:pStyle w:val="Heading1"/>
      </w:pPr>
      <w:r>
        <w:t>Évaluation individuelle</w:t>
      </w:r>
    </w:p>
    <w:p>
      <w:r>
        <w:rPr>
          <w:b w:val="0"/>
        </w:rPr>
        <w:t>Répondre en une ou deux phrases et donner un exemple lorsque cela éclaire le raisonnement. Le formateur indique le barème retenu pour la session.</w:t>
      </w:r>
    </w:p>
    <w:p>
      <w:pPr>
        <w:pStyle w:val="Heading3"/>
      </w:pPr>
      <w:r>
        <w:t>Q01. Une API est-elle une IA ?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pPr>
        <w:pStyle w:val="Heading3"/>
      </w:pPr>
      <w:r>
        <w:t>Q02. Entraînement et inférence correspondent-ils à la même étape ?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pPr>
        <w:pStyle w:val="Heading3"/>
      </w:pPr>
      <w:r>
        <w:t>Q03. Avec 1 % de fraudes, « tout accepter » peut-il atteindre 99 % d’exactitude ?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pPr>
        <w:pStyle w:val="Heading3"/>
      </w:pPr>
      <w:r>
        <w:t>Q04. Quel type de problème correspond à une estimation de montant de vente ?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pPr>
        <w:pStyle w:val="Heading3"/>
      </w:pPr>
      <w:r>
        <w:t>Q05. Pourquoi exclure une date de résiliation future des variables disponibles à t₀ ?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r>
        <w:br w:type="page"/>
      </w:r>
    </w:p>
    <w:p>
      <w:pPr>
        <w:pStyle w:val="Heading2"/>
      </w:pPr>
      <w:r>
        <w:t>Évaluation individuelle, suite</w:t>
      </w:r>
    </w:p>
    <w:p>
      <w:pPr>
        <w:pStyle w:val="Heading3"/>
      </w:pPr>
      <w:r>
        <w:t>Q06. Sur quelle partie des données choisir le seuil du TP ?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pPr>
        <w:pStyle w:val="Heading3"/>
      </w:pPr>
      <w:r>
        <w:t>Q07. Le score le plus performant hors ligne garantit-il une valeur métier ?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pPr>
        <w:pStyle w:val="Heading3"/>
      </w:pPr>
      <w:r>
        <w:t>Q08. Pourquoi une API partenaire requiert-elle davantage qu’une clé secrète ?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pPr>
        <w:pStyle w:val="Heading3"/>
      </w:pPr>
      <w:r>
        <w:t>Q09. Une association entre tickets et churn démontre-t-elle que les tickets causent le churn ?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pPr>
        <w:pStyle w:val="Heading3"/>
      </w:pPr>
      <w:r>
        <w:t>Q10. Que prévoir lorsque les données ou les comportements changent ?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.....................................................................................................................................................</w:t>
      </w:r>
    </w:p>
    <w:p>
      <w:pPr>
        <w:pStyle w:val="Heading1"/>
      </w:pPr>
      <w:r>
        <w:t>Transfert vers votre métier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cantSplit/>
          <w:tblHeader/>
        </w:trPr>
        <w:tc>
          <w:tcPr>
            <w:tcW w:type="dxa" w:w="4904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904"/>
            <w:shd w:fill="23468C"/>
          </w:tcPr>
          <w:p>
            <w:pPr>
              <w:spacing w:after="100" w:before="100"/>
            </w:pPr>
            <w:r>
              <w:rPr>
                <w:b/>
                <w:color w:val="FFFFFF"/>
                <w:sz w:val="18"/>
              </w:rPr>
              <w:t>Votre cas</w:t>
            </w:r>
          </w:p>
        </w:tc>
      </w:tr>
      <w:tr>
        <w:trPr>
          <w:cantSplit/>
          <w:trHeight w:val="522"/>
        </w:trPr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8"/>
              </w:rPr>
              <w:t>Quelle décision améliorer ?</w:t>
            </w:r>
          </w:p>
        </w:tc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8"/>
              </w:rPr>
              <w:t>Qui utilisera le résultat ?</w:t>
            </w:r>
          </w:p>
        </w:tc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8"/>
              </w:rPr>
              <w:t>Quelles données sont disponibles à t₀ ?</w:t>
            </w:r>
          </w:p>
        </w:tc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8"/>
              </w:rPr>
              <w:t>Quelle référence simple ?</w:t>
            </w:r>
          </w:p>
        </w:tc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8"/>
              </w:rPr>
              <w:t>Quel indicateur métier ?</w:t>
            </w:r>
          </w:p>
        </w:tc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8"/>
              </w:rPr>
              <w:t>Quelle erreur coûte le plus ?</w:t>
            </w:r>
          </w:p>
        </w:tc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8"/>
              </w:rPr>
              <w:t>Dans quelle application intégrer ?</w:t>
            </w:r>
          </w:p>
        </w:tc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8"/>
              </w:rPr>
              <w:t>Qui porte la responsabilité ?</w:t>
            </w:r>
          </w:p>
        </w:tc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8"/>
              </w:rPr>
              <w:t>Quel point juridique ou sécurité instruire ?</w:t>
            </w:r>
          </w:p>
        </w:tc>
        <w:tc>
          <w:tcPr>
            <w:tcW w:type="dxa" w:w="4904"/>
            <w:shd w:fill="F1F5FA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  <w:tr>
        <w:trPr>
          <w:cantSplit/>
          <w:trHeight w:val="522"/>
        </w:trPr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8"/>
              </w:rPr>
              <w:t>Quel premier test observable ?</w:t>
            </w:r>
          </w:p>
        </w:tc>
        <w:tc>
          <w:tcPr>
            <w:tcW w:type="dxa" w:w="4904"/>
          </w:tcPr>
          <w:p>
            <w:pPr>
              <w:spacing w:after="100" w:before="100"/>
            </w:pPr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Fiche réflexe et vocabulaire</w:t>
      </w:r>
    </w:p>
    <w:p>
      <w:pPr>
        <w:spacing w:before="40" w:after="80"/>
        <w:pBdr>
          <w:left w:val="single" w:sz="18" w:color="238C33"/>
        </w:pBdr>
        <w:ind w:left="142"/>
      </w:pPr>
      <w:r>
        <w:rPr>
          <w:b/>
          <w:color w:val="23468C"/>
          <w:sz w:val="19"/>
        </w:rPr>
        <w:t xml:space="preserve">SI  </w:t>
      </w:r>
      <w:r>
        <w:rPr>
          <w:sz w:val="19"/>
        </w:rPr>
        <w:t>Ensemble organisé de personnes, processus, logiciels, infrastructures et données.</w:t>
      </w:r>
    </w:p>
    <w:p>
      <w:pPr>
        <w:spacing w:before="40" w:after="80"/>
        <w:pBdr>
          <w:left w:val="single" w:sz="18" w:color="238C33"/>
        </w:pBdr>
        <w:ind w:left="142"/>
      </w:pPr>
      <w:r>
        <w:rPr>
          <w:b/>
          <w:color w:val="23468C"/>
          <w:sz w:val="19"/>
        </w:rPr>
        <w:t xml:space="preserve">Donnée  </w:t>
      </w:r>
      <w:r>
        <w:rPr>
          <w:sz w:val="19"/>
        </w:rPr>
        <w:t>Observation brute ou structurée, à interpréter dans un contexte.</w:t>
      </w:r>
    </w:p>
    <w:p>
      <w:pPr>
        <w:spacing w:before="40" w:after="80"/>
        <w:pBdr>
          <w:left w:val="single" w:sz="18" w:color="238C33"/>
        </w:pBdr>
        <w:ind w:left="142"/>
      </w:pPr>
      <w:r>
        <w:rPr>
          <w:b/>
          <w:color w:val="23468C"/>
          <w:sz w:val="19"/>
        </w:rPr>
        <w:t xml:space="preserve">Big Data  </w:t>
      </w:r>
      <w:r>
        <w:rPr>
          <w:sz w:val="19"/>
        </w:rPr>
        <w:t>Contexte où volume, vitesse ou variété imposent des traitements adaptés.</w:t>
      </w:r>
    </w:p>
    <w:p>
      <w:pPr>
        <w:spacing w:before="40" w:after="80"/>
        <w:pBdr>
          <w:left w:val="single" w:sz="18" w:color="238C33"/>
        </w:pBdr>
        <w:ind w:left="142"/>
      </w:pPr>
      <w:r>
        <w:rPr>
          <w:b/>
          <w:color w:val="23468C"/>
          <w:sz w:val="19"/>
        </w:rPr>
        <w:t xml:space="preserve">Data Science  </w:t>
      </w:r>
      <w:r>
        <w:rPr>
          <w:sz w:val="19"/>
        </w:rPr>
        <w:t>Démarche empirique reliant question métier, données, analyse et mesure.</w:t>
      </w:r>
    </w:p>
    <w:p>
      <w:pPr>
        <w:spacing w:before="40" w:after="80"/>
        <w:pBdr>
          <w:left w:val="single" w:sz="18" w:color="238C33"/>
        </w:pBdr>
        <w:ind w:left="142"/>
      </w:pPr>
      <w:r>
        <w:rPr>
          <w:b/>
          <w:color w:val="23468C"/>
          <w:sz w:val="19"/>
        </w:rPr>
        <w:t xml:space="preserve">Machine Learning  </w:t>
      </w:r>
      <w:r>
        <w:rPr>
          <w:sz w:val="19"/>
        </w:rPr>
        <w:t>Famille de méthodes apprenant des régularités à partir de données.</w:t>
      </w:r>
    </w:p>
    <w:p>
      <w:pPr>
        <w:spacing w:before="40" w:after="80"/>
        <w:pBdr>
          <w:left w:val="single" w:sz="18" w:color="238C33"/>
        </w:pBdr>
        <w:ind w:left="142"/>
      </w:pPr>
      <w:r>
        <w:rPr>
          <w:b/>
          <w:color w:val="23468C"/>
          <w:sz w:val="19"/>
        </w:rPr>
        <w:t xml:space="preserve">Deep Learning  </w:t>
      </w:r>
      <w:r>
        <w:rPr>
          <w:sz w:val="19"/>
        </w:rPr>
        <w:t>Apprentissage automatique par réseaux de neurones à plusieurs niveaux de représentation.</w:t>
      </w:r>
    </w:p>
    <w:p>
      <w:pPr>
        <w:spacing w:before="40" w:after="80"/>
        <w:pBdr>
          <w:left w:val="single" w:sz="18" w:color="238C33"/>
        </w:pBdr>
        <w:ind w:left="142"/>
      </w:pPr>
      <w:r>
        <w:rPr>
          <w:b/>
          <w:color w:val="23468C"/>
          <w:sz w:val="19"/>
        </w:rPr>
        <w:t xml:space="preserve">Cible  </w:t>
      </w:r>
      <w:r>
        <w:rPr>
          <w:sz w:val="19"/>
        </w:rPr>
        <w:t>Résultat à apprendre ou à estimer dans un problème supervisé.</w:t>
      </w:r>
    </w:p>
    <w:p>
      <w:pPr>
        <w:spacing w:before="40" w:after="80"/>
        <w:pBdr>
          <w:left w:val="single" w:sz="18" w:color="238C33"/>
        </w:pBdr>
        <w:ind w:left="142"/>
      </w:pPr>
      <w:r>
        <w:rPr>
          <w:b/>
          <w:color w:val="23468C"/>
          <w:sz w:val="19"/>
        </w:rPr>
        <w:t xml:space="preserve">Caractéristique  </w:t>
      </w:r>
      <w:r>
        <w:rPr>
          <w:sz w:val="19"/>
        </w:rPr>
        <w:t>Information utilisée en entrée, disponible au moment pertinent.</w:t>
      </w:r>
    </w:p>
    <w:p>
      <w:pPr>
        <w:spacing w:before="40" w:after="80"/>
        <w:pBdr>
          <w:left w:val="single" w:sz="18" w:color="238C33"/>
        </w:pBdr>
        <w:ind w:left="142"/>
      </w:pPr>
      <w:r>
        <w:rPr>
          <w:b/>
          <w:color w:val="23468C"/>
          <w:sz w:val="19"/>
        </w:rPr>
        <w:t xml:space="preserve">Entraînement  </w:t>
      </w:r>
      <w:r>
        <w:rPr>
          <w:sz w:val="19"/>
        </w:rPr>
        <w:t>Ajustement des paramètres du modèle.</w:t>
      </w:r>
    </w:p>
    <w:p>
      <w:pPr>
        <w:spacing w:before="40" w:after="80"/>
        <w:pBdr>
          <w:left w:val="single" w:sz="18" w:color="238C33"/>
        </w:pBdr>
        <w:ind w:left="142"/>
      </w:pPr>
      <w:r>
        <w:rPr>
          <w:b/>
          <w:color w:val="23468C"/>
          <w:sz w:val="19"/>
        </w:rPr>
        <w:t xml:space="preserve">Inférence  </w:t>
      </w:r>
      <w:r>
        <w:rPr>
          <w:sz w:val="19"/>
        </w:rPr>
        <w:t>Calcul d’une sortie à partir d’un modèle déjà ajusté.</w:t>
      </w:r>
    </w:p>
    <w:p>
      <w:pPr>
        <w:spacing w:before="40" w:after="80"/>
        <w:pBdr>
          <w:left w:val="single" w:sz="18" w:color="238C33"/>
        </w:pBdr>
        <w:ind w:left="142"/>
      </w:pPr>
      <w:r>
        <w:rPr>
          <w:b/>
          <w:color w:val="23468C"/>
          <w:sz w:val="19"/>
        </w:rPr>
        <w:t xml:space="preserve">Référence naïve  </w:t>
      </w:r>
      <w:r>
        <w:rPr>
          <w:sz w:val="19"/>
        </w:rPr>
        <w:t>Méthode simple utilisée pour vérifier qu’un modèle apporte quelque chose.</w:t>
      </w:r>
    </w:p>
    <w:p>
      <w:pPr>
        <w:spacing w:before="40" w:after="80"/>
        <w:pBdr>
          <w:left w:val="single" w:sz="18" w:color="238C33"/>
        </w:pBdr>
        <w:ind w:left="142"/>
      </w:pPr>
      <w:r>
        <w:rPr>
          <w:b/>
          <w:color w:val="23468C"/>
          <w:sz w:val="19"/>
        </w:rPr>
        <w:t xml:space="preserve">Validation  </w:t>
      </w:r>
      <w:r>
        <w:rPr>
          <w:sz w:val="19"/>
        </w:rPr>
        <w:t>Données utilisées pour comparer des choix sans employer le test final.</w:t>
      </w:r>
    </w:p>
    <w:p>
      <w:pPr>
        <w:spacing w:before="40" w:after="80"/>
        <w:pBdr>
          <w:left w:val="single" w:sz="18" w:color="238C33"/>
        </w:pBdr>
        <w:ind w:left="142"/>
      </w:pPr>
      <w:r>
        <w:rPr>
          <w:b/>
          <w:color w:val="23468C"/>
          <w:sz w:val="19"/>
        </w:rPr>
        <w:t xml:space="preserve">Test  </w:t>
      </w:r>
      <w:r>
        <w:rPr>
          <w:sz w:val="19"/>
        </w:rPr>
        <w:t>Évaluation indépendante de choix arrêtés.</w:t>
      </w:r>
    </w:p>
    <w:p>
      <w:pPr>
        <w:spacing w:before="40" w:after="80"/>
        <w:pBdr>
          <w:left w:val="single" w:sz="18" w:color="238C33"/>
        </w:pBdr>
        <w:ind w:left="142"/>
      </w:pPr>
      <w:r>
        <w:rPr>
          <w:b/>
          <w:color w:val="23468C"/>
          <w:sz w:val="19"/>
        </w:rPr>
        <w:t xml:space="preserve">Précision  </w:t>
      </w:r>
      <w:r>
        <w:rPr>
          <w:sz w:val="19"/>
        </w:rPr>
        <w:t>Vrais positifs / ensemble des alertes positives.</w:t>
      </w:r>
    </w:p>
    <w:p>
      <w:pPr>
        <w:spacing w:before="40" w:after="80"/>
        <w:pBdr>
          <w:left w:val="single" w:sz="18" w:color="238C33"/>
        </w:pBdr>
        <w:ind w:left="142"/>
      </w:pPr>
      <w:r>
        <w:rPr>
          <w:b/>
          <w:color w:val="23468C"/>
          <w:sz w:val="19"/>
        </w:rPr>
        <w:t xml:space="preserve">Rappel  </w:t>
      </w:r>
      <w:r>
        <w:rPr>
          <w:sz w:val="19"/>
        </w:rPr>
        <w:t>Vrais positifs / ensemble des cas réellement positifs.</w:t>
      </w:r>
    </w:p>
    <w:p>
      <w:pPr>
        <w:spacing w:before="40" w:after="80"/>
        <w:pBdr>
          <w:left w:val="single" w:sz="18" w:color="238C33"/>
        </w:pBdr>
        <w:ind w:left="142"/>
      </w:pPr>
      <w:r>
        <w:rPr>
          <w:b/>
          <w:color w:val="23468C"/>
          <w:sz w:val="19"/>
        </w:rPr>
        <w:t xml:space="preserve">Faux positif  </w:t>
      </w:r>
      <w:r>
        <w:rPr>
          <w:sz w:val="19"/>
        </w:rPr>
        <w:t>Observation légitime signalée à tort.</w:t>
      </w:r>
    </w:p>
    <w:p>
      <w:pPr>
        <w:spacing w:before="40" w:after="80"/>
        <w:pBdr>
          <w:left w:val="single" w:sz="18" w:color="238C33"/>
        </w:pBdr>
        <w:ind w:left="142"/>
      </w:pPr>
      <w:r>
        <w:rPr>
          <w:b/>
          <w:color w:val="23468C"/>
          <w:sz w:val="19"/>
        </w:rPr>
        <w:t xml:space="preserve">Faux négatif  </w:t>
      </w:r>
      <w:r>
        <w:rPr>
          <w:sz w:val="19"/>
        </w:rPr>
        <w:t>Cas recherché qui n’est pas détecté.</w:t>
      </w:r>
    </w:p>
    <w:p>
      <w:pPr>
        <w:spacing w:before="40" w:after="80"/>
        <w:pBdr>
          <w:left w:val="single" w:sz="18" w:color="238C33"/>
        </w:pBdr>
        <w:ind w:left="142"/>
      </w:pPr>
      <w:r>
        <w:rPr>
          <w:b/>
          <w:color w:val="23468C"/>
          <w:sz w:val="19"/>
        </w:rPr>
        <w:t xml:space="preserve">Seuil  </w:t>
      </w:r>
      <w:r>
        <w:rPr>
          <w:sz w:val="19"/>
        </w:rPr>
        <w:t>Niveau de score à partir duquel une politique déclenche une action.</w:t>
      </w:r>
    </w:p>
    <w:p>
      <w:pPr>
        <w:spacing w:before="40" w:after="80"/>
        <w:pBdr>
          <w:left w:val="single" w:sz="18" w:color="238C33"/>
        </w:pBdr>
        <w:ind w:left="142"/>
      </w:pPr>
      <w:r>
        <w:rPr>
          <w:b/>
          <w:color w:val="23468C"/>
          <w:sz w:val="19"/>
        </w:rPr>
        <w:t xml:space="preserve">Fuite de données  </w:t>
      </w:r>
      <w:r>
        <w:rPr>
          <w:sz w:val="19"/>
        </w:rPr>
        <w:t>Utilisation d’information non disponible ou interdite au moment de la décision.</w:t>
      </w:r>
    </w:p>
    <w:p>
      <w:pPr>
        <w:spacing w:before="40" w:after="80"/>
        <w:pBdr>
          <w:left w:val="single" w:sz="18" w:color="238C33"/>
        </w:pBdr>
        <w:ind w:left="142"/>
      </w:pPr>
      <w:r>
        <w:rPr>
          <w:b/>
          <w:color w:val="23468C"/>
          <w:sz w:val="19"/>
        </w:rPr>
        <w:t xml:space="preserve">Surapprentissage  </w:t>
      </w:r>
      <w:r>
        <w:rPr>
          <w:sz w:val="19"/>
        </w:rPr>
        <w:t>Ajustement trop spécifique aux données connues, au détriment de la généralisation.</w:t>
      </w:r>
    </w:p>
    <w:p>
      <w:pPr>
        <w:spacing w:before="40" w:after="80"/>
        <w:pBdr>
          <w:left w:val="single" w:sz="18" w:color="238C33"/>
        </w:pBdr>
        <w:ind w:left="142"/>
      </w:pPr>
      <w:r>
        <w:rPr>
          <w:b/>
          <w:color w:val="23468C"/>
          <w:sz w:val="19"/>
        </w:rPr>
        <w:t xml:space="preserve">Dérive  </w:t>
      </w:r>
      <w:r>
        <w:rPr>
          <w:sz w:val="19"/>
        </w:rPr>
        <w:t>Changement des données, des relations ou des performances en exploitation.</w:t>
      </w:r>
    </w:p>
    <w:p>
      <w:pPr>
        <w:spacing w:before="40" w:after="80"/>
        <w:pBdr>
          <w:left w:val="single" w:sz="18" w:color="238C33"/>
        </w:pBdr>
        <w:ind w:left="142"/>
      </w:pPr>
      <w:r>
        <w:rPr>
          <w:b/>
          <w:color w:val="23468C"/>
          <w:sz w:val="19"/>
        </w:rPr>
        <w:t xml:space="preserve">Pipeline  </w:t>
      </w:r>
      <w:r>
        <w:rPr>
          <w:sz w:val="19"/>
        </w:rPr>
        <w:t>Chaîne reproductible de préparation et de traitement.</w:t>
      </w:r>
    </w:p>
    <w:p>
      <w:pPr>
        <w:spacing w:before="40" w:after="80"/>
        <w:pBdr>
          <w:left w:val="single" w:sz="18" w:color="238C33"/>
        </w:pBdr>
        <w:ind w:left="142"/>
      </w:pPr>
      <w:r>
        <w:rPr>
          <w:b/>
          <w:color w:val="23468C"/>
          <w:sz w:val="19"/>
        </w:rPr>
        <w:t xml:space="preserve">API  </w:t>
      </w:r>
      <w:r>
        <w:rPr>
          <w:sz w:val="19"/>
        </w:rPr>
        <w:t>Contrat d’interface entre applications ou services.</w:t>
      </w:r>
    </w:p>
    <w:p>
      <w:pPr>
        <w:spacing w:before="40" w:after="80"/>
        <w:pBdr>
          <w:left w:val="single" w:sz="18" w:color="238C33"/>
        </w:pBdr>
        <w:ind w:left="142"/>
      </w:pPr>
      <w:r>
        <w:rPr>
          <w:b/>
          <w:color w:val="23468C"/>
          <w:sz w:val="19"/>
        </w:rPr>
        <w:t xml:space="preserve">Événement  </w:t>
      </w:r>
      <w:r>
        <w:rPr>
          <w:sz w:val="19"/>
        </w:rPr>
        <w:t>Fait publié pour informer d’autres composants d’un changement.</w:t>
      </w:r>
    </w:p>
    <w:p>
      <w:pPr>
        <w:spacing w:before="40" w:after="80"/>
        <w:pBdr>
          <w:left w:val="single" w:sz="18" w:color="238C33"/>
        </w:pBdr>
        <w:ind w:left="142"/>
      </w:pPr>
      <w:r>
        <w:rPr>
          <w:b/>
          <w:color w:val="23468C"/>
          <w:sz w:val="19"/>
        </w:rPr>
        <w:t xml:space="preserve">OAuth 2.0  </w:t>
      </w:r>
      <w:r>
        <w:rPr>
          <w:sz w:val="19"/>
        </w:rPr>
        <w:t>Cadre de délégation d’autorisation ; ne pas le confondre avec une preuve d’identité utilisateur.</w:t>
      </w:r>
    </w:p>
    <w:p>
      <w:pPr>
        <w:spacing w:before="40" w:after="80"/>
        <w:pBdr>
          <w:left w:val="single" w:sz="18" w:color="238C33"/>
        </w:pBdr>
        <w:ind w:left="142"/>
      </w:pPr>
      <w:r>
        <w:rPr>
          <w:b/>
          <w:color w:val="23468C"/>
          <w:sz w:val="19"/>
        </w:rPr>
        <w:t xml:space="preserve">Minimisation  </w:t>
      </w:r>
      <w:r>
        <w:rPr>
          <w:sz w:val="19"/>
        </w:rPr>
        <w:t>Limitation des données à ce qui est nécessaire pour la finalité.</w:t>
      </w:r>
    </w:p>
    <w:p>
      <w:pPr>
        <w:spacing w:before="40" w:after="80"/>
        <w:pBdr>
          <w:left w:val="single" w:sz="18" w:color="238C33"/>
        </w:pBdr>
        <w:ind w:left="142"/>
      </w:pPr>
      <w:r>
        <w:rPr>
          <w:b/>
          <w:color w:val="23468C"/>
          <w:sz w:val="19"/>
        </w:rPr>
        <w:t xml:space="preserve">RACI  </w:t>
      </w:r>
      <w:r>
        <w:rPr>
          <w:sz w:val="19"/>
        </w:rPr>
        <w:t>Matrice des responsabilités d’arbitrage, réalisation, consultation et information.</w:t>
      </w:r>
    </w:p>
    <w:p>
      <w:pPr>
        <w:spacing w:before="40" w:after="80"/>
        <w:pBdr>
          <w:left w:val="single" w:sz="18" w:color="238C33"/>
        </w:pBdr>
        <w:ind w:left="142"/>
      </w:pPr>
      <w:r>
        <w:rPr>
          <w:b/>
          <w:color w:val="23468C"/>
          <w:sz w:val="19"/>
        </w:rPr>
        <w:t xml:space="preserve">MLOps  </w:t>
      </w:r>
      <w:r>
        <w:rPr>
          <w:sz w:val="19"/>
        </w:rPr>
        <w:t>Pratiques d’industrialisation, de traçabilité et d’exploitation des modèles.</w:t>
      </w:r>
    </w:p>
    <w:p>
      <w:pPr>
        <w:spacing w:before="40" w:after="80"/>
        <w:pBdr>
          <w:left w:val="single" w:sz="18" w:color="238C33"/>
        </w:pBdr>
        <w:ind w:left="142"/>
      </w:pPr>
      <w:r>
        <w:rPr>
          <w:b/>
          <w:color w:val="23468C"/>
          <w:sz w:val="19"/>
        </w:rPr>
        <w:t xml:space="preserve">KPI métier  </w:t>
      </w:r>
      <w:r>
        <w:rPr>
          <w:sz w:val="19"/>
        </w:rPr>
        <w:t>Indicateur du résultat opérationnel ou économique recherché.</w:t>
      </w:r>
    </w:p>
    <w:p>
      <w:pPr>
        <w:spacing w:before="40" w:after="80"/>
        <w:pBdr>
          <w:left w:val="single" w:sz="18" w:color="238C33"/>
        </w:pBdr>
        <w:ind w:left="142"/>
      </w:pPr>
      <w:r>
        <w:rPr>
          <w:b/>
          <w:color w:val="23468C"/>
          <w:sz w:val="19"/>
        </w:rPr>
        <w:t xml:space="preserve">Mode dégradé  </w:t>
      </w:r>
      <w:r>
        <w:rPr>
          <w:sz w:val="19"/>
        </w:rPr>
        <w:t>Fonctionnement de repli explicite lorsque le fonctionnement nominal est indisponible.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049" w:bottom="1020" w:left="1049" w:header="397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https://p2enjoy.studio</w:t>
    </w:r>
    <w:r>
      <w:t xml:space="preserve">                                          CAHIER PARTICIPANT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P2ENJOY STUDIO  |  FORMATION 4-020  |  IA &amp; SYSTÈMES D’INFORMATION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40"/>
    </w:pPr>
    <w:rPr>
      <w:rFonts w:ascii="Liberation Sans" w:hAnsi="Liberation Sans"/>
      <w:color w:val="0D0D0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  <w:color w:val="23468C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  <w:color w:val="23468C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1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3468C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3468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3468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participant</dc:title>
  <dc:subject>Formation 4-020, IA et systèmes d’information</dc:subject>
  <dc:creator>P2Enjoy 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