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Product Backlog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Scheduling and Bookings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Appointment and Calendar Management Module 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allow clients to select a service, available date, and time, automatically recording the booking in a general calendar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Schedule and Availability Management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Appointment and Calendar Management Module</w:t>
            </w:r>
          </w:p>
        </w:tc>
      </w:tr>
      <w:tr>
        <w:trPr>
          <w:cantSplit w:val="0"/>
          <w:trHeight w:val="981.24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allow cosmetologists to configure their available working hours to prevent appointment overlaps.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165"/>
        <w:tblGridChange w:id="0">
          <w:tblGrid>
            <w:gridCol w:w="3195"/>
            <w:gridCol w:w="6165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Notifications and reminders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Notification and Reminder Management Module 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send automatic reminders to clients about their scheduled appointments.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Diagnostic record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Client Diagnostic Record Management Module 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allow cosmetologists to create and view a patient’s digital clinical record, including personal information, medical and allergy history, skin type, phototype, and treatments administered.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165"/>
        <w:tblGridChange w:id="0">
          <w:tblGrid>
            <w:gridCol w:w="3195"/>
            <w:gridCol w:w="6165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Informational Catalog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Service Catalog Management Module 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application must display a detailed catalog with information, prices, and features for each service (facial, body, and hair treatments).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165"/>
        <w:tblGridChange w:id="0">
          <w:tblGrid>
            <w:gridCol w:w="3195"/>
            <w:gridCol w:w="6165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Bank Transfer Payments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Payment and Bank Transfer Management Module 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allow users to make or register payments by bank transfer, including uploading the transfer receipt or transaction confirmation, to confirm appointments.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165"/>
        <w:tblGridChange w:id="0">
          <w:tblGrid>
            <w:gridCol w:w="3195"/>
            <w:gridCol w:w="6165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FR07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Most Requested Services Report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Service and Product Demand Reporting Module 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automatically generate statistical reports on the services and products with the highest demand.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6075"/>
        <w:tblGridChange w:id="0">
          <w:tblGrid>
            <w:gridCol w:w="3285"/>
            <w:gridCol w:w="6075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NFR01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Authentication and Security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require account creation and secure login.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allow users to register and securely log in using their credentials.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High 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NFR02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Usability and Visual Identity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user interface must align with the pre-established brand identity of MaGaby HomeSpa.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colors we will use are gold, black, and dark colors, also, it will feature an elegant style and has a logo.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NFR03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 Interface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will present a simple user interface so that it is easy to use for system users.</w:t>
            </w:r>
          </w:p>
        </w:tc>
      </w:tr>
      <w:tr>
        <w:trPr>
          <w:cantSplit w:val="0"/>
          <w:trHeight w:val="709.9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The system must have an intuitive and simple user interface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Requirement Priority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