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0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Descrição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a que se refere este relatório consistem de medidas do diâmetro diastólico final do ventrículo esquerdo por unidade de peso (DDVE) em mm/kg realizadas semanalmente via métodos ecocardiográficos, em recém-nascidos pré-termo (RNPT), com idade gestacional menor do que 34 semanas adequados ou pequenos para a idade gestacional (AIG e PIG), desde o nascimento até 40 semanas pós concepção, e em recém-nascidos normais (RNT) com idade gestacional entre 38 e 40 semanas. Os principais objetivos do estudo são: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estimar e comparar as curvas de crescimento médias das características cardiovasculares de interesse correspondentes aos RNPT AIG e PIG;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avaliar se o valor esperado dessa característica 39 semanas após a concepção para os RNPT AIG e PIG é igual àqueles correspondentes aos RNT.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5842" w:w="12242"/>
      <w:pgMar w:bottom="1134" w:top="1134" w:left="1134" w:right="1134" w:header="720" w:footer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2019-08-18T22:30:00Z</dcterms:created>
  <dc:creator>Julio da Motta Singer</dc:creator>
</cp:coreProperties>
</file>