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eastAsia="sl-SI"/>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eastAsia="sl-SI"/>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bookmarkStart w:id="0" w:name="_GoBack"/>
            <w:bookmarkEnd w:id="0"/>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B14595" w:rsidRDefault="00BF7D57" w:rsidP="001D0404">
            <w:pPr>
              <w:tabs>
                <w:tab w:val="left" w:pos="5040"/>
              </w:tabs>
              <w:spacing w:after="0" w:line="240" w:lineRule="auto"/>
              <w:rPr>
                <w:color w:val="BFBFBF"/>
                <w:sz w:val="24"/>
                <w:szCs w:val="24"/>
              </w:rPr>
            </w:pPr>
            <w:r>
              <w:rPr>
                <w:color w:val="BFBFBF"/>
                <w:sz w:val="24"/>
                <w:szCs w:val="24"/>
              </w:rPr>
              <w:t>Kadrovska služba mi je predstavila pravila v podjetju in varnost pridelu.</w:t>
            </w:r>
            <w:r w:rsidR="00B14595"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1D0404">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1D0404" w:rsidRPr="00042CF4" w:rsidRDefault="00B14595" w:rsidP="00E405DC">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1D0404" w:rsidRPr="00042CF4"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21.5.2024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BF7D57">
              <w:rPr>
                <w:color w:val="BFBFBF"/>
                <w:sz w:val="24"/>
                <w:szCs w:val="24"/>
              </w:rPr>
              <w:t xml:space="preserve">Spoznavanje z C#, SQL </w:t>
            </w:r>
          </w:p>
          <w:p w:rsidR="00B14595" w:rsidRPr="00536BE7" w:rsidRDefault="00B14595" w:rsidP="00B14595">
            <w:pPr>
              <w:tabs>
                <w:tab w:val="left" w:pos="5040"/>
              </w:tabs>
              <w:spacing w:after="0" w:line="240" w:lineRule="auto"/>
              <w:rPr>
                <w:sz w:val="24"/>
                <w:szCs w:val="24"/>
              </w:rPr>
            </w:pPr>
          </w:p>
          <w:p w:rsidR="00B14595" w:rsidRPr="00B14595" w:rsidRDefault="00B14595" w:rsidP="00B14595">
            <w:pPr>
              <w:tabs>
                <w:tab w:val="left" w:pos="5040"/>
              </w:tabs>
              <w:spacing w:after="0" w:line="240" w:lineRule="auto"/>
              <w:rPr>
                <w:color w:val="BFBFBF"/>
                <w:sz w:val="24"/>
                <w:szCs w:val="24"/>
              </w:rPr>
            </w:pPr>
            <w:r>
              <w:rPr>
                <w:sz w:val="24"/>
                <w:szCs w:val="24"/>
              </w:rPr>
              <w:t xml:space="preserve">Navodila za delo oz. nalogo: </w:t>
            </w:r>
            <w:r w:rsidR="00BF7D57">
              <w:rPr>
                <w:sz w:val="24"/>
                <w:szCs w:val="24"/>
              </w:rPr>
              <w:t>Učenje zame novega jezika C#</w:t>
            </w:r>
            <w:r w:rsidR="00CB54A0">
              <w:rPr>
                <w:sz w:val="24"/>
                <w:szCs w:val="24"/>
              </w:rPr>
              <w:t xml:space="preserve">,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14595" w:rsidRDefault="00B14595" w:rsidP="00B14595">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1D0404" w:rsidRPr="00042CF4" w:rsidRDefault="001D0404" w:rsidP="001D0404">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D369D3">
              <w:rPr>
                <w:color w:val="BFBFBF"/>
                <w:sz w:val="24"/>
                <w:szCs w:val="24"/>
              </w:rPr>
              <w:t xml:space="preserve">SQL </w:t>
            </w:r>
            <w:proofErr w:type="spellStart"/>
            <w:r w:rsidR="00D369D3">
              <w:rPr>
                <w:color w:val="BFBFBF"/>
                <w:sz w:val="24"/>
                <w:szCs w:val="24"/>
              </w:rPr>
              <w:t>dapper</w:t>
            </w:r>
            <w:proofErr w:type="spellEnd"/>
            <w:r w:rsidR="00D369D3">
              <w:rPr>
                <w:color w:val="BFBFBF"/>
                <w:sz w:val="24"/>
                <w:szCs w:val="24"/>
              </w:rPr>
              <w:t>, MVC</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808" w:rsidRDefault="00E22808" w:rsidP="0025104C">
      <w:pPr>
        <w:spacing w:after="0" w:line="240" w:lineRule="auto"/>
      </w:pPr>
      <w:r>
        <w:separator/>
      </w:r>
    </w:p>
  </w:endnote>
  <w:endnote w:type="continuationSeparator" w:id="0">
    <w:p w:rsidR="00E22808" w:rsidRDefault="00E22808"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BF7D57" w:rsidRPr="00A45148" w:rsidTr="00291A67">
      <w:tc>
        <w:tcPr>
          <w:tcW w:w="9212" w:type="dxa"/>
        </w:tcPr>
        <w:p w:rsidR="00BF7D57" w:rsidRPr="00A45148" w:rsidRDefault="00BF7D57"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881DF4">
            <w:rPr>
              <w:noProof/>
              <w:sz w:val="24"/>
              <w:szCs w:val="24"/>
            </w:rPr>
            <w:t>3</w:t>
          </w:r>
          <w:r w:rsidRPr="00A45148">
            <w:rPr>
              <w:sz w:val="24"/>
              <w:szCs w:val="24"/>
            </w:rPr>
            <w:fldChar w:fldCharType="end"/>
          </w:r>
        </w:p>
      </w:tc>
    </w:tr>
  </w:tbl>
  <w:p w:rsidR="00BF7D57" w:rsidRPr="0025104C" w:rsidRDefault="00BF7D57" w:rsidP="0025104C">
    <w:pPr>
      <w:pStyle w:val="Noga"/>
      <w:jc w:val="center"/>
      <w:rPr>
        <w:sz w:val="24"/>
        <w:szCs w:val="24"/>
      </w:rPr>
    </w:pPr>
  </w:p>
  <w:p w:rsidR="00BF7D57" w:rsidRDefault="00BF7D5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808" w:rsidRDefault="00E22808" w:rsidP="0025104C">
      <w:pPr>
        <w:spacing w:after="0" w:line="240" w:lineRule="auto"/>
      </w:pPr>
      <w:r>
        <w:separator/>
      </w:r>
    </w:p>
  </w:footnote>
  <w:footnote w:type="continuationSeparator" w:id="0">
    <w:p w:rsidR="00E22808" w:rsidRDefault="00E22808"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rsidP="007B1FCA">
    <w:pPr>
      <w:pStyle w:val="Glava"/>
    </w:pPr>
    <w:r>
      <w:rPr>
        <w:noProof/>
        <w:lang w:eastAsia="sl-SI"/>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5"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0"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6"/>
  </w:num>
  <w:num w:numId="4">
    <w:abstractNumId w:val="14"/>
  </w:num>
  <w:num w:numId="5">
    <w:abstractNumId w:val="4"/>
  </w:num>
  <w:num w:numId="6">
    <w:abstractNumId w:val="15"/>
  </w:num>
  <w:num w:numId="7">
    <w:abstractNumId w:val="0"/>
  </w:num>
  <w:num w:numId="8">
    <w:abstractNumId w:val="1"/>
  </w:num>
  <w:num w:numId="9">
    <w:abstractNumId w:val="7"/>
  </w:num>
  <w:num w:numId="10">
    <w:abstractNumId w:val="12"/>
  </w:num>
  <w:num w:numId="11">
    <w:abstractNumId w:val="9"/>
  </w:num>
  <w:num w:numId="12">
    <w:abstractNumId w:val="3"/>
  </w:num>
  <w:num w:numId="13">
    <w:abstractNumId w:val="6"/>
  </w:num>
  <w:num w:numId="14">
    <w:abstractNumId w:val="5"/>
  </w:num>
  <w:num w:numId="15">
    <w:abstractNumId w:val="2"/>
  </w:num>
  <w:num w:numId="16">
    <w:abstractNumId w:val="17"/>
  </w:num>
  <w:num w:numId="17">
    <w:abstractNumId w:val="20"/>
  </w:num>
  <w:num w:numId="18">
    <w:abstractNumId w:val="10"/>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C0A6C"/>
    <w:rsid w:val="000C25FF"/>
    <w:rsid w:val="000D251E"/>
    <w:rsid w:val="000E101D"/>
    <w:rsid w:val="00122319"/>
    <w:rsid w:val="00122F4B"/>
    <w:rsid w:val="00126829"/>
    <w:rsid w:val="0015101D"/>
    <w:rsid w:val="001529D4"/>
    <w:rsid w:val="001600AE"/>
    <w:rsid w:val="00170D4E"/>
    <w:rsid w:val="00172FFF"/>
    <w:rsid w:val="001777A5"/>
    <w:rsid w:val="00182989"/>
    <w:rsid w:val="001A66D6"/>
    <w:rsid w:val="001B0C6F"/>
    <w:rsid w:val="001B6BD6"/>
    <w:rsid w:val="001D0404"/>
    <w:rsid w:val="001E7594"/>
    <w:rsid w:val="00211239"/>
    <w:rsid w:val="00214D64"/>
    <w:rsid w:val="00216E4D"/>
    <w:rsid w:val="00217B35"/>
    <w:rsid w:val="00230D2C"/>
    <w:rsid w:val="002323F2"/>
    <w:rsid w:val="0025104C"/>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C060C"/>
    <w:rsid w:val="004D0027"/>
    <w:rsid w:val="004D458B"/>
    <w:rsid w:val="004E510B"/>
    <w:rsid w:val="00536BE7"/>
    <w:rsid w:val="00547DE0"/>
    <w:rsid w:val="005912F6"/>
    <w:rsid w:val="00594045"/>
    <w:rsid w:val="005B38C2"/>
    <w:rsid w:val="005E12C7"/>
    <w:rsid w:val="005E17DE"/>
    <w:rsid w:val="005F7329"/>
    <w:rsid w:val="00612C2A"/>
    <w:rsid w:val="00613F48"/>
    <w:rsid w:val="00626AE7"/>
    <w:rsid w:val="00667151"/>
    <w:rsid w:val="00684A62"/>
    <w:rsid w:val="006D181C"/>
    <w:rsid w:val="006D1CE6"/>
    <w:rsid w:val="006E7437"/>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81DF4"/>
    <w:rsid w:val="008B1636"/>
    <w:rsid w:val="008D0C5D"/>
    <w:rsid w:val="008D12B2"/>
    <w:rsid w:val="008E6A18"/>
    <w:rsid w:val="0090204B"/>
    <w:rsid w:val="009044F6"/>
    <w:rsid w:val="00925BB5"/>
    <w:rsid w:val="0092633E"/>
    <w:rsid w:val="00931B3A"/>
    <w:rsid w:val="00937805"/>
    <w:rsid w:val="009A18D2"/>
    <w:rsid w:val="009B19D9"/>
    <w:rsid w:val="009C6213"/>
    <w:rsid w:val="009C714D"/>
    <w:rsid w:val="009E58E8"/>
    <w:rsid w:val="009E7D30"/>
    <w:rsid w:val="00A45148"/>
    <w:rsid w:val="00A634F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64C5"/>
    <w:rsid w:val="00BE12B0"/>
    <w:rsid w:val="00BF5D5F"/>
    <w:rsid w:val="00BF7D57"/>
    <w:rsid w:val="00C03560"/>
    <w:rsid w:val="00C13044"/>
    <w:rsid w:val="00C21BAF"/>
    <w:rsid w:val="00C22B05"/>
    <w:rsid w:val="00C6282D"/>
    <w:rsid w:val="00C677D9"/>
    <w:rsid w:val="00C85CB6"/>
    <w:rsid w:val="00CB54A0"/>
    <w:rsid w:val="00CC236F"/>
    <w:rsid w:val="00CC6A23"/>
    <w:rsid w:val="00CD2FAC"/>
    <w:rsid w:val="00CF2185"/>
    <w:rsid w:val="00D02DD5"/>
    <w:rsid w:val="00D125F1"/>
    <w:rsid w:val="00D369D3"/>
    <w:rsid w:val="00D519D0"/>
    <w:rsid w:val="00DD2389"/>
    <w:rsid w:val="00DE2754"/>
    <w:rsid w:val="00DF75CB"/>
    <w:rsid w:val="00E22808"/>
    <w:rsid w:val="00E3369E"/>
    <w:rsid w:val="00E405DC"/>
    <w:rsid w:val="00E55D6C"/>
    <w:rsid w:val="00EB4CC2"/>
    <w:rsid w:val="00EC5D84"/>
    <w:rsid w:val="00ED3427"/>
    <w:rsid w:val="00ED433D"/>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56E9"/>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E488-4316-41ED-A7D6-AFCCEA0B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8567</Words>
  <Characters>48832</Characters>
  <Application>Microsoft Office Word</Application>
  <DocSecurity>0</DocSecurity>
  <Lines>406</Lines>
  <Paragraphs>114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33</cp:revision>
  <dcterms:created xsi:type="dcterms:W3CDTF">2021-10-06T07:04:00Z</dcterms:created>
  <dcterms:modified xsi:type="dcterms:W3CDTF">2024-05-22T11:42:00Z</dcterms:modified>
</cp:coreProperties>
</file>