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D105F" w14:textId="67BE3875" w:rsidR="001E26C7" w:rsidRDefault="00E15B95" w:rsidP="00777C4E">
      <w:pPr>
        <w:jc w:val="center"/>
        <w:rPr>
          <w:sz w:val="56"/>
          <w:szCs w:val="5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56"/>
          <w:szCs w:val="5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w:t>
      </w:r>
      <w:r w:rsidR="00777C4E" w:rsidRPr="00777C4E">
        <w:rPr>
          <w:sz w:val="56"/>
          <w:szCs w:val="5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RIMSKA VOJSKA</w:t>
      </w:r>
    </w:p>
    <w:p w14:paraId="701FE196" w14:textId="77777777" w:rsidR="001611E5" w:rsidRDefault="001611E5" w:rsidP="00777C4E">
      <w:pPr>
        <w:rPr>
          <w:rFonts w:ascii="Arial" w:hAnsi="Arial" w:cs="Arial"/>
          <w:color w:val="202122"/>
          <w:sz w:val="28"/>
          <w:szCs w:val="28"/>
          <w:shd w:val="clear" w:color="auto" w:fill="FFFFFF"/>
        </w:rPr>
      </w:pPr>
    </w:p>
    <w:p w14:paraId="056BA200" w14:textId="7620A420" w:rsidR="00D05D0A" w:rsidRDefault="00D05D0A" w:rsidP="00D05D0A">
      <w:pPr>
        <w:rPr>
          <w:rFonts w:ascii="Arial" w:hAnsi="Arial" w:cs="Arial"/>
          <w:color w:val="202122"/>
          <w:sz w:val="28"/>
          <w:szCs w:val="28"/>
          <w:shd w:val="clear" w:color="auto" w:fill="FFFFFF"/>
          <w:lang w:val="en-US"/>
        </w:rPr>
      </w:pPr>
      <w:r w:rsidRPr="00D05D0A">
        <w:rPr>
          <w:rFonts w:ascii="Arial" w:hAnsi="Arial" w:cs="Arial"/>
          <w:color w:val="202122"/>
          <w:sz w:val="28"/>
          <w:szCs w:val="28"/>
          <w:highlight w:val="yellow"/>
          <w:shd w:val="clear" w:color="auto" w:fill="FFFFFF"/>
        </w:rPr>
        <w:t>Rimska vojska (latinsko: exercitus Romanus) je bila oborožena sila, ki so jo Rimljani uporabljali v času trajanja starega Rima, od rimskega kraljestva</w:t>
      </w:r>
      <w:r w:rsidRPr="00D05D0A">
        <w:rPr>
          <w:rFonts w:ascii="Arial" w:hAnsi="Arial" w:cs="Arial"/>
          <w:color w:val="202122"/>
          <w:sz w:val="28"/>
          <w:szCs w:val="28"/>
          <w:shd w:val="clear" w:color="auto" w:fill="FFFFFF"/>
        </w:rPr>
        <w:t xml:space="preserve"> </w:t>
      </w:r>
      <w:r w:rsidR="008A0922" w:rsidRPr="008A0922">
        <w:rPr>
          <w:rFonts w:ascii="Arial" w:hAnsi="Arial" w:cs="Arial"/>
          <w:strike/>
          <w:color w:val="000000" w:themeColor="text1"/>
          <w:sz w:val="28"/>
          <w:szCs w:val="28"/>
          <w:shd w:val="clear" w:color="auto" w:fill="FFFFFF"/>
        </w:rPr>
        <w:t xml:space="preserve">(do ok. 500 pr. n. št.) </w:t>
      </w:r>
      <w:r w:rsidR="008A0922" w:rsidRPr="008F0E2A">
        <w:rPr>
          <w:rFonts w:ascii="Arial" w:hAnsi="Arial" w:cs="Arial"/>
          <w:color w:val="202122"/>
          <w:sz w:val="28"/>
          <w:szCs w:val="28"/>
          <w:highlight w:val="yellow"/>
          <w:shd w:val="clear" w:color="auto" w:fill="FFFFFF"/>
        </w:rPr>
        <w:t>do rimske republike</w:t>
      </w:r>
      <w:r w:rsidR="008A0922" w:rsidRPr="008A0922">
        <w:rPr>
          <w:rFonts w:ascii="Arial" w:hAnsi="Arial" w:cs="Arial"/>
          <w:color w:val="202122"/>
          <w:sz w:val="28"/>
          <w:szCs w:val="28"/>
          <w:shd w:val="clear" w:color="auto" w:fill="FFFFFF"/>
        </w:rPr>
        <w:t xml:space="preserve"> </w:t>
      </w:r>
      <w:r w:rsidR="008A0922" w:rsidRPr="008A0922">
        <w:rPr>
          <w:rFonts w:ascii="Arial" w:hAnsi="Arial" w:cs="Arial"/>
          <w:strike/>
          <w:color w:val="202122"/>
          <w:sz w:val="28"/>
          <w:szCs w:val="28"/>
          <w:shd w:val="clear" w:color="auto" w:fill="FFFFFF"/>
        </w:rPr>
        <w:t>(500–31 pr. n. št</w:t>
      </w:r>
      <w:r w:rsidR="008A0922" w:rsidRPr="008F0E2A">
        <w:rPr>
          <w:rFonts w:ascii="Arial" w:hAnsi="Arial" w:cs="Arial"/>
          <w:strike/>
          <w:color w:val="202122"/>
          <w:sz w:val="28"/>
          <w:szCs w:val="28"/>
          <w:highlight w:val="yellow"/>
          <w:shd w:val="clear" w:color="auto" w:fill="FFFFFF"/>
        </w:rPr>
        <w:t>.)</w:t>
      </w:r>
      <w:r w:rsidR="008A0922" w:rsidRPr="008F0E2A">
        <w:rPr>
          <w:rFonts w:ascii="Arial" w:hAnsi="Arial" w:cs="Arial"/>
          <w:color w:val="202122"/>
          <w:sz w:val="28"/>
          <w:szCs w:val="28"/>
          <w:highlight w:val="yellow"/>
          <w:shd w:val="clear" w:color="auto" w:fill="FFFFFF"/>
        </w:rPr>
        <w:t xml:space="preserve"> in rimskega imperija</w:t>
      </w:r>
      <w:r w:rsidR="008A0922" w:rsidRPr="008A0922">
        <w:rPr>
          <w:rFonts w:ascii="Arial" w:hAnsi="Arial" w:cs="Arial"/>
          <w:color w:val="202122"/>
          <w:sz w:val="28"/>
          <w:szCs w:val="28"/>
          <w:shd w:val="clear" w:color="auto" w:fill="FFFFFF"/>
        </w:rPr>
        <w:t xml:space="preserve"> </w:t>
      </w:r>
      <w:r w:rsidR="008A0922" w:rsidRPr="008A0922">
        <w:rPr>
          <w:rFonts w:ascii="Arial" w:hAnsi="Arial" w:cs="Arial"/>
          <w:strike/>
          <w:color w:val="202122"/>
          <w:sz w:val="28"/>
          <w:szCs w:val="28"/>
          <w:shd w:val="clear" w:color="auto" w:fill="FFFFFF"/>
        </w:rPr>
        <w:t>( 31 pr. n. št.–395 n. št.)</w:t>
      </w:r>
      <w:r w:rsidR="008A0922" w:rsidRPr="008A0922">
        <w:rPr>
          <w:rFonts w:ascii="Arial" w:hAnsi="Arial" w:cs="Arial"/>
          <w:color w:val="202122"/>
          <w:sz w:val="28"/>
          <w:szCs w:val="28"/>
          <w:shd w:val="clear" w:color="auto" w:fill="FFFFFF"/>
        </w:rPr>
        <w:t xml:space="preserve"> </w:t>
      </w:r>
      <w:r w:rsidR="008A0922" w:rsidRPr="008F0E2A">
        <w:rPr>
          <w:rFonts w:ascii="Arial" w:hAnsi="Arial" w:cs="Arial"/>
          <w:color w:val="202122"/>
          <w:sz w:val="28"/>
          <w:szCs w:val="28"/>
          <w:highlight w:val="yellow"/>
          <w:shd w:val="clear" w:color="auto" w:fill="FFFFFF"/>
        </w:rPr>
        <w:t>in njegovo srednjeveško nadaljevanje, Vzhodno rimsko cesarstvo.</w:t>
      </w:r>
      <w:r w:rsidR="00777CFA" w:rsidRPr="008F0E2A">
        <w:rPr>
          <w:rFonts w:ascii="Arial" w:hAnsi="Arial" w:cs="Arial"/>
          <w:color w:val="202122"/>
          <w:sz w:val="28"/>
          <w:szCs w:val="28"/>
          <w:highlight w:val="yellow"/>
          <w:shd w:val="clear" w:color="auto" w:fill="FFFFFF"/>
          <w:lang w:val="en-US"/>
        </w:rPr>
        <w:t xml:space="preserve"> To je obdobje, ki lahko obsega ve</w:t>
      </w:r>
      <w:r w:rsidR="00DD7838" w:rsidRPr="008F0E2A">
        <w:rPr>
          <w:rFonts w:ascii="Arial" w:hAnsi="Arial" w:cs="Arial"/>
          <w:color w:val="202122"/>
          <w:sz w:val="28"/>
          <w:szCs w:val="28"/>
          <w:highlight w:val="yellow"/>
          <w:shd w:val="clear" w:color="auto" w:fill="FFFFFF"/>
          <w:lang w:val="en-US"/>
        </w:rPr>
        <w:t>c kot 2200 let</w:t>
      </w:r>
      <w:r w:rsidR="008F0E2A">
        <w:rPr>
          <w:rFonts w:ascii="Arial" w:hAnsi="Arial" w:cs="Arial"/>
          <w:color w:val="202122"/>
          <w:sz w:val="28"/>
          <w:szCs w:val="28"/>
          <w:shd w:val="clear" w:color="auto" w:fill="FFFFFF"/>
          <w:lang w:val="en-US"/>
        </w:rPr>
        <w:t xml:space="preserve"> </w:t>
      </w:r>
      <w:r w:rsidR="008F0E2A" w:rsidRPr="008F0E2A">
        <w:rPr>
          <w:rFonts w:ascii="Arial" w:hAnsi="Arial" w:cs="Arial"/>
          <w:color w:val="202122"/>
          <w:sz w:val="28"/>
          <w:szCs w:val="28"/>
          <w:shd w:val="clear" w:color="auto" w:fill="FFFFFF"/>
          <w:lang w:val="en-US"/>
        </w:rPr>
        <w:t>(</w:t>
      </w:r>
      <w:r w:rsidR="008F0E2A" w:rsidRPr="008F0E2A">
        <w:rPr>
          <w:rFonts w:ascii="Arial" w:hAnsi="Arial" w:cs="Arial"/>
          <w:strike/>
          <w:color w:val="202122"/>
          <w:sz w:val="28"/>
          <w:szCs w:val="28"/>
          <w:shd w:val="clear" w:color="auto" w:fill="FFFFFF"/>
          <w:lang w:val="en-US"/>
        </w:rPr>
        <w:t>753 pr. n. št.–1453 n. š.),</w:t>
      </w:r>
      <w:r w:rsidR="008F0E2A" w:rsidRPr="008F0E2A">
        <w:rPr>
          <w:rFonts w:ascii="Arial" w:hAnsi="Arial" w:cs="Arial"/>
          <w:color w:val="202122"/>
          <w:sz w:val="28"/>
          <w:szCs w:val="28"/>
          <w:shd w:val="clear" w:color="auto" w:fill="FFFFFF"/>
          <w:lang w:val="en-US"/>
        </w:rPr>
        <w:t xml:space="preserve"> </w:t>
      </w:r>
      <w:r w:rsidR="008F0E2A" w:rsidRPr="008F0E2A">
        <w:rPr>
          <w:rFonts w:ascii="Arial" w:hAnsi="Arial" w:cs="Arial"/>
          <w:color w:val="202122"/>
          <w:sz w:val="28"/>
          <w:szCs w:val="28"/>
          <w:highlight w:val="yellow"/>
          <w:shd w:val="clear" w:color="auto" w:fill="FFFFFF"/>
          <w:lang w:val="en-US"/>
        </w:rPr>
        <w:t>med katerim so rimske oborožene sile doživele številne spremembe</w:t>
      </w:r>
      <w:r w:rsidR="008F0E2A" w:rsidRPr="008F0E2A">
        <w:rPr>
          <w:rFonts w:ascii="Arial" w:hAnsi="Arial" w:cs="Arial"/>
          <w:color w:val="202122"/>
          <w:sz w:val="28"/>
          <w:szCs w:val="28"/>
          <w:shd w:val="clear" w:color="auto" w:fill="FFFFFF"/>
          <w:lang w:val="en-US"/>
        </w:rPr>
        <w:t xml:space="preserve"> v sestavi, organizaciji, opremi in taktikah, hkrati pa ohranile jedro trajnih tradicij.</w:t>
      </w:r>
    </w:p>
    <w:p w14:paraId="30FECB7A" w14:textId="77777777" w:rsidR="00EB7A34" w:rsidRDefault="00EB7A34" w:rsidP="00D05D0A">
      <w:pPr>
        <w:rPr>
          <w:rFonts w:ascii="Arial" w:hAnsi="Arial" w:cs="Arial"/>
          <w:color w:val="202122"/>
          <w:sz w:val="28"/>
          <w:szCs w:val="28"/>
          <w:shd w:val="clear" w:color="auto" w:fill="FFFFFF"/>
          <w:lang w:val="en-US"/>
        </w:rPr>
      </w:pPr>
    </w:p>
    <w:p w14:paraId="2C5CB8A3" w14:textId="793F2918" w:rsidR="001611E5" w:rsidRPr="000E16BF" w:rsidRDefault="00EB7A34" w:rsidP="00D05D0A">
      <w:pPr>
        <w:rPr>
          <w:rFonts w:ascii="Arial" w:hAnsi="Arial" w:cs="Arial"/>
          <w:b/>
          <w:bCs/>
          <w:color w:val="202122"/>
          <w:sz w:val="28"/>
          <w:szCs w:val="28"/>
          <w:shd w:val="clear" w:color="auto" w:fill="FFFFFF"/>
          <w:lang w:val="en-US"/>
        </w:rPr>
      </w:pPr>
      <w:r w:rsidRPr="000E16BF">
        <w:rPr>
          <w:rFonts w:ascii="Arial" w:hAnsi="Arial" w:cs="Arial"/>
          <w:b/>
          <w:bCs/>
          <w:color w:val="202122"/>
          <w:sz w:val="28"/>
          <w:szCs w:val="28"/>
          <w:shd w:val="clear" w:color="auto" w:fill="FFFFFF"/>
        </w:rPr>
        <w:t>Zgodnja rimska vojska (okoli 500 pr. n. št. do približno 300 pr. n. št.)</w:t>
      </w:r>
    </w:p>
    <w:p w14:paraId="182EF5A5" w14:textId="77777777" w:rsidR="009C57F3" w:rsidRDefault="00617CC3" w:rsidP="00D05D0A">
      <w:pPr>
        <w:rPr>
          <w:rFonts w:ascii="Arial" w:hAnsi="Arial" w:cs="Arial"/>
          <w:color w:val="202122"/>
          <w:sz w:val="28"/>
          <w:szCs w:val="28"/>
          <w:shd w:val="clear" w:color="auto" w:fill="FFFFFF"/>
        </w:rPr>
      </w:pPr>
      <w:r w:rsidRPr="00617CC3">
        <w:rPr>
          <w:rFonts w:ascii="Arial" w:hAnsi="Arial" w:cs="Arial"/>
          <w:color w:val="202122"/>
          <w:sz w:val="28"/>
          <w:szCs w:val="28"/>
          <w:shd w:val="clear" w:color="auto" w:fill="FFFFFF"/>
        </w:rPr>
        <w:t>Zgodnja rimska vojska je bila oborožena sila rimskega kraljestva in zgodnje rimske republike. V tem obdobju, ko je bilo vojskovanje v glavnem sestavljeno iz manjših roparskih napadov, se je domnevalo, da je vojska sledila etruščanskim ali grškim modelom organizacije in opreme. Zgodnja rimska vojska je temeljila na letni dajatvi.</w:t>
      </w:r>
    </w:p>
    <w:p w14:paraId="44D1221C" w14:textId="2E6C9F7B" w:rsidR="009C57F3" w:rsidRDefault="009C57F3" w:rsidP="00D05D0A">
      <w:pPr>
        <w:rPr>
          <w:rFonts w:ascii="Arial" w:hAnsi="Arial" w:cs="Arial"/>
          <w:color w:val="202122"/>
          <w:sz w:val="28"/>
          <w:szCs w:val="28"/>
          <w:shd w:val="clear" w:color="auto" w:fill="FFFFFF"/>
        </w:rPr>
      </w:pPr>
      <w:r w:rsidRPr="009C57F3">
        <w:rPr>
          <w:rFonts w:ascii="Arial" w:hAnsi="Arial" w:cs="Arial"/>
          <w:color w:val="202122"/>
          <w:sz w:val="28"/>
          <w:szCs w:val="28"/>
          <w:shd w:val="clear" w:color="auto" w:fill="FFFFFF"/>
        </w:rPr>
        <w:t>Vojsko je sestavljalo 3000 pehotov in 300 konjenikov.</w:t>
      </w:r>
    </w:p>
    <w:p w14:paraId="075EE16D" w14:textId="68C6AD3C" w:rsidR="00724A18" w:rsidRDefault="003D5DC8" w:rsidP="00D05D0A">
      <w:pPr>
        <w:rPr>
          <w:rFonts w:ascii="Arial" w:hAnsi="Arial" w:cs="Arial"/>
          <w:strike/>
          <w:color w:val="202122"/>
          <w:sz w:val="28"/>
          <w:szCs w:val="28"/>
          <w:shd w:val="clear" w:color="auto" w:fill="FFFFFF"/>
          <w:lang w:val="en-US"/>
        </w:rPr>
      </w:pPr>
      <w:r w:rsidRPr="003D5DC8">
        <w:rPr>
          <w:rFonts w:ascii="Arial" w:hAnsi="Arial" w:cs="Arial"/>
          <w:color w:val="202122"/>
          <w:sz w:val="28"/>
          <w:szCs w:val="28"/>
          <w:shd w:val="clear" w:color="auto" w:fill="FFFFFF"/>
        </w:rPr>
        <w:t xml:space="preserve">Rimski kralj Servij je uvedel </w:t>
      </w:r>
      <w:r>
        <w:rPr>
          <w:rFonts w:ascii="Arial" w:hAnsi="Arial" w:cs="Arial"/>
          <w:color w:val="202122"/>
          <w:sz w:val="28"/>
          <w:szCs w:val="28"/>
          <w:shd w:val="clear" w:color="auto" w:fill="FFFFFF"/>
          <w:lang w:val="en-US"/>
        </w:rPr>
        <w:t>servijske</w:t>
      </w:r>
      <w:r w:rsidRPr="003D5DC8">
        <w:rPr>
          <w:rFonts w:ascii="Arial" w:hAnsi="Arial" w:cs="Arial"/>
          <w:color w:val="202122"/>
          <w:sz w:val="28"/>
          <w:szCs w:val="28"/>
          <w:shd w:val="clear" w:color="auto" w:fill="FFFFFF"/>
        </w:rPr>
        <w:t xml:space="preserve"> reforme. Ti bi prebivalstvo razdelili v pet razredov. Vsak od njih bi imel različne vloge v vojski. </w:t>
      </w:r>
      <w:r w:rsidRPr="007C5586">
        <w:rPr>
          <w:rFonts w:ascii="Arial" w:hAnsi="Arial" w:cs="Arial"/>
          <w:strike/>
          <w:color w:val="202122"/>
          <w:sz w:val="28"/>
          <w:szCs w:val="28"/>
          <w:shd w:val="clear" w:color="auto" w:fill="FFFFFF"/>
        </w:rPr>
        <w:t xml:space="preserve">Prvi razred si je lahko privoščil </w:t>
      </w:r>
      <w:r w:rsidR="006E69DD">
        <w:rPr>
          <w:rFonts w:ascii="Arial" w:hAnsi="Arial" w:cs="Arial"/>
          <w:strike/>
          <w:color w:val="202122"/>
          <w:sz w:val="28"/>
          <w:szCs w:val="28"/>
          <w:shd w:val="clear" w:color="auto" w:fill="FFFFFF"/>
          <w:lang w:val="en-US"/>
        </w:rPr>
        <w:t>oklep</w:t>
      </w:r>
      <w:r w:rsidRPr="007C5586">
        <w:rPr>
          <w:rFonts w:ascii="Arial" w:hAnsi="Arial" w:cs="Arial"/>
          <w:strike/>
          <w:color w:val="202122"/>
          <w:sz w:val="28"/>
          <w:szCs w:val="28"/>
          <w:shd w:val="clear" w:color="auto" w:fill="FFFFFF"/>
        </w:rPr>
        <w:t xml:space="preserve">, škornje, ščit, meč in sulico. Drugi razred je imel </w:t>
      </w:r>
      <w:r w:rsidR="004F04D8">
        <w:rPr>
          <w:rFonts w:ascii="Arial" w:hAnsi="Arial" w:cs="Arial"/>
          <w:strike/>
          <w:color w:val="202122"/>
          <w:sz w:val="28"/>
          <w:szCs w:val="28"/>
          <w:shd w:val="clear" w:color="auto" w:fill="FFFFFF"/>
          <w:lang w:val="en-US"/>
        </w:rPr>
        <w:t>zascito za noge</w:t>
      </w:r>
      <w:r w:rsidRPr="007C5586">
        <w:rPr>
          <w:rFonts w:ascii="Arial" w:hAnsi="Arial" w:cs="Arial"/>
          <w:strike/>
          <w:color w:val="202122"/>
          <w:sz w:val="28"/>
          <w:szCs w:val="28"/>
          <w:shd w:val="clear" w:color="auto" w:fill="FFFFFF"/>
        </w:rPr>
        <w:t xml:space="preserve">, ščit, meč in sulico. Tretji razred si je lahko privoščil le ščit, meč in sulico. Četrti razred je imel ščit in sulico. Peti razred bi bili samo fračarji. Vsak revnejši državljan, imenovan Capite Censi, ne bi imel orožja. </w:t>
      </w:r>
      <w:r w:rsidR="00D72D4C">
        <w:rPr>
          <w:rFonts w:ascii="Arial" w:hAnsi="Arial" w:cs="Arial"/>
          <w:strike/>
          <w:color w:val="202122"/>
          <w:sz w:val="28"/>
          <w:szCs w:val="28"/>
          <w:shd w:val="clear" w:color="auto" w:fill="FFFFFF"/>
          <w:lang w:val="en-US"/>
        </w:rPr>
        <w:t xml:space="preserve">Niso pomgali </w:t>
      </w:r>
      <w:r w:rsidRPr="007C5586">
        <w:rPr>
          <w:rFonts w:ascii="Arial" w:hAnsi="Arial" w:cs="Arial"/>
          <w:strike/>
          <w:color w:val="202122"/>
          <w:sz w:val="28"/>
          <w:szCs w:val="28"/>
          <w:shd w:val="clear" w:color="auto" w:fill="FFFFFF"/>
        </w:rPr>
        <w:t xml:space="preserve">v vojski, razen če </w:t>
      </w:r>
      <w:r w:rsidR="00D72D4C">
        <w:rPr>
          <w:rFonts w:ascii="Arial" w:hAnsi="Arial" w:cs="Arial"/>
          <w:strike/>
          <w:color w:val="202122"/>
          <w:sz w:val="28"/>
          <w:szCs w:val="28"/>
          <w:shd w:val="clear" w:color="auto" w:fill="FFFFFF"/>
          <w:lang w:val="en-US"/>
        </w:rPr>
        <w:t>je</w:t>
      </w:r>
      <w:r w:rsidRPr="007C5586">
        <w:rPr>
          <w:rFonts w:ascii="Arial" w:hAnsi="Arial" w:cs="Arial"/>
          <w:strike/>
          <w:color w:val="202122"/>
          <w:sz w:val="28"/>
          <w:szCs w:val="28"/>
          <w:shd w:val="clear" w:color="auto" w:fill="FFFFFF"/>
        </w:rPr>
        <w:t xml:space="preserve"> bilo nujno.</w:t>
      </w:r>
    </w:p>
    <w:p w14:paraId="374D3103" w14:textId="77777777" w:rsidR="00724A18" w:rsidRDefault="00724A18" w:rsidP="00D05D0A">
      <w:pPr>
        <w:rPr>
          <w:rFonts w:ascii="Arial" w:hAnsi="Arial" w:cs="Arial"/>
          <w:strike/>
          <w:color w:val="202122"/>
          <w:sz w:val="28"/>
          <w:szCs w:val="28"/>
          <w:shd w:val="clear" w:color="auto" w:fill="FFFFFF"/>
          <w:lang w:val="en-US"/>
        </w:rPr>
      </w:pPr>
    </w:p>
    <w:p w14:paraId="6115659F" w14:textId="21612DE9" w:rsidR="00724A18" w:rsidRDefault="00963FC2" w:rsidP="00D05D0A">
      <w:pPr>
        <w:rPr>
          <w:rFonts w:ascii="Arial" w:hAnsi="Arial" w:cs="Arial"/>
          <w:color w:val="202122"/>
          <w:sz w:val="28"/>
          <w:szCs w:val="28"/>
          <w:shd w:val="clear" w:color="auto" w:fill="FFFFFF"/>
          <w:lang w:val="en-US"/>
        </w:rPr>
      </w:pPr>
      <w:r w:rsidRPr="00963FC2">
        <w:rPr>
          <w:rFonts w:ascii="Arial" w:hAnsi="Arial" w:cs="Arial"/>
          <w:color w:val="202122"/>
          <w:sz w:val="28"/>
          <w:szCs w:val="28"/>
          <w:shd w:val="clear" w:color="auto" w:fill="FFFFFF"/>
          <w:lang w:val="en-US"/>
        </w:rPr>
        <w:t xml:space="preserve">Pehotne vrste so napolnili nižji sloji, medtem ko so konjenico (equites ali celere) prepustili patricijem, saj so si premožnejši lahko privoščili konje. Še več, poveljujoča oblast v kraljevem obdobju je bil kralj. Ko se je rimska vojska zbrala na Campus Martius, se je imenovala Comitia Curiata. Do ustanovitve Rimske republike in konzulske funkcije je kralj prevzel vlogo vrhovnega poveljnika. Vendar od okoli leta 508 pred našim štetjem Rim ni imel več kralja. Poveljniški položaj v vojski so dobili </w:t>
      </w:r>
      <w:r w:rsidRPr="00963FC2">
        <w:rPr>
          <w:rFonts w:ascii="Arial" w:hAnsi="Arial" w:cs="Arial"/>
          <w:color w:val="202122"/>
          <w:sz w:val="28"/>
          <w:szCs w:val="28"/>
          <w:shd w:val="clear" w:color="auto" w:fill="FFFFFF"/>
          <w:lang w:val="en-US"/>
        </w:rPr>
        <w:lastRenderedPageBreak/>
        <w:t>konzuli, »ki so bili zadolženi tako posamezno kot skupaj, da skrbijo za ohranitev republike pred nevarnostjo«.</w:t>
      </w:r>
    </w:p>
    <w:p w14:paraId="75AB0C29" w14:textId="77777777" w:rsidR="00D31ECC" w:rsidRDefault="00D31ECC" w:rsidP="00D05D0A">
      <w:pPr>
        <w:rPr>
          <w:rFonts w:ascii="Arial" w:hAnsi="Arial" w:cs="Arial"/>
          <w:color w:val="202122"/>
          <w:sz w:val="28"/>
          <w:szCs w:val="28"/>
          <w:shd w:val="clear" w:color="auto" w:fill="FFFFFF"/>
          <w:lang w:val="en-US"/>
        </w:rPr>
      </w:pPr>
    </w:p>
    <w:p w14:paraId="2478BDEE" w14:textId="77777777" w:rsidR="00960208" w:rsidRDefault="00960208" w:rsidP="00D05D0A">
      <w:pPr>
        <w:rPr>
          <w:rFonts w:ascii="Arial" w:hAnsi="Arial" w:cs="Arial"/>
          <w:color w:val="202122"/>
          <w:sz w:val="28"/>
          <w:szCs w:val="28"/>
          <w:shd w:val="clear" w:color="auto" w:fill="FFFFFF"/>
          <w:lang w:val="en-US"/>
        </w:rPr>
      </w:pPr>
    </w:p>
    <w:p w14:paraId="252B8EE8" w14:textId="77777777" w:rsidR="00374F81" w:rsidRPr="00374F81" w:rsidRDefault="00374F81" w:rsidP="00D05D0A">
      <w:pPr>
        <w:rPr>
          <w:rFonts w:ascii="Arial" w:hAnsi="Arial" w:cs="Arial"/>
          <w:b/>
          <w:bCs/>
          <w:color w:val="202122"/>
          <w:sz w:val="28"/>
          <w:szCs w:val="28"/>
          <w:shd w:val="clear" w:color="auto" w:fill="FFFFFF"/>
          <w:lang w:val="en-US"/>
        </w:rPr>
      </w:pPr>
      <w:r w:rsidRPr="00374F81">
        <w:rPr>
          <w:rFonts w:ascii="Arial" w:hAnsi="Arial" w:cs="Arial"/>
          <w:b/>
          <w:bCs/>
          <w:color w:val="202122"/>
          <w:sz w:val="28"/>
          <w:szCs w:val="28"/>
          <w:shd w:val="clear" w:color="auto" w:fill="FFFFFF"/>
          <w:lang w:val="en-US"/>
        </w:rPr>
        <w:t>Rimska vojska srednje republike (okoli 300–88 pr. n. št.)</w:t>
      </w:r>
    </w:p>
    <w:p w14:paraId="76894CF4" w14:textId="59706755" w:rsidR="00960208" w:rsidRDefault="00374F81" w:rsidP="00D05D0A">
      <w:pPr>
        <w:rPr>
          <w:rFonts w:ascii="Arial" w:hAnsi="Arial" w:cs="Arial"/>
          <w:color w:val="202122"/>
          <w:sz w:val="28"/>
          <w:szCs w:val="28"/>
          <w:shd w:val="clear" w:color="auto" w:fill="FFFFFF"/>
          <w:lang w:val="en-US"/>
        </w:rPr>
      </w:pPr>
      <w:r w:rsidRPr="00374F81">
        <w:rPr>
          <w:rFonts w:ascii="Arial" w:hAnsi="Arial" w:cs="Arial"/>
          <w:color w:val="202122"/>
          <w:sz w:val="28"/>
          <w:szCs w:val="28"/>
          <w:shd w:val="clear" w:color="auto" w:fill="FFFFFF"/>
          <w:lang w:val="en-US"/>
        </w:rPr>
        <w:t xml:space="preserve">Rimska vojska srednje republike je bila znana tudi kot "manipularna vojska" ali "polibijska vojska" po grškem zgodovinarju Polibiju, ki daje najpodrobnejši obstoječi opis te faze. Rimska vojska je imela ves čas stalno moč 150.000 pripadnikov, 3/4 preostalih pa je bilo pobranih.  V tem obdobju so Rimljani, medtem ko so ohranili sistem dajatev, sprejeli samnitsko manipulativno organizacijo za svoje legije in tudi vse druge polotoške italijanske države povezali v trajno vojaško zvezo </w:t>
      </w:r>
      <w:r w:rsidR="00FC77D1">
        <w:rPr>
          <w:rFonts w:ascii="Arial" w:hAnsi="Arial" w:cs="Arial"/>
          <w:color w:val="202122"/>
          <w:sz w:val="28"/>
          <w:szCs w:val="28"/>
          <w:shd w:val="clear" w:color="auto" w:fill="FFFFFF"/>
          <w:lang w:val="en-US"/>
        </w:rPr>
        <w:t>.</w:t>
      </w:r>
      <w:r w:rsidRPr="00374F81">
        <w:rPr>
          <w:rFonts w:ascii="Arial" w:hAnsi="Arial" w:cs="Arial"/>
          <w:color w:val="202122"/>
          <w:sz w:val="28"/>
          <w:szCs w:val="28"/>
          <w:shd w:val="clear" w:color="auto" w:fill="FFFFFF"/>
          <w:lang w:val="en-US"/>
        </w:rPr>
        <w:t>Slednji so morali zagotoviti (skupaj) približno enako število vojakov skupnim silam kot Rimljani, da bi služili pod rimskim poveljstvom. Legije v tej fazi je na pohodu vedno spremljalo enako število zavezniških alae (rimskih nedržavljanskih pomožnih enot), enot približno enake velikosti kot legije.  Po drugi punski vojni (218–201 pr. n. št.) so Rimljani pridobili čezmorsko cesarstvo, ki je zahtevalo stalne sile za bojevanje v dolgotrajnih osvajalnih vojnah in garnizijo v novo pridobljenih provincah. Tako se je značaj vojske spremenil iz začasne sile, ki je v celoti temeljila na kratkoročnem vpoklicu, v stalno vojsko, v kateri je nabornike dopolnilo veliko število prostovoljcev, ki so bili pripravljeni služiti veliko dlje od zakonske šestletne omejitve. Ti prostovoljci so bili predvsem iz najrevnejšega družbenega sloja, ki doma ni imel parcel, privabljalo pa jih je skromno vojaško plačilo in možnost deleža vojnega plena. Zahteva glede minimalnega premoženja za služenje v legijah, ki je bila med drugo punsko vojno prekinjena, je bila od leta 201 pr. n. št. dejansko prezrta, da bi pridobili dovolj prostovoljcev.  Med letoma 150 pr. n. št. in 100 pr. n. št. je bila manipularna struktura postopoma opuščena in veliko večja kohorta je postala glavna taktična enota. Poleg tega so od druge punske vojne dalje rimske vojske vedno spremljale enote neitalskih plačancev, kot so numidska konjenica, kretski lokostrelci in balearski pračarji, ki so opravljali posebne funkcije, ki jih rimska vojska prej ni imela.</w:t>
      </w:r>
    </w:p>
    <w:p w14:paraId="1E9C85EB" w14:textId="77777777" w:rsidR="0061520D" w:rsidRDefault="0061520D" w:rsidP="00D05D0A">
      <w:pPr>
        <w:rPr>
          <w:rFonts w:ascii="Arial" w:hAnsi="Arial" w:cs="Arial"/>
          <w:color w:val="202122"/>
          <w:sz w:val="28"/>
          <w:szCs w:val="28"/>
          <w:shd w:val="clear" w:color="auto" w:fill="FFFFFF"/>
          <w:lang w:val="en-US"/>
        </w:rPr>
      </w:pPr>
    </w:p>
    <w:p w14:paraId="6EAB1FDC" w14:textId="77777777" w:rsidR="0061520D" w:rsidRDefault="0061520D" w:rsidP="00D05D0A">
      <w:pPr>
        <w:rPr>
          <w:rFonts w:ascii="Arial" w:hAnsi="Arial" w:cs="Arial"/>
          <w:color w:val="202122"/>
          <w:sz w:val="28"/>
          <w:szCs w:val="28"/>
          <w:shd w:val="clear" w:color="auto" w:fill="FFFFFF"/>
          <w:lang w:val="en-US"/>
        </w:rPr>
      </w:pPr>
    </w:p>
    <w:p w14:paraId="05B4841D" w14:textId="77777777" w:rsidR="00092DF2" w:rsidRDefault="00092DF2" w:rsidP="00D05D0A">
      <w:pPr>
        <w:rPr>
          <w:rFonts w:ascii="Arial" w:hAnsi="Arial" w:cs="Arial"/>
          <w:color w:val="202122"/>
          <w:sz w:val="28"/>
          <w:szCs w:val="28"/>
          <w:shd w:val="clear" w:color="auto" w:fill="FFFFFF"/>
          <w:lang w:val="en-US"/>
        </w:rPr>
      </w:pPr>
    </w:p>
    <w:p w14:paraId="32448C3D" w14:textId="089B39F7" w:rsidR="0080631F" w:rsidRPr="00092DF2" w:rsidRDefault="00092DF2" w:rsidP="00987D88">
      <w:pPr>
        <w:rPr>
          <w:rFonts w:ascii="Arial" w:hAnsi="Arial" w:cs="Arial"/>
          <w:b/>
          <w:bCs/>
          <w:color w:val="202122"/>
          <w:sz w:val="28"/>
          <w:szCs w:val="28"/>
          <w:shd w:val="clear" w:color="auto" w:fill="FFFFFF"/>
          <w:lang w:val="en-US"/>
        </w:rPr>
      </w:pPr>
      <w:r w:rsidRPr="00092DF2">
        <w:rPr>
          <w:rFonts w:ascii="Arial" w:hAnsi="Arial" w:cs="Arial"/>
          <w:b/>
          <w:bCs/>
          <w:color w:val="202122"/>
          <w:sz w:val="28"/>
          <w:szCs w:val="28"/>
          <w:shd w:val="clear" w:color="auto" w:fill="FFFFFF"/>
          <w:lang w:val="en-US"/>
        </w:rPr>
        <w:lastRenderedPageBreak/>
        <w:t>Rimska vojska pozne republike (88–30 pr. n. št.)</w:t>
      </w:r>
    </w:p>
    <w:p w14:paraId="3D451FAA" w14:textId="391FBEA3" w:rsidR="0080631F" w:rsidRDefault="0080631F" w:rsidP="00D05D0A">
      <w:pPr>
        <w:rPr>
          <w:rFonts w:ascii="Arial" w:hAnsi="Arial" w:cs="Arial"/>
          <w:color w:val="202122"/>
          <w:sz w:val="28"/>
          <w:szCs w:val="28"/>
          <w:shd w:val="clear" w:color="auto" w:fill="FFFFFF"/>
          <w:lang w:val="en-US"/>
        </w:rPr>
      </w:pPr>
      <w:r w:rsidRPr="0024432E">
        <w:rPr>
          <w:rFonts w:ascii="Arial" w:hAnsi="Arial" w:cs="Arial"/>
          <w:strike/>
          <w:color w:val="202122"/>
          <w:sz w:val="28"/>
          <w:szCs w:val="28"/>
          <w:shd w:val="clear" w:color="auto" w:fill="FFFFFF"/>
          <w:lang w:val="en-US"/>
        </w:rPr>
        <w:t>Rimska vojska pozne republike (88–30 pr. n. št.) označuje nadaljnji prehod od naborniške državljanske dajatve srednje republike k večinoma prostovoljnim, poklicnim stalnim silam cesarske dobe.</w:t>
      </w:r>
      <w:r w:rsidRPr="0080631F">
        <w:rPr>
          <w:rFonts w:ascii="Arial" w:hAnsi="Arial" w:cs="Arial"/>
          <w:color w:val="202122"/>
          <w:sz w:val="28"/>
          <w:szCs w:val="28"/>
          <w:shd w:val="clear" w:color="auto" w:fill="FFFFFF"/>
          <w:lang w:val="en-US"/>
        </w:rPr>
        <w:t xml:space="preserve">  </w:t>
      </w:r>
      <w:r w:rsidRPr="009D62AA">
        <w:rPr>
          <w:rFonts w:ascii="Arial" w:hAnsi="Arial" w:cs="Arial"/>
          <w:strike/>
          <w:color w:val="202122"/>
          <w:sz w:val="28"/>
          <w:szCs w:val="28"/>
          <w:shd w:val="clear" w:color="auto" w:fill="FFFFFF"/>
          <w:lang w:val="en-US"/>
        </w:rPr>
        <w:t>Glavni literarni viri za organizacijo in taktiko vojske v tej fazi so dela Julija Cezarja, najvidnejšega v vrsti vojskovodij, ki so se borili za oblast v tem obdobju</w:t>
      </w:r>
      <w:r w:rsidRPr="0080631F">
        <w:rPr>
          <w:rFonts w:ascii="Arial" w:hAnsi="Arial" w:cs="Arial"/>
          <w:color w:val="202122"/>
          <w:sz w:val="28"/>
          <w:szCs w:val="28"/>
          <w:shd w:val="clear" w:color="auto" w:fill="FFFFFF"/>
          <w:lang w:val="en-US"/>
        </w:rPr>
        <w:t xml:space="preserve">.  </w:t>
      </w:r>
      <w:r w:rsidRPr="004B24EE">
        <w:rPr>
          <w:rFonts w:ascii="Arial" w:hAnsi="Arial" w:cs="Arial"/>
          <w:strike/>
          <w:color w:val="202122"/>
          <w:sz w:val="28"/>
          <w:szCs w:val="28"/>
          <w:shd w:val="clear" w:color="auto" w:fill="FFFFFF"/>
          <w:lang w:val="en-US"/>
        </w:rPr>
        <w:t xml:space="preserve">Zaradi socialne vojne (91–88 pr. n. št.) so vsi Italijani dobili rimsko državljanstvo, stare </w:t>
      </w:r>
      <w:r w:rsidR="002C7EEC" w:rsidRPr="004B24EE">
        <w:rPr>
          <w:rFonts w:ascii="Arial" w:hAnsi="Arial" w:cs="Arial"/>
          <w:strike/>
          <w:color w:val="202122"/>
          <w:sz w:val="28"/>
          <w:szCs w:val="28"/>
          <w:shd w:val="clear" w:color="auto" w:fill="FFFFFF"/>
          <w:lang w:val="en-US"/>
        </w:rPr>
        <w:t>zaveze</w:t>
      </w:r>
      <w:r w:rsidRPr="004B24EE">
        <w:rPr>
          <w:rFonts w:ascii="Arial" w:hAnsi="Arial" w:cs="Arial"/>
          <w:strike/>
          <w:color w:val="202122"/>
          <w:sz w:val="28"/>
          <w:szCs w:val="28"/>
          <w:shd w:val="clear" w:color="auto" w:fill="FFFFFF"/>
          <w:lang w:val="en-US"/>
        </w:rPr>
        <w:t xml:space="preserve"> so bile s tem ukinjene in njihovi člani vključeni v legije.</w:t>
      </w:r>
      <w:r w:rsidRPr="0080631F">
        <w:rPr>
          <w:rFonts w:ascii="Arial" w:hAnsi="Arial" w:cs="Arial"/>
          <w:color w:val="202122"/>
          <w:sz w:val="28"/>
          <w:szCs w:val="28"/>
          <w:shd w:val="clear" w:color="auto" w:fill="FFFFFF"/>
          <w:lang w:val="en-US"/>
        </w:rPr>
        <w:t xml:space="preserve"> Redni letni nabor je ostal v veljavi in ​​je še naprej predstavljal jedro nabora v legijo, vendar je bil vedno večji delež nabornikov prostovoljcev, ki so se prijavili za 16-letno obdobje v nasprotju z najvišjim 6-letnim obdobjem za nabornike. Izguba ala konjenice je zmanjšala rimsko/italijansko konjenico za 75 % in legije so postale odvisne od zavezniških domačih konj za konjeniško kritje. V tem obdobju je prišlo do obsežne ekspanzije domorodnih sil, ki so dopolnjevale legije, sestavljene iz numeri (»enot«), rekrutiranih iz plemen znotraj rimskega čezmorskega imperija in sosednjih zavezniških plemen. Veliko število težke pehote in konjenice je bilo rekrutiranih v rimskih provincah Hispaniji, Galiji in Trakiji ter lokostrelci iz vzhodnega Sredozemlja (večinoma iz Trakije, Anatolije in Sirije). Vendar pa te domorodne enote niso bile integrirane z legijami, ampak so ohranile svoje tradicionalno vodstvo, organizacijo, oklepe in orožje.</w:t>
      </w:r>
    </w:p>
    <w:p w14:paraId="637EF2EE" w14:textId="77777777" w:rsidR="008074DE" w:rsidRDefault="008074DE" w:rsidP="00D05D0A">
      <w:pPr>
        <w:rPr>
          <w:rFonts w:ascii="Arial" w:hAnsi="Arial" w:cs="Arial"/>
          <w:color w:val="202122"/>
          <w:sz w:val="28"/>
          <w:szCs w:val="28"/>
          <w:shd w:val="clear" w:color="auto" w:fill="FFFFFF"/>
          <w:lang w:val="en-US"/>
        </w:rPr>
      </w:pPr>
    </w:p>
    <w:p w14:paraId="185DC6D7" w14:textId="77777777" w:rsidR="008074DE" w:rsidRPr="00963FC2" w:rsidRDefault="008074DE" w:rsidP="00D05D0A">
      <w:pPr>
        <w:rPr>
          <w:rFonts w:ascii="Arial" w:hAnsi="Arial" w:cs="Arial"/>
          <w:color w:val="202122"/>
          <w:sz w:val="28"/>
          <w:szCs w:val="28"/>
          <w:shd w:val="clear" w:color="auto" w:fill="FFFFFF"/>
          <w:lang w:val="en-US"/>
        </w:rPr>
      </w:pPr>
    </w:p>
    <w:p w14:paraId="22BADB3C" w14:textId="77777777" w:rsidR="007F00A9" w:rsidRPr="00963FC2" w:rsidRDefault="007F00A9" w:rsidP="00D05D0A">
      <w:pPr>
        <w:rPr>
          <w:rFonts w:ascii="Arial" w:hAnsi="Arial" w:cs="Arial"/>
          <w:color w:val="202122"/>
          <w:sz w:val="28"/>
          <w:szCs w:val="28"/>
          <w:shd w:val="clear" w:color="auto" w:fill="FFFFFF"/>
        </w:rPr>
      </w:pPr>
    </w:p>
    <w:p w14:paraId="48B332E1" w14:textId="0340B3D4" w:rsidR="007F00A9" w:rsidRDefault="008074DE" w:rsidP="00D05D0A">
      <w:pPr>
        <w:rPr>
          <w:rFonts w:ascii="Arial" w:hAnsi="Arial" w:cs="Arial"/>
          <w:b/>
          <w:bCs/>
          <w:color w:val="202122"/>
          <w:sz w:val="28"/>
          <w:szCs w:val="28"/>
          <w:shd w:val="clear" w:color="auto" w:fill="FFFFFF"/>
        </w:rPr>
      </w:pPr>
      <w:r w:rsidRPr="00DA1B4A">
        <w:rPr>
          <w:rFonts w:ascii="Arial" w:hAnsi="Arial" w:cs="Arial"/>
          <w:b/>
          <w:bCs/>
          <w:color w:val="202122"/>
          <w:sz w:val="28"/>
          <w:szCs w:val="28"/>
          <w:shd w:val="clear" w:color="auto" w:fill="FFFFFF"/>
        </w:rPr>
        <w:t>Rimska cesarska vojska (30 pr. n. št.–284 n. št.)</w:t>
      </w:r>
    </w:p>
    <w:p w14:paraId="3282CDCC" w14:textId="1794C24E" w:rsidR="00DA1B4A" w:rsidRDefault="00DA1B4A" w:rsidP="00D05D0A">
      <w:pPr>
        <w:rPr>
          <w:rFonts w:ascii="Arial" w:hAnsi="Arial" w:cs="Arial"/>
          <w:color w:val="202122"/>
          <w:sz w:val="28"/>
          <w:szCs w:val="28"/>
          <w:shd w:val="clear" w:color="auto" w:fill="FFFFFF"/>
          <w:lang w:val="en-US"/>
        </w:rPr>
      </w:pPr>
      <w:r w:rsidRPr="00DA1B4A">
        <w:rPr>
          <w:rFonts w:ascii="Arial" w:hAnsi="Arial" w:cs="Arial"/>
          <w:color w:val="202122"/>
          <w:sz w:val="28"/>
          <w:szCs w:val="28"/>
          <w:shd w:val="clear" w:color="auto" w:fill="FFFFFF"/>
          <w:lang w:val="en-US"/>
        </w:rPr>
        <w:t xml:space="preserve">V tem obdobju je republikanski sistem vpoklica državljanov nadomestila stalna poklicna vojska, sestavljena predvsem iz prostovoljcev, ki so služili standardni 20-letni rok (plus pet let kot rezervisti), čeprav so mnogi v službi rimskega imperija služili celo 30 do 40 let aktivne službe, kot je določil prvi rimski cesar Avgust (edini vladar 30 pr. n. št.–14 n. št.). Redno letno vpoklicanje meščanov je bilo opuščeno in predpisano le v nujnih primerih (npr. med ilirskim uporom 6–9 n. št.).  Pod Avgustom je bilo 28 legij, sestavljenih skoraj v celoti iz težke pehote, s približno 5.000 možmi v vsaki (skupaj 125.000). To se je povečalo na 33 legij s približno 5.500 možmi v vsaki (skupaj približno 180.000 mož) do leta 200 našega štetja pod Septimijem Severjem. Legije so še naprej novačile rimske </w:t>
      </w:r>
      <w:r w:rsidRPr="00DA1B4A">
        <w:rPr>
          <w:rFonts w:ascii="Arial" w:hAnsi="Arial" w:cs="Arial"/>
          <w:color w:val="202122"/>
          <w:sz w:val="28"/>
          <w:szCs w:val="28"/>
          <w:shd w:val="clear" w:color="auto" w:fill="FFFFFF"/>
          <w:lang w:val="en-US"/>
        </w:rPr>
        <w:lastRenderedPageBreak/>
        <w:t>državljane, predvsem prebivalce Italije in rimskih kolonij, vse do leta 212. Legije so obkrožale auxilia, korpus rednih čet, rekrutiran predvsem iz peregrinov, cesarskih podanikov, ki niso imeli rimskega državljanstva (velika večina prebivalci cesarstva do leta 212, ko so vsi dobili državljanstvo). Pomočniki, ki so služili najmanj 25 let, so bili prav tako večinoma prostovoljci, vendar so bili večino 1. stoletja našega štetja redno vpoklicani peregrini. Pod Avgustom je auxilia sestavljalo približno 250 polkov približno velikosti kohorte, to je približno 500 mož (skupaj 125.000 mož ali 50% celotne vojske). Pod Septimijem Severjem se je število polkov povečalo na približno 400, od tega jih je bilo približno 13 % dvojne moči (250.000 mož ali 60 % celotne vojske). Auxilia je vsebovala težko pehoto, opremljeno podobno kot legionarji, skoraj vso konjenico vojske (oklepno in lahko), lokostrelce in prače.</w:t>
      </w:r>
    </w:p>
    <w:p w14:paraId="6C6AF8A3" w14:textId="77777777" w:rsidR="001E737B" w:rsidRDefault="001E737B" w:rsidP="00D05D0A">
      <w:pPr>
        <w:rPr>
          <w:rFonts w:ascii="Arial" w:hAnsi="Arial" w:cs="Arial"/>
          <w:color w:val="202122"/>
          <w:sz w:val="28"/>
          <w:szCs w:val="28"/>
          <w:shd w:val="clear" w:color="auto" w:fill="FFFFFF"/>
          <w:lang w:val="en-US"/>
        </w:rPr>
      </w:pPr>
    </w:p>
    <w:p w14:paraId="74304804" w14:textId="41E3E3A7" w:rsidR="001E737B" w:rsidRDefault="001E737B" w:rsidP="00D05D0A">
      <w:pPr>
        <w:rPr>
          <w:rFonts w:ascii="Arial" w:hAnsi="Arial" w:cs="Arial"/>
          <w:b/>
          <w:bCs/>
          <w:color w:val="202122"/>
          <w:sz w:val="28"/>
          <w:szCs w:val="28"/>
          <w:shd w:val="clear" w:color="auto" w:fill="FFFFFF"/>
          <w:lang w:val="en-US"/>
        </w:rPr>
      </w:pPr>
      <w:r w:rsidRPr="001E737B">
        <w:rPr>
          <w:rFonts w:ascii="Arial" w:hAnsi="Arial" w:cs="Arial"/>
          <w:b/>
          <w:bCs/>
          <w:color w:val="202122"/>
          <w:sz w:val="28"/>
          <w:szCs w:val="28"/>
          <w:shd w:val="clear" w:color="auto" w:fill="FFFFFF"/>
          <w:lang w:val="en-US"/>
        </w:rPr>
        <w:t>Kasnejša rimska vojska (284–476 n. št.), ki se nadaljuje kot vzhodnorimska vojska (476–641 n. št.)</w:t>
      </w:r>
    </w:p>
    <w:p w14:paraId="40F07E9C" w14:textId="52649CA9" w:rsidR="00E31554" w:rsidRDefault="00E31554" w:rsidP="00D05D0A">
      <w:pPr>
        <w:rPr>
          <w:rFonts w:ascii="Arial" w:hAnsi="Arial" w:cs="Arial"/>
          <w:color w:val="202122"/>
          <w:sz w:val="28"/>
          <w:szCs w:val="28"/>
          <w:shd w:val="clear" w:color="auto" w:fill="FFFFFF"/>
          <w:lang w:val="en-US"/>
        </w:rPr>
      </w:pPr>
      <w:r w:rsidRPr="00E31554">
        <w:rPr>
          <w:rFonts w:ascii="Arial" w:hAnsi="Arial" w:cs="Arial"/>
          <w:color w:val="202122"/>
          <w:sz w:val="28"/>
          <w:szCs w:val="28"/>
          <w:shd w:val="clear" w:color="auto" w:fill="FFFFFF"/>
          <w:lang w:val="en-US"/>
        </w:rPr>
        <w:t>Obdobje pozne rimske vojske se razteza od (284–476 n. št. in njegovo nadaljevanje, v preživeli vzhodni polovici imperija, kot vzhodnorimska vojska do leta 641). V tej fazi, ki so jo izkristalizirale reforme cesarja Dioklecijana (vladal 284–305 n. št.), se je rimska vojska vrnila k rednemu letnemu vpoklicu državljanov, hkrati pa sprejela veliko število barbarskih prostovoljcev nedržavljanov. Vendar pa so vojaki ostali 25-letni profesionalci in se niso vrnili na kratkoročne dajatve republike. Stara dvojna organizacija legij in auxilia je bila opuščena, tako da so državljani in nedržavljani zdaj služili v istih enotah. Stare legije so bile razdeljene na kohorte ali celo manjše enote. Obenem je bil precejšen delež armade nameščen v notranjosti cesarstva v obliki comitatus praesentales, vojske, ki je spremljala cesarje.</w:t>
      </w:r>
    </w:p>
    <w:p w14:paraId="44E3209E" w14:textId="77777777" w:rsidR="00B07270" w:rsidRDefault="00B07270" w:rsidP="00D05D0A">
      <w:pPr>
        <w:rPr>
          <w:rFonts w:ascii="Arial" w:hAnsi="Arial" w:cs="Arial"/>
          <w:color w:val="202122"/>
          <w:sz w:val="28"/>
          <w:szCs w:val="28"/>
          <w:shd w:val="clear" w:color="auto" w:fill="FFFFFF"/>
          <w:lang w:val="en-US"/>
        </w:rPr>
      </w:pPr>
    </w:p>
    <w:p w14:paraId="0B800A06" w14:textId="77777777" w:rsidR="00E87A49" w:rsidRDefault="00B07270" w:rsidP="00D05D0A">
      <w:pPr>
        <w:rPr>
          <w:rFonts w:ascii="Arial" w:hAnsi="Arial" w:cs="Arial"/>
          <w:color w:val="202122"/>
          <w:sz w:val="28"/>
          <w:szCs w:val="28"/>
          <w:shd w:val="clear" w:color="auto" w:fill="FFFFFF"/>
          <w:lang w:val="en-US"/>
        </w:rPr>
      </w:pPr>
      <w:r w:rsidRPr="00E87A49">
        <w:rPr>
          <w:rFonts w:ascii="Arial" w:hAnsi="Arial" w:cs="Arial"/>
          <w:b/>
          <w:bCs/>
          <w:color w:val="202122"/>
          <w:sz w:val="28"/>
          <w:szCs w:val="28"/>
          <w:shd w:val="clear" w:color="auto" w:fill="FFFFFF"/>
          <w:lang w:val="en-US"/>
        </w:rPr>
        <w:t>Srednjebizantinska vojska (641–1081 n. št.)</w:t>
      </w:r>
      <w:r w:rsidRPr="00B07270">
        <w:rPr>
          <w:rFonts w:ascii="Arial" w:hAnsi="Arial" w:cs="Arial"/>
          <w:color w:val="202122"/>
          <w:sz w:val="28"/>
          <w:szCs w:val="28"/>
          <w:shd w:val="clear" w:color="auto" w:fill="FFFFFF"/>
          <w:lang w:val="en-US"/>
        </w:rPr>
        <w:t xml:space="preserve"> </w:t>
      </w:r>
    </w:p>
    <w:p w14:paraId="2DB54FD8" w14:textId="29286CC2" w:rsidR="00E87A49" w:rsidRDefault="00B07270" w:rsidP="00D05D0A">
      <w:pPr>
        <w:rPr>
          <w:rFonts w:ascii="Arial" w:hAnsi="Arial" w:cs="Arial"/>
          <w:color w:val="202122"/>
          <w:sz w:val="28"/>
          <w:szCs w:val="28"/>
          <w:shd w:val="clear" w:color="auto" w:fill="FFFFFF"/>
          <w:lang w:val="en-US"/>
        </w:rPr>
      </w:pPr>
      <w:r w:rsidRPr="00B07270">
        <w:rPr>
          <w:rFonts w:ascii="Arial" w:hAnsi="Arial" w:cs="Arial"/>
          <w:color w:val="202122"/>
          <w:sz w:val="28"/>
          <w:szCs w:val="28"/>
          <w:shd w:val="clear" w:color="auto" w:fill="FFFFFF"/>
          <w:lang w:val="en-US"/>
        </w:rPr>
        <w:t>Srednjebizantinska vojska (641–1081 n. št.) je bila vojska bizantinske države v svoji klasični obliki (tj. po trajni izgubi njenih bližnjevzhodnih in severnoafriških ozemelj zaradi arabskih osvajanj po letu 641 n. št.). To vojsko so večinoma sestavljale polprofesionalne čete (vojaki-kmetje), ki so temeljile na vojaških provincah themata, dopolnjenih z majhnim jedrom poklicnih polkov, znanih kot tagmata. Ibn al-Fakih je ocenil moč thematskih sil na vzhodu c. 902 pri 85.000 in Kodama c. 930 pri 70.000.</w:t>
      </w:r>
      <w:r w:rsidR="003C11C6">
        <w:rPr>
          <w:rFonts w:ascii="Arial" w:hAnsi="Arial" w:cs="Arial"/>
          <w:color w:val="202122"/>
          <w:sz w:val="28"/>
          <w:szCs w:val="28"/>
          <w:shd w:val="clear" w:color="auto" w:fill="FFFFFF"/>
          <w:lang w:val="en-US"/>
        </w:rPr>
        <w:t xml:space="preserve"> </w:t>
      </w:r>
      <w:r w:rsidRPr="00B07270">
        <w:rPr>
          <w:rFonts w:ascii="Arial" w:hAnsi="Arial" w:cs="Arial"/>
          <w:color w:val="202122"/>
          <w:sz w:val="28"/>
          <w:szCs w:val="28"/>
          <w:shd w:val="clear" w:color="auto" w:fill="FFFFFF"/>
          <w:lang w:val="en-US"/>
        </w:rPr>
        <w:lastRenderedPageBreak/>
        <w:t>Ta struktura se je nanašala na čas, ko je bil imperij v defenzivi, v 10. stoletju je bil imperij vedno bolj vpleten v ozemeljsko širitev, čete themata pa so postajale vse bolj nepomembne, postopoma so jih nadomestile enote 'provincialne tagmate' in povečana uporaba</w:t>
      </w:r>
      <w:r w:rsidR="00E87A49">
        <w:rPr>
          <w:rFonts w:ascii="Arial" w:hAnsi="Arial" w:cs="Arial"/>
          <w:color w:val="202122"/>
          <w:sz w:val="28"/>
          <w:szCs w:val="28"/>
          <w:shd w:val="clear" w:color="auto" w:fill="FFFFFF"/>
          <w:lang w:val="en-US"/>
        </w:rPr>
        <w:t xml:space="preserve"> </w:t>
      </w:r>
      <w:r w:rsidRPr="00B07270">
        <w:rPr>
          <w:rFonts w:ascii="Arial" w:hAnsi="Arial" w:cs="Arial"/>
          <w:color w:val="202122"/>
          <w:sz w:val="28"/>
          <w:szCs w:val="28"/>
          <w:shd w:val="clear" w:color="auto" w:fill="FFFFFF"/>
          <w:lang w:val="en-US"/>
        </w:rPr>
        <w:t xml:space="preserve">plačancev. </w:t>
      </w:r>
    </w:p>
    <w:p w14:paraId="76DC230A" w14:textId="3B1C4B88" w:rsidR="00E87A49" w:rsidRDefault="00B07270" w:rsidP="00D05D0A">
      <w:pPr>
        <w:rPr>
          <w:rFonts w:ascii="Arial" w:hAnsi="Arial" w:cs="Arial"/>
          <w:color w:val="202122"/>
          <w:sz w:val="28"/>
          <w:szCs w:val="28"/>
          <w:shd w:val="clear" w:color="auto" w:fill="FFFFFF"/>
          <w:lang w:val="en-US"/>
        </w:rPr>
      </w:pPr>
      <w:r w:rsidRPr="00E87A49">
        <w:rPr>
          <w:rFonts w:ascii="Arial" w:hAnsi="Arial" w:cs="Arial"/>
          <w:b/>
          <w:bCs/>
          <w:color w:val="202122"/>
          <w:sz w:val="28"/>
          <w:szCs w:val="28"/>
          <w:shd w:val="clear" w:color="auto" w:fill="FFFFFF"/>
          <w:lang w:val="en-US"/>
        </w:rPr>
        <w:t>Komnenska bizantinska vojska (1081–1204)</w:t>
      </w:r>
    </w:p>
    <w:p w14:paraId="26DA0C1D" w14:textId="77777777" w:rsidR="00D06284" w:rsidRDefault="00B07270" w:rsidP="00D05D0A">
      <w:pPr>
        <w:rPr>
          <w:rFonts w:ascii="Arial" w:hAnsi="Arial" w:cs="Arial"/>
          <w:color w:val="202122"/>
          <w:sz w:val="28"/>
          <w:szCs w:val="28"/>
          <w:shd w:val="clear" w:color="auto" w:fill="FFFFFF"/>
          <w:lang w:val="en-US"/>
        </w:rPr>
      </w:pPr>
      <w:r w:rsidRPr="00B07270">
        <w:rPr>
          <w:rFonts w:ascii="Arial" w:hAnsi="Arial" w:cs="Arial"/>
          <w:color w:val="202122"/>
          <w:sz w:val="28"/>
          <w:szCs w:val="28"/>
          <w:shd w:val="clear" w:color="auto" w:fill="FFFFFF"/>
          <w:lang w:val="en-US"/>
        </w:rPr>
        <w:t xml:space="preserve"> Komnenska bizantinska vojska je dobila ime po dinastiji Komnenov, ki je vladala od leta 1081 do 1185. To je bila vojska, zgrajena tako rekoč iz nič, potem ko so Turki po bitki pri Manzikertu leta 1071 trajno izgubili polovico bizantinskega tradicionalnega glavnega novačilnega območja Anatolije. , in uničenje zadnjih polkov stare vojske v vojnah proti Normanom v zgodnjih 1080-ih. Preživela je do padca Konstantinopla v roke zahodnih križarjev leta 1204. Ta vojska je imela veliko število najemniških polkov, sestavljenih iz vojakov tujega izvora, kot je varjaška garda, in uveden je bil sistem pronoia. </w:t>
      </w:r>
    </w:p>
    <w:p w14:paraId="6B9F8406" w14:textId="6198B9C9" w:rsidR="00D06284" w:rsidRPr="00D06284" w:rsidRDefault="00B07270" w:rsidP="00D05D0A">
      <w:pPr>
        <w:rPr>
          <w:rFonts w:ascii="Arial" w:hAnsi="Arial" w:cs="Arial"/>
          <w:b/>
          <w:bCs/>
          <w:color w:val="202122"/>
          <w:sz w:val="28"/>
          <w:szCs w:val="28"/>
          <w:shd w:val="clear" w:color="auto" w:fill="FFFFFF"/>
          <w:lang w:val="en-US"/>
        </w:rPr>
      </w:pPr>
      <w:r w:rsidRPr="00D06284">
        <w:rPr>
          <w:rFonts w:ascii="Arial" w:hAnsi="Arial" w:cs="Arial"/>
          <w:b/>
          <w:bCs/>
          <w:color w:val="202122"/>
          <w:sz w:val="28"/>
          <w:szCs w:val="28"/>
          <w:shd w:val="clear" w:color="auto" w:fill="FFFFFF"/>
          <w:lang w:val="en-US"/>
        </w:rPr>
        <w:t>Bizantinska vojska Paleologa (1261–1453)</w:t>
      </w:r>
    </w:p>
    <w:p w14:paraId="07310E28" w14:textId="763BEC73" w:rsidR="00B07270" w:rsidRPr="00E31554" w:rsidRDefault="00B07270" w:rsidP="00D05D0A">
      <w:pPr>
        <w:rPr>
          <w:rFonts w:ascii="Arial" w:hAnsi="Arial" w:cs="Arial"/>
          <w:color w:val="202122"/>
          <w:sz w:val="28"/>
          <w:szCs w:val="28"/>
          <w:shd w:val="clear" w:color="auto" w:fill="FFFFFF"/>
          <w:lang w:val="en-US"/>
        </w:rPr>
      </w:pPr>
      <w:r w:rsidRPr="00B07270">
        <w:rPr>
          <w:rFonts w:ascii="Arial" w:hAnsi="Arial" w:cs="Arial"/>
          <w:color w:val="202122"/>
          <w:sz w:val="28"/>
          <w:szCs w:val="28"/>
          <w:shd w:val="clear" w:color="auto" w:fill="FFFFFF"/>
          <w:lang w:val="en-US"/>
        </w:rPr>
        <w:t xml:space="preserve"> Bizantinska vojska Paleologov je dobila ime po dinastiji Paleologov (1261–1453), ki je Bizancu vladala od vrnitve Konstantinopla izpod rok križarjev do njegovega padca pod Turke leta 1453. Sprva je nadaljevala nekatere prakse, podedovane iz obdobja Komnenov, in obdržala močan domači element do poznega 13. stoletja. V zadnjem stoletju svojega obstoja pa je bil imperij komaj kaj več kot mesto-država, ki je za svojo obrambo najemala tuje najemniške skupine. Tako je bizantinska vojska dokončno izgubila kakršno koli smiselno povezavo s stalno cesarsko rimsko vojsko. </w:t>
      </w:r>
    </w:p>
    <w:p w14:paraId="15540613" w14:textId="77777777" w:rsidR="0086218B" w:rsidRPr="0086218B" w:rsidRDefault="00812E0F" w:rsidP="00D05D0A">
      <w:pPr>
        <w:rPr>
          <w:rFonts w:ascii="Arial" w:hAnsi="Arial" w:cs="Arial"/>
          <w:b/>
          <w:bCs/>
          <w:color w:val="202122"/>
          <w:sz w:val="28"/>
          <w:szCs w:val="28"/>
          <w:shd w:val="clear" w:color="auto" w:fill="FFFFFF"/>
          <w:lang w:val="en-US"/>
        </w:rPr>
      </w:pPr>
      <w:r w:rsidRPr="0086218B">
        <w:rPr>
          <w:rFonts w:ascii="Arial" w:hAnsi="Arial" w:cs="Arial"/>
          <w:b/>
          <w:bCs/>
          <w:color w:val="202122"/>
          <w:sz w:val="28"/>
          <w:szCs w:val="28"/>
          <w:shd w:val="clear" w:color="auto" w:fill="FFFFFF"/>
          <w:lang w:val="en-US"/>
        </w:rPr>
        <w:t xml:space="preserve">Zgodnja rimska vojska (okoli 550 do približno 300 pr. n. št.) </w:t>
      </w:r>
    </w:p>
    <w:p w14:paraId="41843408" w14:textId="19E77110" w:rsidR="00000B04" w:rsidRPr="00E31554" w:rsidRDefault="00812E0F" w:rsidP="00D05D0A">
      <w:pPr>
        <w:rPr>
          <w:rFonts w:ascii="Arial" w:hAnsi="Arial" w:cs="Arial"/>
          <w:color w:val="202122"/>
          <w:sz w:val="28"/>
          <w:szCs w:val="28"/>
          <w:shd w:val="clear" w:color="auto" w:fill="FFFFFF"/>
          <w:lang w:val="en-US"/>
        </w:rPr>
      </w:pPr>
      <w:r w:rsidRPr="00812E0F">
        <w:rPr>
          <w:rFonts w:ascii="Arial" w:hAnsi="Arial" w:cs="Arial"/>
          <w:color w:val="202122"/>
          <w:sz w:val="28"/>
          <w:szCs w:val="28"/>
          <w:shd w:val="clear" w:color="auto" w:fill="FFFFFF"/>
          <w:lang w:val="en-US"/>
        </w:rPr>
        <w:t xml:space="preserve">Do 550 pr. n. št. ni bilo "nacionalne" rimske vojske, ampak niz klansko temelječih bojnih skupin, ki so se združile v enotno silo le v obdobjih resne zunanje grožnje. Okoli leta 550 pr. n. št., v obdobju, ki je običajno znano kot vladavina kralja Servija Tulija, se zdi, da je bila uvedena splošna dajatev za upravičene odrasle moške državljane. Ta razvoj je očitno sovpadal z uvedbo težkih oklepov za večino pehote. Čeprav je bila rimska pehota prvotno maloštevilna, je bila izjemno taktična in je razvila nekatere najvplivnejše bojne strategije do danes.  Zgodnja rimska vojska je temeljila na obvezni dajatvi odraslih moških državljanov, ki se je izvajala na začetku vsake vojne v tistih letih, ko je bila napovedana vojna. Ni bilo stalnih ali strokovnih sil. Med kraljevsko dobo (do ok. 500 </w:t>
      </w:r>
      <w:r w:rsidRPr="00812E0F">
        <w:rPr>
          <w:rFonts w:ascii="Arial" w:hAnsi="Arial" w:cs="Arial"/>
          <w:color w:val="202122"/>
          <w:sz w:val="28"/>
          <w:szCs w:val="28"/>
          <w:shd w:val="clear" w:color="auto" w:fill="FFFFFF"/>
          <w:lang w:val="en-US"/>
        </w:rPr>
        <w:lastRenderedPageBreak/>
        <w:t>pr. n. št.) je standardna dajatev verjetno sestavljala 9000 mož, sestavljena iz 6000 težko oboroženih pehotov (verjetno grških hoplitov), ​​plus 2400 lahko oboroženih pehotov (rorarii, pozneje imenovani velite) in 600 lahka konjenica (equites celeres). Ko sta kralje zamenjala dva letno izvoljena pretorja v ok. 500 pr. n. št. je standardna dajatev ostala enake velikosti, vendar je bila zdaj enakomerno razdeljena med pretorje, od katerih je vsak poveljeval eni legiji s 4500 možmi.  Verjetno je bil hoplitski element razporejen v formaciji falang v grškem slogu v velikih bitkah. Vendar so bili ti razmeroma redki, večina bojev je bila sestavljena iz manjših mejnih napadov in spopadov. V teh bi se Rimljani borili v svoji osnovni taktični enoti, centuriji 100 mož. Poleg tega so ločene klanske sile obstajale do l. Vsaj 450 pr. n. št., čeprav bi vsaj nominalno delovali pod oblastjo pretorjev.  Leta 493 pr. n. št., kmalu po ustanovitvi Rimske republike, je Rim sklenil trajno pogodbo o vojaškem zavezništvu (foedus Cassianum) z združenimi drugimi latinskimi mestnimi državami. Pogodba, ki jo je verjetno motivirala potreba Latincev po enotni obrambi pred vpadi sosednjih hribovskih plemen, je predvidevala, da mora vsaka stran zagotoviti enake sile za akcije pod enotnim poveljstvom. V veljavi je ostal do leta 358 pr.</w:t>
      </w:r>
      <w:r w:rsidR="00A77330">
        <w:rPr>
          <w:rFonts w:ascii="Arial" w:hAnsi="Arial" w:cs="Arial"/>
          <w:color w:val="202122"/>
          <w:sz w:val="28"/>
          <w:szCs w:val="28"/>
          <w:shd w:val="clear" w:color="auto" w:fill="FFFFFF"/>
          <w:lang w:val="en-US"/>
        </w:rPr>
        <w:t xml:space="preserve"> </w:t>
      </w:r>
      <w:r w:rsidR="00186689">
        <w:rPr>
          <w:rFonts w:ascii="Arial" w:hAnsi="Arial" w:cs="Arial"/>
          <w:color w:val="202122"/>
          <w:sz w:val="28"/>
          <w:szCs w:val="28"/>
          <w:shd w:val="clear" w:color="auto" w:fill="FFFFFF"/>
          <w:lang w:val="en-US"/>
        </w:rPr>
        <w:t>Kr.</w:t>
      </w:r>
    </w:p>
    <w:sectPr w:rsidR="00000B04" w:rsidRPr="00E315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31D"/>
    <w:rsid w:val="00000B04"/>
    <w:rsid w:val="00092DF2"/>
    <w:rsid w:val="000E16BF"/>
    <w:rsid w:val="001418E9"/>
    <w:rsid w:val="001428C6"/>
    <w:rsid w:val="001611E5"/>
    <w:rsid w:val="00167090"/>
    <w:rsid w:val="00180760"/>
    <w:rsid w:val="00186689"/>
    <w:rsid w:val="001E26C7"/>
    <w:rsid w:val="001E737B"/>
    <w:rsid w:val="0024432E"/>
    <w:rsid w:val="002B04BA"/>
    <w:rsid w:val="002C7EEC"/>
    <w:rsid w:val="002D7FEA"/>
    <w:rsid w:val="00350B6F"/>
    <w:rsid w:val="00351DCA"/>
    <w:rsid w:val="00374F81"/>
    <w:rsid w:val="003753BD"/>
    <w:rsid w:val="0039331D"/>
    <w:rsid w:val="003A5C1B"/>
    <w:rsid w:val="003C11C6"/>
    <w:rsid w:val="003D5DC8"/>
    <w:rsid w:val="004B24EE"/>
    <w:rsid w:val="004F04D8"/>
    <w:rsid w:val="0061520D"/>
    <w:rsid w:val="00617CC3"/>
    <w:rsid w:val="006E69DD"/>
    <w:rsid w:val="00724A18"/>
    <w:rsid w:val="00777C4E"/>
    <w:rsid w:val="00777CFA"/>
    <w:rsid w:val="007C5586"/>
    <w:rsid w:val="007E47BB"/>
    <w:rsid w:val="007F00A9"/>
    <w:rsid w:val="0080631F"/>
    <w:rsid w:val="008074DE"/>
    <w:rsid w:val="00812E0F"/>
    <w:rsid w:val="0086218B"/>
    <w:rsid w:val="008A0922"/>
    <w:rsid w:val="008C45FA"/>
    <w:rsid w:val="008F0E2A"/>
    <w:rsid w:val="00960208"/>
    <w:rsid w:val="00963FC2"/>
    <w:rsid w:val="00987D88"/>
    <w:rsid w:val="009C57F3"/>
    <w:rsid w:val="009D62AA"/>
    <w:rsid w:val="009F3082"/>
    <w:rsid w:val="00A77330"/>
    <w:rsid w:val="00B07270"/>
    <w:rsid w:val="00C81DD1"/>
    <w:rsid w:val="00C85956"/>
    <w:rsid w:val="00CC3C79"/>
    <w:rsid w:val="00D05D0A"/>
    <w:rsid w:val="00D06284"/>
    <w:rsid w:val="00D31ECC"/>
    <w:rsid w:val="00D72D4C"/>
    <w:rsid w:val="00D8548C"/>
    <w:rsid w:val="00DA1B4A"/>
    <w:rsid w:val="00DD7838"/>
    <w:rsid w:val="00E15B95"/>
    <w:rsid w:val="00E31554"/>
    <w:rsid w:val="00E5081A"/>
    <w:rsid w:val="00E87A49"/>
    <w:rsid w:val="00EB7A34"/>
    <w:rsid w:val="00ED4315"/>
    <w:rsid w:val="00FC77D1"/>
  </w:rsids>
  <m:mathPr>
    <m:mathFont m:val="Cambria Math"/>
    <m:brkBin m:val="before"/>
    <m:brkBinSub m:val="--"/>
    <m:smallFrac m:val="0"/>
    <m:dispDef/>
    <m:lMargin m:val="0"/>
    <m:rMargin m:val="0"/>
    <m:defJc m:val="centerGroup"/>
    <m:wrapIndent m:val="1440"/>
    <m:intLim m:val="subSup"/>
    <m:naryLim m:val="undOvr"/>
  </m:mathPr>
  <w:themeFontLang w:val="en-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4A94D"/>
  <w15:chartTrackingRefBased/>
  <w15:docId w15:val="{83B7D081-AB6F-4DC7-A08E-82CB62C3B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85956"/>
    <w:rPr>
      <w:color w:val="0000FF"/>
      <w:u w:val="single"/>
    </w:rPr>
  </w:style>
  <w:style w:type="paragraph" w:styleId="HTMLPreformatted">
    <w:name w:val="HTML Preformatted"/>
    <w:basedOn w:val="Normal"/>
    <w:link w:val="HTMLPreformattedChar"/>
    <w:uiPriority w:val="99"/>
    <w:semiHidden/>
    <w:unhideWhenUsed/>
    <w:rsid w:val="00D05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SI"/>
    </w:rPr>
  </w:style>
  <w:style w:type="character" w:customStyle="1" w:styleId="HTMLPreformattedChar">
    <w:name w:val="HTML Preformatted Char"/>
    <w:basedOn w:val="DefaultParagraphFont"/>
    <w:link w:val="HTMLPreformatted"/>
    <w:uiPriority w:val="99"/>
    <w:semiHidden/>
    <w:rsid w:val="00D05D0A"/>
    <w:rPr>
      <w:rFonts w:ascii="Courier New" w:eastAsia="Times New Roman" w:hAnsi="Courier New" w:cs="Courier New"/>
      <w:sz w:val="20"/>
      <w:szCs w:val="20"/>
      <w:lang w:eastAsia="en-SI"/>
    </w:rPr>
  </w:style>
  <w:style w:type="character" w:customStyle="1" w:styleId="y2iqfc">
    <w:name w:val="y2iqfc"/>
    <w:basedOn w:val="DefaultParagraphFont"/>
    <w:rsid w:val="00D05D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520171">
      <w:bodyDiv w:val="1"/>
      <w:marLeft w:val="0"/>
      <w:marRight w:val="0"/>
      <w:marTop w:val="0"/>
      <w:marBottom w:val="0"/>
      <w:divBdr>
        <w:top w:val="none" w:sz="0" w:space="0" w:color="auto"/>
        <w:left w:val="none" w:sz="0" w:space="0" w:color="auto"/>
        <w:bottom w:val="none" w:sz="0" w:space="0" w:color="auto"/>
        <w:right w:val="none" w:sz="0" w:space="0" w:color="auto"/>
      </w:divBdr>
    </w:div>
    <w:div w:id="395935650">
      <w:bodyDiv w:val="1"/>
      <w:marLeft w:val="0"/>
      <w:marRight w:val="0"/>
      <w:marTop w:val="0"/>
      <w:marBottom w:val="0"/>
      <w:divBdr>
        <w:top w:val="none" w:sz="0" w:space="0" w:color="auto"/>
        <w:left w:val="none" w:sz="0" w:space="0" w:color="auto"/>
        <w:bottom w:val="none" w:sz="0" w:space="0" w:color="auto"/>
        <w:right w:val="none" w:sz="0" w:space="0" w:color="auto"/>
      </w:divBdr>
    </w:div>
    <w:div w:id="501509158">
      <w:bodyDiv w:val="1"/>
      <w:marLeft w:val="0"/>
      <w:marRight w:val="0"/>
      <w:marTop w:val="0"/>
      <w:marBottom w:val="0"/>
      <w:divBdr>
        <w:top w:val="none" w:sz="0" w:space="0" w:color="auto"/>
        <w:left w:val="none" w:sz="0" w:space="0" w:color="auto"/>
        <w:bottom w:val="none" w:sz="0" w:space="0" w:color="auto"/>
        <w:right w:val="none" w:sz="0" w:space="0" w:color="auto"/>
      </w:divBdr>
    </w:div>
    <w:div w:id="526717592">
      <w:bodyDiv w:val="1"/>
      <w:marLeft w:val="0"/>
      <w:marRight w:val="0"/>
      <w:marTop w:val="0"/>
      <w:marBottom w:val="0"/>
      <w:divBdr>
        <w:top w:val="none" w:sz="0" w:space="0" w:color="auto"/>
        <w:left w:val="none" w:sz="0" w:space="0" w:color="auto"/>
        <w:bottom w:val="none" w:sz="0" w:space="0" w:color="auto"/>
        <w:right w:val="none" w:sz="0" w:space="0" w:color="auto"/>
      </w:divBdr>
    </w:div>
    <w:div w:id="612324867">
      <w:bodyDiv w:val="1"/>
      <w:marLeft w:val="0"/>
      <w:marRight w:val="0"/>
      <w:marTop w:val="0"/>
      <w:marBottom w:val="0"/>
      <w:divBdr>
        <w:top w:val="none" w:sz="0" w:space="0" w:color="auto"/>
        <w:left w:val="none" w:sz="0" w:space="0" w:color="auto"/>
        <w:bottom w:val="none" w:sz="0" w:space="0" w:color="auto"/>
        <w:right w:val="none" w:sz="0" w:space="0" w:color="auto"/>
      </w:divBdr>
    </w:div>
    <w:div w:id="615915030">
      <w:bodyDiv w:val="1"/>
      <w:marLeft w:val="0"/>
      <w:marRight w:val="0"/>
      <w:marTop w:val="0"/>
      <w:marBottom w:val="0"/>
      <w:divBdr>
        <w:top w:val="none" w:sz="0" w:space="0" w:color="auto"/>
        <w:left w:val="none" w:sz="0" w:space="0" w:color="auto"/>
        <w:bottom w:val="none" w:sz="0" w:space="0" w:color="auto"/>
        <w:right w:val="none" w:sz="0" w:space="0" w:color="auto"/>
      </w:divBdr>
    </w:div>
    <w:div w:id="928543939">
      <w:bodyDiv w:val="1"/>
      <w:marLeft w:val="0"/>
      <w:marRight w:val="0"/>
      <w:marTop w:val="0"/>
      <w:marBottom w:val="0"/>
      <w:divBdr>
        <w:top w:val="none" w:sz="0" w:space="0" w:color="auto"/>
        <w:left w:val="none" w:sz="0" w:space="0" w:color="auto"/>
        <w:bottom w:val="none" w:sz="0" w:space="0" w:color="auto"/>
        <w:right w:val="none" w:sz="0" w:space="0" w:color="auto"/>
      </w:divBdr>
    </w:div>
    <w:div w:id="929433482">
      <w:bodyDiv w:val="1"/>
      <w:marLeft w:val="0"/>
      <w:marRight w:val="0"/>
      <w:marTop w:val="0"/>
      <w:marBottom w:val="0"/>
      <w:divBdr>
        <w:top w:val="none" w:sz="0" w:space="0" w:color="auto"/>
        <w:left w:val="none" w:sz="0" w:space="0" w:color="auto"/>
        <w:bottom w:val="none" w:sz="0" w:space="0" w:color="auto"/>
        <w:right w:val="none" w:sz="0" w:space="0" w:color="auto"/>
      </w:divBdr>
    </w:div>
    <w:div w:id="1106315607">
      <w:bodyDiv w:val="1"/>
      <w:marLeft w:val="0"/>
      <w:marRight w:val="0"/>
      <w:marTop w:val="0"/>
      <w:marBottom w:val="0"/>
      <w:divBdr>
        <w:top w:val="none" w:sz="0" w:space="0" w:color="auto"/>
        <w:left w:val="none" w:sz="0" w:space="0" w:color="auto"/>
        <w:bottom w:val="none" w:sz="0" w:space="0" w:color="auto"/>
        <w:right w:val="none" w:sz="0" w:space="0" w:color="auto"/>
      </w:divBdr>
    </w:div>
    <w:div w:id="1302466635">
      <w:bodyDiv w:val="1"/>
      <w:marLeft w:val="0"/>
      <w:marRight w:val="0"/>
      <w:marTop w:val="0"/>
      <w:marBottom w:val="0"/>
      <w:divBdr>
        <w:top w:val="none" w:sz="0" w:space="0" w:color="auto"/>
        <w:left w:val="none" w:sz="0" w:space="0" w:color="auto"/>
        <w:bottom w:val="none" w:sz="0" w:space="0" w:color="auto"/>
        <w:right w:val="none" w:sz="0" w:space="0" w:color="auto"/>
      </w:divBdr>
    </w:div>
    <w:div w:id="1676692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563</TotalTime>
  <Pages>6</Pages>
  <Words>1898</Words>
  <Characters>10820</Characters>
  <Application>Microsoft Office Word</Application>
  <DocSecurity>0</DocSecurity>
  <Lines>90</Lines>
  <Paragraphs>25</Paragraphs>
  <ScaleCrop>false</ScaleCrop>
  <Company/>
  <LinksUpToDate>false</LinksUpToDate>
  <CharactersWithSpaces>12693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Oprin</dc:creator>
  <cp:keywords/>
  <dc:description/>
  <cp:lastModifiedBy>Martin Oprin</cp:lastModifiedBy>
  <cp:revision>63</cp:revision>
  <dcterms:created xsi:type="dcterms:W3CDTF">2022-09-29T18:56:00Z</dcterms:created>
  <dcterms:modified xsi:type="dcterms:W3CDTF">2022-10-15T16:52:00Z</dcterms:modified>
</cp:coreProperties>
</file>