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71.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GFW</w:t>
      </w:r>
      <w:r>
        <w:t xml:space="preserve"> </w:t>
      </w:r>
      <w:r>
        <w:t xml:space="preserve">vs</w:t>
      </w:r>
      <w:r>
        <w:t xml:space="preserve"> </w:t>
      </w:r>
      <w:r>
        <w:t xml:space="preserve">CV</w:t>
      </w:r>
      <w:r>
        <w:t xml:space="preserve"> </w:t>
      </w:r>
      <w:r>
        <w:t xml:space="preserve">Electronic</w:t>
      </w:r>
      <w:r>
        <w:t xml:space="preserve"> </w:t>
      </w:r>
      <w:r>
        <w:t xml:space="preserve">Logbook</w:t>
      </w:r>
      <w:r>
        <w:t xml:space="preserve"> </w:t>
      </w:r>
      <w:r>
        <w:t xml:space="preserve">—</w:t>
      </w:r>
      <w:r>
        <w:t xml:space="preserve"> </w:t>
      </w:r>
      <w:r>
        <w:t xml:space="preserve">Effort</w:t>
      </w:r>
      <w:r>
        <w:t xml:space="preserve"> </w:t>
      </w:r>
      <w:r>
        <w:t xml:space="preserve">Comparison</w:t>
      </w:r>
    </w:p>
    <w:p>
      <w:pPr>
        <w:pStyle w:val="Subtitle"/>
      </w:pPr>
      <w:r>
        <w:t xml:space="preserve">Overlap</w:t>
      </w:r>
      <w:r>
        <w:t xml:space="preserve"> </w:t>
      </w:r>
      <w:r>
        <w:t xml:space="preserve">in</w:t>
      </w:r>
      <w:r>
        <w:t xml:space="preserve"> </w:t>
      </w:r>
      <w:r>
        <w:t xml:space="preserve">fishing</w:t>
      </w:r>
      <w:r>
        <w:t xml:space="preserve"> </w:t>
      </w:r>
      <w:r>
        <w:t xml:space="preserve">effort</w:t>
      </w:r>
      <w:r>
        <w:t xml:space="preserve"> </w:t>
      </w:r>
      <w:r>
        <w:t xml:space="preserve">metrics</w:t>
      </w:r>
      <w:r>
        <w:t xml:space="preserve"> </w:t>
      </w:r>
      <w:r>
        <w:t xml:space="preserve">between</w:t>
      </w:r>
      <w:r>
        <w:t xml:space="preserve"> </w:t>
      </w:r>
      <w:r>
        <w:t xml:space="preserve">CV</w:t>
      </w:r>
      <w:r>
        <w:t xml:space="preserve"> </w:t>
      </w:r>
      <w:r>
        <w:t xml:space="preserve">logbooks</w:t>
      </w:r>
      <w:r>
        <w:t xml:space="preserve"> </w:t>
      </w:r>
      <w:r>
        <w:t xml:space="preserve">and</w:t>
      </w:r>
      <w:r>
        <w:t xml:space="preserve"> </w:t>
      </w:r>
      <w:r>
        <w:t xml:space="preserve">GFW</w:t>
      </w:r>
      <w:r>
        <w:t xml:space="preserve"> </w:t>
      </w:r>
      <w:r>
        <w:t xml:space="preserve">AIS-based</w:t>
      </w:r>
      <w:r>
        <w:t xml:space="preserve"> </w:t>
      </w:r>
      <w:r>
        <w:t xml:space="preserve">data</w:t>
      </w:r>
      <w:r>
        <w:t xml:space="preserve"> </w:t>
      </w:r>
      <w:r>
        <w:t xml:space="preserve">for</w:t>
      </w:r>
      <w:r>
        <w:t xml:space="preserve"> </w:t>
      </w:r>
      <w:r>
        <w:t xml:space="preserve">the</w:t>
      </w:r>
      <w:r>
        <w:t xml:space="preserve"> </w:t>
      </w:r>
      <w:r>
        <w:t xml:space="preserve">same</w:t>
      </w:r>
      <w:r>
        <w:t xml:space="preserve"> </w:t>
      </w:r>
      <w:r>
        <w:t xml:space="preserve">vessels</w:t>
      </w:r>
    </w:p>
    <w:p>
      <w:pPr>
        <w:pStyle w:val="Author"/>
      </w:pPr>
      <w:r>
        <w:t xml:space="preserve">Martin</w:t>
      </w:r>
      <w:r>
        <w:t xml:space="preserve"> </w:t>
      </w:r>
      <w:r>
        <w:t xml:space="preserve">Pastoors</w:t>
      </w:r>
    </w:p>
    <w:p>
      <w:pPr>
        <w:pStyle w:val="Date"/>
      </w:pPr>
      <w:r>
        <w:t xml:space="preserve">18</w:t>
      </w:r>
      <w:r>
        <w:t xml:space="preserve"> </w:t>
      </w: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introduction"/>
    <w:p>
      <w:pPr>
        <w:pStyle w:val="Heading1"/>
      </w:pPr>
      <w:r>
        <w:t xml:space="preserve">1. Introduction</w:t>
      </w:r>
    </w:p>
    <w:p>
      <w:pPr>
        <w:pStyle w:val="FirstParagraph"/>
      </w:pPr>
      <w:r>
        <w:t xml:space="preserve">This report compares fishing effort derived from two independent data sources for the same set of vessels:</w:t>
      </w:r>
    </w:p>
    <w:p>
      <w:pPr>
        <w:numPr>
          <w:ilvl w:val="0"/>
          <w:numId w:val="1001"/>
        </w:numPr>
      </w:pPr>
      <w:r>
        <w:rPr>
          <w:bCs/>
          <w:b/>
        </w:rPr>
        <w:t xml:space="preserve">GFW (Global Fishing Watch)</w:t>
      </w:r>
      <w:r>
        <w:t xml:space="preserve"> </w:t>
      </w:r>
      <w:r>
        <w:t xml:space="preserve">— AIS-based effort derived from the</w:t>
      </w:r>
      <w:r>
        <w:t xml:space="preserve"> </w:t>
      </w:r>
      <w:r>
        <w:rPr>
          <w:rStyle w:val="VerbatimChar"/>
        </w:rPr>
        <w:t xml:space="preserve">Extract_GFW_effort_v7.R</w:t>
      </w:r>
      <w:r>
        <w:t xml:space="preserve"> </w:t>
      </w:r>
      <w:r>
        <w:t xml:space="preserve">pipeline. Fishing events are identified using a machine-learning classifier applied to vessel speed and movement patterns. Each unique calendar date with at least one classified fishing event is counted as one fishing day.</w:t>
      </w:r>
    </w:p>
    <w:p>
      <w:pPr>
        <w:numPr>
          <w:ilvl w:val="0"/>
          <w:numId w:val="1001"/>
        </w:numPr>
      </w:pPr>
      <w:r>
        <w:rPr>
          <w:bCs/>
          <w:b/>
        </w:rPr>
        <w:t xml:space="preserve">CV electronic logbook (elog)</w:t>
      </w:r>
      <w:r>
        <w:t xml:space="preserve"> </w:t>
      </w:r>
      <w:r>
        <w:t xml:space="preserve">— haul-level trip records submitted by vessel operators. Each unique calendar date with at least one recorded haul within the study divisions is counted as one fishing day.</w:t>
      </w:r>
    </w:p>
    <w:p>
      <w:pPr>
        <w:pStyle w:val="FirstParagraph"/>
      </w:pPr>
      <w:r>
        <w:t xml:space="preserve">The effort metric used throughout is</w:t>
      </w:r>
      <w:r>
        <w:t xml:space="preserve"> </w:t>
      </w:r>
      <w:r>
        <w:rPr>
          <w:bCs/>
          <w:b/>
        </w:rPr>
        <w:t xml:space="preserve">unique fishing days per vessel × year × ICES division</w:t>
      </w:r>
      <w:r>
        <w:t xml:space="preserve">. The study area covers ICES divisions 27.4.C, 27.7.D, 27.7.E and the time series spans 2013–2025.</w:t>
      </w:r>
    </w:p>
    <w:p>
      <w:r>
        <w:pict>
          <v:rect style="width:0;height:1.5pt" o:hralign="center" o:hrstd="t" o:hr="t"/>
        </w:pict>
      </w:r>
    </w:p>
    <w:bookmarkEnd w:id="20"/>
    <w:bookmarkStart w:id="24" w:name="data-and-methods"/>
    <w:p>
      <w:pPr>
        <w:pStyle w:val="Heading1"/>
      </w:pPr>
      <w:r>
        <w:t xml:space="preserve">2. Data and Methods</w:t>
      </w:r>
    </w:p>
    <w:bookmarkStart w:id="21" w:name="gfw-effort-data"/>
    <w:p>
      <w:pPr>
        <w:pStyle w:val="Heading2"/>
      </w:pPr>
      <w:r>
        <w:t xml:space="preserve">2.1 GFW effort data</w:t>
      </w:r>
    </w:p>
    <w:p>
      <w:pPr>
        <w:pStyle w:val="FirstParagraph"/>
      </w:pPr>
      <w:r>
        <w:t xml:space="preserve">GFW effort data are loaded from the Stage 7 pipeline output (</w:t>
      </w:r>
      <w:r>
        <w:rPr>
          <w:rStyle w:val="VerbatimChar"/>
        </w:rPr>
        <w:t xml:space="preserve">gfw_s7_effort.RData</w:t>
      </w:r>
      <w:r>
        <w:t xml:space="preserve">). The object</w:t>
      </w:r>
      <w:r>
        <w:t xml:space="preserve"> </w:t>
      </w:r>
      <w:r>
        <w:rPr>
          <w:rStyle w:val="VerbatimChar"/>
        </w:rPr>
        <w:t xml:space="preserve">fishing_days_study</w:t>
      </w:r>
      <w:r>
        <w:t xml:space="preserve"> </w:t>
      </w:r>
      <w:r>
        <w:t xml:space="preserve">contains pre-aggregated annual fishing days per vessel, ICES division, and quarter, with the following key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ssvid</w:t>
            </w:r>
          </w:p>
        </w:tc>
        <w:tc>
          <w:tcPr/>
          <w:p>
            <w:pPr>
              <w:pStyle w:val="Compact"/>
              <w:jc w:val="left"/>
            </w:pPr>
            <w:r>
              <w:t xml:space="preserve">AIS vessel identifier (MMSI)</w:t>
            </w:r>
          </w:p>
        </w:tc>
      </w:tr>
      <w:tr>
        <w:tc>
          <w:tcPr/>
          <w:p>
            <w:pPr>
              <w:pStyle w:val="Compact"/>
              <w:jc w:val="left"/>
            </w:pPr>
            <w:r>
              <w:rPr>
                <w:rStyle w:val="VerbatimChar"/>
              </w:rPr>
              <w:t xml:space="preserve">vessel_name</w:t>
            </w:r>
          </w:p>
        </w:tc>
        <w:tc>
          <w:tcPr/>
          <w:p>
            <w:pPr>
              <w:pStyle w:val="Compact"/>
              <w:jc w:val="left"/>
            </w:pPr>
            <w:r>
              <w:t xml:space="preserve">Vessel name as recorded in AIS transmissions</w:t>
            </w:r>
          </w:p>
        </w:tc>
      </w:tr>
      <w:tr>
        <w:tc>
          <w:tcPr/>
          <w:p>
            <w:pPr>
              <w:pStyle w:val="Compact"/>
              <w:jc w:val="left"/>
            </w:pPr>
            <w:r>
              <w:rPr>
                <w:rStyle w:val="VerbatimChar"/>
              </w:rPr>
              <w:t xml:space="preserve">division</w:t>
            </w:r>
          </w:p>
        </w:tc>
        <w:tc>
          <w:tcPr/>
          <w:p>
            <w:pPr>
              <w:pStyle w:val="Compact"/>
              <w:jc w:val="left"/>
            </w:pPr>
            <w:r>
              <w:t xml:space="preserve">ICES division</w:t>
            </w:r>
          </w:p>
        </w:tc>
      </w:tr>
      <w:tr>
        <w:tc>
          <w:tcPr/>
          <w:p>
            <w:pPr>
              <w:pStyle w:val="Compact"/>
              <w:jc w:val="left"/>
            </w:pPr>
            <w:r>
              <w:rPr>
                <w:rStyle w:val="VerbatimChar"/>
              </w:rPr>
              <w:t xml:space="preserve">year</w:t>
            </w:r>
          </w:p>
        </w:tc>
        <w:tc>
          <w:tcPr/>
          <w:p>
            <w:pPr>
              <w:pStyle w:val="Compact"/>
              <w:jc w:val="left"/>
            </w:pPr>
            <w:r>
              <w:t xml:space="preserve">Calendar year</w:t>
            </w:r>
          </w:p>
        </w:tc>
      </w:tr>
      <w:tr>
        <w:tc>
          <w:tcPr/>
          <w:p>
            <w:pPr>
              <w:pStyle w:val="Compact"/>
              <w:jc w:val="left"/>
            </w:pPr>
            <w:r>
              <w:rPr>
                <w:rStyle w:val="VerbatimChar"/>
              </w:rPr>
              <w:t xml:space="preserve">fishing_days</w:t>
            </w:r>
          </w:p>
        </w:tc>
        <w:tc>
          <w:tcPr/>
          <w:p>
            <w:pPr>
              <w:pStyle w:val="Compact"/>
              <w:jc w:val="left"/>
            </w:pPr>
            <w:r>
              <w:t xml:space="preserve">Annual fishing days (GFW classifier)</w:t>
            </w:r>
          </w:p>
        </w:tc>
      </w:tr>
    </w:tbl>
    <w:p>
      <w:pPr>
        <w:pStyle w:val="BodyText"/>
      </w:pPr>
      <w:r>
        <w:t xml:space="preserve">GFW vessel names are mapped to the short CV vessel codes using the</w:t>
      </w:r>
      <w:r>
        <w:t xml:space="preserve"> </w:t>
      </w:r>
      <w:r>
        <w:rPr>
          <w:rStyle w:val="VerbatimChar"/>
        </w:rPr>
        <w:t xml:space="preserve">vessel_name_map</w:t>
      </w:r>
      <w:r>
        <w:t xml:space="preserve"> </w:t>
      </w:r>
      <w:r>
        <w:t xml:space="preserve">defined in the settings block. Where no name match is found, vessel codes are recovered via MMSI lookup.</w:t>
      </w:r>
    </w:p>
    <w:bookmarkEnd w:id="21"/>
    <w:bookmarkStart w:id="22" w:name="cv-electronic-logbook-data"/>
    <w:p>
      <w:pPr>
        <w:pStyle w:val="Heading2"/>
      </w:pPr>
      <w:r>
        <w:t xml:space="preserve">2.2 CV electronic logbook data</w:t>
      </w:r>
    </w:p>
    <w:p>
      <w:pPr>
        <w:pStyle w:val="FirstParagraph"/>
      </w:pPr>
      <w:r>
        <w:t xml:space="preserve">The CV elog is loaded from</w:t>
      </w:r>
      <w:r>
        <w:t xml:space="preserve"> </w:t>
      </w:r>
      <w:r>
        <w:rPr>
          <w:rStyle w:val="VerbatimChar"/>
        </w:rPr>
        <w:t xml:space="preserve">elog.RData</w:t>
      </w:r>
      <w:r>
        <w:t xml:space="preserve">. Required fields after loading are:</w:t>
      </w:r>
      <w:r>
        <w:t xml:space="preserve"> </w:t>
      </w:r>
      <w:r>
        <w:rPr>
          <w:rStyle w:val="VerbatimChar"/>
        </w:rPr>
        <w:t xml:space="preserve">vessel</w:t>
      </w:r>
      <w:r>
        <w:t xml:space="preserve"> </w:t>
      </w:r>
      <w:r>
        <w:t xml:space="preserve">(short code),</w:t>
      </w:r>
      <w:r>
        <w:t xml:space="preserve"> </w:t>
      </w:r>
      <w:r>
        <w:rPr>
          <w:rStyle w:val="VerbatimChar"/>
        </w:rPr>
        <w:t xml:space="preserve">date</w:t>
      </w:r>
      <w:r>
        <w:t xml:space="preserve"> </w:t>
      </w:r>
      <w:r>
        <w:t xml:space="preserve">(Date), and</w:t>
      </w:r>
      <w:r>
        <w:t xml:space="preserve"> </w:t>
      </w:r>
      <w:r>
        <w:rPr>
          <w:rStyle w:val="VerbatimChar"/>
        </w:rPr>
        <w:t xml:space="preserve">faozone</w:t>
      </w:r>
      <w:r>
        <w:t xml:space="preserve"> </w:t>
      </w:r>
      <w:r>
        <w:t xml:space="preserve">(ICES division string, uppercased to</w:t>
      </w:r>
      <w:r>
        <w:t xml:space="preserve"> </w:t>
      </w:r>
      <w:r>
        <w:rPr>
          <w:rStyle w:val="VerbatimChar"/>
        </w:rPr>
        <w:t xml:space="preserve">fao_division</w:t>
      </w:r>
      <w:r>
        <w:t xml:space="preserve">).</w:t>
      </w:r>
    </w:p>
    <w:p>
      <w:pPr>
        <w:pStyle w:val="BodyText"/>
      </w:pPr>
      <w:r>
        <w:t xml:space="preserve">Fishing days are derived using a</w:t>
      </w:r>
      <w:r>
        <w:t xml:space="preserve"> </w:t>
      </w:r>
      <w:r>
        <w:rPr>
          <w:bCs/>
          <w:b/>
        </w:rPr>
        <w:t xml:space="preserve">majority-rule deduplication</w:t>
      </w:r>
      <w:r>
        <w:t xml:space="preserve"> </w:t>
      </w:r>
      <w:r>
        <w:t xml:space="preserve">procedure:</w:t>
      </w:r>
    </w:p>
    <w:p>
      <w:pPr>
        <w:numPr>
          <w:ilvl w:val="0"/>
          <w:numId w:val="1002"/>
        </w:numPr>
        <w:pStyle w:val="Compact"/>
      </w:pPr>
      <w:r>
        <w:t xml:space="preserve">Count hauls per vessel × date × division combination.</w:t>
      </w:r>
    </w:p>
    <w:p>
      <w:pPr>
        <w:numPr>
          <w:ilvl w:val="0"/>
          <w:numId w:val="1002"/>
        </w:numPr>
        <w:pStyle w:val="Compact"/>
      </w:pPr>
      <w:r>
        <w:t xml:space="preserve">Where a date spans multiple divisions, retain only the division with the most hauls.</w:t>
      </w:r>
    </w:p>
    <w:p>
      <w:pPr>
        <w:numPr>
          <w:ilvl w:val="0"/>
          <w:numId w:val="1002"/>
        </w:numPr>
        <w:pStyle w:val="Compact"/>
      </w:pPr>
      <w:r>
        <w:t xml:space="preserve">Aggregate to unique dates per vessel × year × division.</w:t>
      </w:r>
    </w:p>
    <w:p>
      <w:pPr>
        <w:pStyle w:val="FirstParagraph"/>
      </w:pPr>
      <w:r>
        <w:t xml:space="preserve">This procedure avoids double-counting days that appear in two divisions in the logbook, and matches the aggregation approach used in the GFW pipeline.</w:t>
      </w:r>
    </w:p>
    <w:bookmarkEnd w:id="22"/>
    <w:bookmarkStart w:id="23" w:name="agreement-classification"/>
    <w:p>
      <w:pPr>
        <w:pStyle w:val="Heading2"/>
      </w:pPr>
      <w:r>
        <w:t xml:space="preserve">2.3 Agreement classification</w:t>
      </w:r>
    </w:p>
    <w:p>
      <w:pPr>
        <w:pStyle w:val="FirstParagraph"/>
      </w:pPr>
      <w:r>
        <w:t xml:space="preserve">For the calendar heatmap analyses (Section 5), each fishing date is classified as one of three 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Colour</w:t>
            </w:r>
          </w:p>
        </w:tc>
        <w:tc>
          <w:tcPr/>
          <w:p>
            <w:pPr>
              <w:pStyle w:val="Compact"/>
              <w:jc w:val="left"/>
            </w:pPr>
            <w:r>
              <w:t xml:space="preserve">Category</w:t>
            </w:r>
          </w:p>
        </w:tc>
        <w:tc>
          <w:tcPr/>
          <w:p>
            <w:pPr>
              <w:pStyle w:val="Compact"/>
              <w:jc w:val="left"/>
            </w:pPr>
            <w:r>
              <w:t xml:space="preserve">Meaning</w:t>
            </w:r>
          </w:p>
        </w:tc>
      </w:tr>
      <w:tr>
        <w:tc>
          <w:tcPr/>
          <w:p>
            <w:pPr>
              <w:pStyle w:val="Compact"/>
              <w:jc w:val="left"/>
            </w:pPr>
            <w:r>
              <w:t xml:space="preserve">Green</w:t>
            </w:r>
          </w:p>
        </w:tc>
        <w:tc>
          <w:tcPr/>
          <w:p>
            <w:pPr>
              <w:pStyle w:val="Compact"/>
              <w:jc w:val="left"/>
            </w:pPr>
            <w:r>
              <w:rPr>
                <w:bCs/>
                <w:b/>
              </w:rPr>
              <w:t xml:space="preserve">Both</w:t>
            </w:r>
          </w:p>
        </w:tc>
        <w:tc>
          <w:tcPr/>
          <w:p>
            <w:pPr>
              <w:pStyle w:val="Compact"/>
              <w:jc w:val="left"/>
            </w:pPr>
            <w:r>
              <w:t xml:space="preserve">Date present in both GFW and CV logbook (agreement)</w:t>
            </w:r>
          </w:p>
        </w:tc>
      </w:tr>
      <w:tr>
        <w:tc>
          <w:tcPr/>
          <w:p>
            <w:pPr>
              <w:pStyle w:val="Compact"/>
              <w:jc w:val="left"/>
            </w:pPr>
            <w:r>
              <w:t xml:space="preserve">Red</w:t>
            </w:r>
          </w:p>
        </w:tc>
        <w:tc>
          <w:tcPr/>
          <w:p>
            <w:pPr>
              <w:pStyle w:val="Compact"/>
              <w:jc w:val="left"/>
            </w:pPr>
            <w:r>
              <w:rPr>
                <w:bCs/>
                <w:b/>
              </w:rPr>
              <w:t xml:space="preserve">CV only</w:t>
            </w:r>
          </w:p>
        </w:tc>
        <w:tc>
          <w:tcPr/>
          <w:p>
            <w:pPr>
              <w:pStyle w:val="Compact"/>
              <w:jc w:val="left"/>
            </w:pPr>
            <w:r>
              <w:t xml:space="preserve">Date in logbook but no GFW fishing event recorded</w:t>
            </w:r>
          </w:p>
        </w:tc>
      </w:tr>
      <w:tr>
        <w:tc>
          <w:tcPr/>
          <w:p>
            <w:pPr>
              <w:pStyle w:val="Compact"/>
              <w:jc w:val="left"/>
            </w:pPr>
            <w:r>
              <w:t xml:space="preserve">Blue</w:t>
            </w:r>
          </w:p>
        </w:tc>
        <w:tc>
          <w:tcPr/>
          <w:p>
            <w:pPr>
              <w:pStyle w:val="Compact"/>
              <w:jc w:val="left"/>
            </w:pPr>
            <w:r>
              <w:rPr>
                <w:bCs/>
                <w:b/>
              </w:rPr>
              <w:t xml:space="preserve">GFW only</w:t>
            </w:r>
          </w:p>
        </w:tc>
        <w:tc>
          <w:tcPr/>
          <w:p>
            <w:pPr>
              <w:pStyle w:val="Compact"/>
              <w:jc w:val="left"/>
            </w:pPr>
            <w:r>
              <w:t xml:space="preserve">Date in GFW but no corresponding logbook record</w:t>
            </w:r>
          </w:p>
        </w:tc>
      </w:tr>
    </w:tbl>
    <w:p>
      <w:pPr>
        <w:pStyle w:val="BodyText"/>
      </w:pPr>
      <w:r>
        <w:t xml:space="preserve">For the annual comparison (Section 4), agreement is defined as an absolute difference of ≤ 5 fishing days between sources.</w:t>
      </w:r>
    </w:p>
    <w:p>
      <w:r>
        <w:pict>
          <v:rect style="width:0;height:1.5pt" o:hralign="center" o:hrstd="t" o:hr="t"/>
        </w:pict>
      </w:r>
    </w:p>
    <w:bookmarkEnd w:id="23"/>
    <w:bookmarkEnd w:id="24"/>
    <w:bookmarkStart w:id="25" w:name="data-loading"/>
    <w:p>
      <w:pPr>
        <w:pStyle w:val="Heading1"/>
      </w:pPr>
      <w:r>
        <w:t xml:space="preserve">3. Data loading</w:t>
      </w:r>
    </w:p>
    <w:p>
      <w:r>
        <w:pict>
          <v:rect style="width:0;height:1.5pt" o:hralign="center" o:hrstd="t" o:hr="t"/>
        </w:pict>
      </w:r>
    </w:p>
    <w:bookmarkEnd w:id="25"/>
    <w:bookmarkStart w:id="39" w:name="annual-fishing-day-comparison"/>
    <w:p>
      <w:pPr>
        <w:pStyle w:val="Heading1"/>
      </w:pPr>
      <w:r>
        <w:t xml:space="preserve">4. Annual fishing day comparison</w:t>
      </w:r>
    </w:p>
    <w:bookmarkStart w:id="26" w:name="summary-statistics"/>
    <w:p>
      <w:pPr>
        <w:pStyle w:val="Heading2"/>
      </w:pPr>
      <w:r>
        <w:t xml:space="preserve">4.1 Summary statistics</w:t>
      </w:r>
    </w:p>
    <w:p>
      <w:pPr>
        <w:pStyle w:val="TableCaption"/>
      </w:pPr>
      <w:r>
        <w:t xml:space="preserve">Overall comparison summary across all vessel-years.</w:t>
      </w:r>
    </w:p>
    <w:tbl>
      <w:tblPr>
        <w:tblStyle w:val="Table"/>
        <w:tblW w:type="auto" w:w="0"/>
        <w:tblLook w:firstRow="1" w:lastRow="0" w:firstColumn="0" w:lastColumn="0" w:noHBand="0" w:noVBand="0" w:val="0020"/>
        <w:jc w:val="start"/>
        <w:tblCaption w:val="Overall comparison summary across all vessel-years."/>
      </w:tblPr>
      <w:tblGrid>
        <w:gridCol w:w="3960"/>
        <w:gridCol w:w="3960"/>
      </w:tblGrid>
      <w:tr>
        <w:trPr>
          <w:tblHeader w:val="true"/>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Vessel-years</w:t>
            </w:r>
          </w:p>
        </w:tc>
        <w:tc>
          <w:tcPr/>
          <w:p>
            <w:pPr>
              <w:pStyle w:val="Compact"/>
              <w:jc w:val="right"/>
            </w:pPr>
            <w:r>
              <w:t xml:space="preserve">236.00</w:t>
            </w:r>
          </w:p>
        </w:tc>
      </w:tr>
      <w:tr>
        <w:tc>
          <w:tcPr/>
          <w:p>
            <w:pPr>
              <w:pStyle w:val="Compact"/>
              <w:jc w:val="left"/>
            </w:pPr>
            <w:r>
              <w:t xml:space="preserve">Mean GFW days</w:t>
            </w:r>
          </w:p>
        </w:tc>
        <w:tc>
          <w:tcPr/>
          <w:p>
            <w:pPr>
              <w:pStyle w:val="Compact"/>
              <w:jc w:val="right"/>
            </w:pPr>
            <w:r>
              <w:t xml:space="preserve">47.20</w:t>
            </w:r>
          </w:p>
        </w:tc>
      </w:tr>
      <w:tr>
        <w:tc>
          <w:tcPr/>
          <w:p>
            <w:pPr>
              <w:pStyle w:val="Compact"/>
              <w:jc w:val="left"/>
            </w:pPr>
            <w:r>
              <w:t xml:space="preserve">Mean CV days</w:t>
            </w:r>
          </w:p>
        </w:tc>
        <w:tc>
          <w:tcPr/>
          <w:p>
            <w:pPr>
              <w:pStyle w:val="Compact"/>
              <w:jc w:val="right"/>
            </w:pPr>
            <w:r>
              <w:t xml:space="preserve">33.80</w:t>
            </w:r>
          </w:p>
        </w:tc>
      </w:tr>
      <w:tr>
        <w:tc>
          <w:tcPr/>
          <w:p>
            <w:pPr>
              <w:pStyle w:val="Compact"/>
              <w:jc w:val="left"/>
            </w:pPr>
            <w:r>
              <w:t xml:space="preserve">Mean difference</w:t>
            </w:r>
          </w:p>
        </w:tc>
        <w:tc>
          <w:tcPr/>
          <w:p>
            <w:pPr>
              <w:pStyle w:val="Compact"/>
              <w:jc w:val="right"/>
            </w:pPr>
            <w:r>
              <w:t xml:space="preserve">13.30</w:t>
            </w:r>
          </w:p>
        </w:tc>
      </w:tr>
      <w:tr>
        <w:tc>
          <w:tcPr/>
          <w:p>
            <w:pPr>
              <w:pStyle w:val="Compact"/>
              <w:jc w:val="left"/>
            </w:pPr>
            <w:r>
              <w:t xml:space="preserve">Median difference</w:t>
            </w:r>
          </w:p>
        </w:tc>
        <w:tc>
          <w:tcPr/>
          <w:p>
            <w:pPr>
              <w:pStyle w:val="Compact"/>
              <w:jc w:val="right"/>
            </w:pPr>
            <w:r>
              <w:t xml:space="preserve">2.00</w:t>
            </w:r>
          </w:p>
        </w:tc>
      </w:tr>
      <w:tr>
        <w:tc>
          <w:tcPr/>
          <w:p>
            <w:pPr>
              <w:pStyle w:val="Compact"/>
              <w:jc w:val="left"/>
            </w:pPr>
            <w:r>
              <w:t xml:space="preserve">Mean ratio (GFW/CV)</w:t>
            </w:r>
          </w:p>
        </w:tc>
        <w:tc>
          <w:tcPr/>
          <w:p>
            <w:pPr>
              <w:pStyle w:val="Compact"/>
              <w:jc w:val="right"/>
            </w:pPr>
            <w:r>
              <w:t xml:space="preserve">0.91</w:t>
            </w:r>
          </w:p>
        </w:tc>
      </w:tr>
      <w:tr>
        <w:tc>
          <w:tcPr/>
          <w:p>
            <w:pPr>
              <w:pStyle w:val="Compact"/>
              <w:jc w:val="left"/>
            </w:pPr>
            <w:r>
              <w:t xml:space="preserve">% agreement (±5 d)</w:t>
            </w:r>
          </w:p>
        </w:tc>
        <w:tc>
          <w:tcPr/>
          <w:p>
            <w:pPr>
              <w:pStyle w:val="Compact"/>
              <w:jc w:val="right"/>
            </w:pPr>
            <w:r>
              <w:t xml:space="preserve">36.00</w:t>
            </w:r>
          </w:p>
        </w:tc>
      </w:tr>
      <w:tr>
        <w:tc>
          <w:tcPr/>
          <w:p>
            <w:pPr>
              <w:pStyle w:val="Compact"/>
              <w:jc w:val="left"/>
            </w:pPr>
            <w:r>
              <w:t xml:space="preserve">GFW higher</w:t>
            </w:r>
          </w:p>
        </w:tc>
        <w:tc>
          <w:tcPr/>
          <w:p>
            <w:pPr>
              <w:pStyle w:val="Compact"/>
              <w:jc w:val="right"/>
            </w:pPr>
            <w:r>
              <w:t xml:space="preserve">90.00</w:t>
            </w:r>
          </w:p>
        </w:tc>
      </w:tr>
      <w:tr>
        <w:tc>
          <w:tcPr/>
          <w:p>
            <w:pPr>
              <w:pStyle w:val="Compact"/>
              <w:jc w:val="left"/>
            </w:pPr>
            <w:r>
              <w:t xml:space="preserve">CV higher</w:t>
            </w:r>
          </w:p>
        </w:tc>
        <w:tc>
          <w:tcPr/>
          <w:p>
            <w:pPr>
              <w:pStyle w:val="Compact"/>
              <w:jc w:val="right"/>
            </w:pPr>
            <w:r>
              <w:t xml:space="preserve">61.00</w:t>
            </w:r>
          </w:p>
        </w:tc>
      </w:tr>
      <w:tr>
        <w:tc>
          <w:tcPr/>
          <w:p>
            <w:pPr>
              <w:pStyle w:val="Compact"/>
              <w:jc w:val="left"/>
            </w:pPr>
            <w:r>
              <w:t xml:space="preserve">Agreement</w:t>
            </w:r>
          </w:p>
        </w:tc>
        <w:tc>
          <w:tcPr/>
          <w:p>
            <w:pPr>
              <w:pStyle w:val="Compact"/>
              <w:jc w:val="right"/>
            </w:pPr>
            <w:r>
              <w:t xml:space="preserve">85.00</w:t>
            </w:r>
          </w:p>
        </w:tc>
      </w:tr>
    </w:tbl>
    <w:p/>
    <w:p>
      <w:pPr>
        <w:pStyle w:val="TableCaption"/>
      </w:pPr>
      <w:r>
        <w:t xml:space="preserve">Agreement statistics by vessel.</w:t>
      </w:r>
    </w:p>
    <w:tbl>
      <w:tblPr>
        <w:tblStyle w:val="Table"/>
        <w:tblW w:type="auto" w:w="0"/>
        <w:tblLook w:firstRow="1" w:lastRow="0" w:firstColumn="0" w:lastColumn="0" w:noHBand="0" w:noVBand="0" w:val="0020"/>
        <w:jc w:val="start"/>
        <w:tblCaption w:val="Agreement statistics by vessel."/>
      </w:tblPr>
      <w:tblGrid>
        <w:gridCol w:w="1131"/>
        <w:gridCol w:w="1131"/>
        <w:gridCol w:w="1131"/>
        <w:gridCol w:w="1131"/>
        <w:gridCol w:w="1131"/>
        <w:gridCol w:w="1131"/>
        <w:gridCol w:w="1131"/>
      </w:tblGrid>
      <w:tr>
        <w:trPr>
          <w:tblHeader w:val="true"/>
        </w:trPr>
        <w:tc>
          <w:tcPr/>
          <w:p>
            <w:pPr>
              <w:pStyle w:val="Compact"/>
              <w:jc w:val="left"/>
            </w:pPr>
            <w:r>
              <w:t xml:space="preserve">Vessel</w:t>
            </w:r>
          </w:p>
        </w:tc>
        <w:tc>
          <w:tcPr/>
          <w:p>
            <w:pPr>
              <w:pStyle w:val="Compact"/>
              <w:jc w:val="right"/>
            </w:pPr>
            <w:r>
              <w:t xml:space="preserve">Years</w:t>
            </w:r>
          </w:p>
        </w:tc>
        <w:tc>
          <w:tcPr/>
          <w:p>
            <w:pPr>
              <w:pStyle w:val="Compact"/>
              <w:jc w:val="right"/>
            </w:pPr>
            <w:r>
              <w:t xml:space="preserve">Mean GFW</w:t>
            </w:r>
          </w:p>
        </w:tc>
        <w:tc>
          <w:tcPr/>
          <w:p>
            <w:pPr>
              <w:pStyle w:val="Compact"/>
              <w:jc w:val="right"/>
            </w:pPr>
            <w:r>
              <w:t xml:space="preserve">Mean CV</w:t>
            </w:r>
          </w:p>
        </w:tc>
        <w:tc>
          <w:tcPr/>
          <w:p>
            <w:pPr>
              <w:pStyle w:val="Compact"/>
              <w:jc w:val="right"/>
            </w:pPr>
            <w:r>
              <w:t xml:space="preserve">Mean diff</w:t>
            </w:r>
          </w:p>
        </w:tc>
        <w:tc>
          <w:tcPr/>
          <w:p>
            <w:pPr>
              <w:pStyle w:val="Compact"/>
              <w:jc w:val="right"/>
            </w:pPr>
            <w:r>
              <w:t xml:space="preserve">Mean ratio</w:t>
            </w:r>
          </w:p>
        </w:tc>
        <w:tc>
          <w:tcPr/>
          <w:p>
            <w:pPr>
              <w:pStyle w:val="Compact"/>
              <w:jc w:val="right"/>
            </w:pPr>
            <w:r>
              <w:t xml:space="preserve">% agree</w:t>
            </w:r>
          </w:p>
        </w:tc>
      </w:tr>
      <w:tr>
        <w:tc>
          <w:tcPr/>
          <w:p>
            <w:pPr>
              <w:pStyle w:val="Compact"/>
              <w:jc w:val="left"/>
            </w:pPr>
            <w:r>
              <w:t xml:space="preserve">CC545762</w:t>
            </w:r>
          </w:p>
        </w:tc>
        <w:tc>
          <w:tcPr/>
          <w:p>
            <w:pPr>
              <w:pStyle w:val="Compact"/>
              <w:jc w:val="right"/>
            </w:pPr>
            <w:r>
              <w:t xml:space="preserve">38</w:t>
            </w:r>
          </w:p>
        </w:tc>
        <w:tc>
          <w:tcPr/>
          <w:p>
            <w:pPr>
              <w:pStyle w:val="Compact"/>
              <w:jc w:val="right"/>
            </w:pPr>
            <w:r>
              <w:t xml:space="preserve">47.6</w:t>
            </w:r>
          </w:p>
        </w:tc>
        <w:tc>
          <w:tcPr/>
          <w:p>
            <w:pPr>
              <w:pStyle w:val="Compact"/>
              <w:jc w:val="right"/>
            </w:pPr>
            <w:r>
              <w:t xml:space="preserve">0.0</w:t>
            </w:r>
          </w:p>
        </w:tc>
        <w:tc>
          <w:tcPr/>
          <w:p>
            <w:pPr>
              <w:pStyle w:val="Compact"/>
              <w:jc w:val="right"/>
            </w:pPr>
            <w:r>
              <w:t xml:space="preserve">47.6</w:t>
            </w:r>
          </w:p>
        </w:tc>
        <w:tc>
          <w:tcPr/>
          <w:p>
            <w:pPr>
              <w:pStyle w:val="Compact"/>
              <w:jc w:val="right"/>
            </w:pPr>
            <w:r>
              <w:t xml:space="preserve">NaN</w:t>
            </w:r>
          </w:p>
        </w:tc>
        <w:tc>
          <w:tcPr/>
          <w:p>
            <w:pPr>
              <w:pStyle w:val="Compact"/>
              <w:jc w:val="right"/>
            </w:pPr>
            <w:r>
              <w:t xml:space="preserve">26.3</w:t>
            </w:r>
          </w:p>
        </w:tc>
      </w:tr>
      <w:tr>
        <w:tc>
          <w:tcPr/>
          <w:p>
            <w:pPr>
              <w:pStyle w:val="Compact"/>
              <w:jc w:val="left"/>
            </w:pPr>
            <w:r>
              <w:t xml:space="preserve">CC622598</w:t>
            </w:r>
          </w:p>
        </w:tc>
        <w:tc>
          <w:tcPr/>
          <w:p>
            <w:pPr>
              <w:pStyle w:val="Compact"/>
              <w:jc w:val="right"/>
            </w:pPr>
            <w:r>
              <w:t xml:space="preserve">34</w:t>
            </w:r>
          </w:p>
        </w:tc>
        <w:tc>
          <w:tcPr/>
          <w:p>
            <w:pPr>
              <w:pStyle w:val="Compact"/>
              <w:jc w:val="right"/>
            </w:pPr>
            <w:r>
              <w:t xml:space="preserve">45.3</w:t>
            </w:r>
          </w:p>
        </w:tc>
        <w:tc>
          <w:tcPr/>
          <w:p>
            <w:pPr>
              <w:pStyle w:val="Compact"/>
              <w:jc w:val="right"/>
            </w:pPr>
            <w:r>
              <w:t xml:space="preserve">0.0</w:t>
            </w:r>
          </w:p>
        </w:tc>
        <w:tc>
          <w:tcPr/>
          <w:p>
            <w:pPr>
              <w:pStyle w:val="Compact"/>
              <w:jc w:val="right"/>
            </w:pPr>
            <w:r>
              <w:t xml:space="preserve">45.3</w:t>
            </w:r>
          </w:p>
        </w:tc>
        <w:tc>
          <w:tcPr/>
          <w:p>
            <w:pPr>
              <w:pStyle w:val="Compact"/>
              <w:jc w:val="right"/>
            </w:pPr>
            <w:r>
              <w:t xml:space="preserve">NaN</w:t>
            </w:r>
          </w:p>
        </w:tc>
        <w:tc>
          <w:tcPr/>
          <w:p>
            <w:pPr>
              <w:pStyle w:val="Compact"/>
              <w:jc w:val="right"/>
            </w:pPr>
            <w:r>
              <w:t xml:space="preserve">17.6</w:t>
            </w:r>
          </w:p>
        </w:tc>
      </w:tr>
      <w:tr>
        <w:tc>
          <w:tcPr/>
          <w:p>
            <w:pPr>
              <w:pStyle w:val="Compact"/>
              <w:jc w:val="left"/>
            </w:pPr>
            <w:r>
              <w:t xml:space="preserve">SCH135</w:t>
            </w:r>
          </w:p>
        </w:tc>
        <w:tc>
          <w:tcPr/>
          <w:p>
            <w:pPr>
              <w:pStyle w:val="Compact"/>
              <w:jc w:val="right"/>
            </w:pPr>
            <w:r>
              <w:t xml:space="preserve">30</w:t>
            </w:r>
          </w:p>
        </w:tc>
        <w:tc>
          <w:tcPr/>
          <w:p>
            <w:pPr>
              <w:pStyle w:val="Compact"/>
              <w:jc w:val="right"/>
            </w:pPr>
            <w:r>
              <w:t xml:space="preserve">54.9</w:t>
            </w:r>
          </w:p>
        </w:tc>
        <w:tc>
          <w:tcPr/>
          <w:p>
            <w:pPr>
              <w:pStyle w:val="Compact"/>
              <w:jc w:val="right"/>
            </w:pPr>
            <w:r>
              <w:t xml:space="preserve">52.0</w:t>
            </w:r>
          </w:p>
        </w:tc>
        <w:tc>
          <w:tcPr/>
          <w:p>
            <w:pPr>
              <w:pStyle w:val="Compact"/>
              <w:jc w:val="right"/>
            </w:pPr>
            <w:r>
              <w:t xml:space="preserve">2.9</w:t>
            </w:r>
          </w:p>
        </w:tc>
        <w:tc>
          <w:tcPr/>
          <w:p>
            <w:pPr>
              <w:pStyle w:val="Compact"/>
              <w:jc w:val="right"/>
            </w:pPr>
            <w:r>
              <w:t xml:space="preserve">1.06</w:t>
            </w:r>
          </w:p>
        </w:tc>
        <w:tc>
          <w:tcPr/>
          <w:p>
            <w:pPr>
              <w:pStyle w:val="Compact"/>
              <w:jc w:val="right"/>
            </w:pPr>
            <w:r>
              <w:t xml:space="preserve">63.3</w:t>
            </w:r>
          </w:p>
        </w:tc>
      </w:tr>
      <w:tr>
        <w:tc>
          <w:tcPr/>
          <w:p>
            <w:pPr>
              <w:pStyle w:val="Compact"/>
              <w:jc w:val="left"/>
            </w:pPr>
            <w:r>
              <w:t xml:space="preserve">SCH144</w:t>
            </w:r>
          </w:p>
        </w:tc>
        <w:tc>
          <w:tcPr/>
          <w:p>
            <w:pPr>
              <w:pStyle w:val="Compact"/>
              <w:jc w:val="right"/>
            </w:pPr>
            <w:r>
              <w:t xml:space="preserve">35</w:t>
            </w:r>
          </w:p>
        </w:tc>
        <w:tc>
          <w:tcPr/>
          <w:p>
            <w:pPr>
              <w:pStyle w:val="Compact"/>
              <w:jc w:val="right"/>
            </w:pPr>
            <w:r>
              <w:t xml:space="preserve">40.5</w:t>
            </w:r>
          </w:p>
        </w:tc>
        <w:tc>
          <w:tcPr/>
          <w:p>
            <w:pPr>
              <w:pStyle w:val="Compact"/>
              <w:jc w:val="right"/>
            </w:pPr>
            <w:r>
              <w:t xml:space="preserve">10.0</w:t>
            </w:r>
          </w:p>
        </w:tc>
        <w:tc>
          <w:tcPr/>
          <w:p>
            <w:pPr>
              <w:pStyle w:val="Compact"/>
              <w:jc w:val="right"/>
            </w:pPr>
            <w:r>
              <w:t xml:space="preserve">30.5</w:t>
            </w:r>
          </w:p>
        </w:tc>
        <w:tc>
          <w:tcPr/>
          <w:p>
            <w:pPr>
              <w:pStyle w:val="Compact"/>
              <w:jc w:val="right"/>
            </w:pPr>
            <w:r>
              <w:t xml:space="preserve">0.98</w:t>
            </w:r>
          </w:p>
        </w:tc>
        <w:tc>
          <w:tcPr/>
          <w:p>
            <w:pPr>
              <w:pStyle w:val="Compact"/>
              <w:jc w:val="right"/>
            </w:pPr>
            <w:r>
              <w:t xml:space="preserve">34.3</w:t>
            </w:r>
          </w:p>
        </w:tc>
      </w:tr>
      <w:tr>
        <w:tc>
          <w:tcPr/>
          <w:p>
            <w:pPr>
              <w:pStyle w:val="Compact"/>
              <w:jc w:val="left"/>
            </w:pPr>
            <w:r>
              <w:t xml:space="preserve">SCH65</w:t>
            </w:r>
          </w:p>
        </w:tc>
        <w:tc>
          <w:tcPr/>
          <w:p>
            <w:pPr>
              <w:pStyle w:val="Compact"/>
              <w:jc w:val="right"/>
            </w:pPr>
            <w:r>
              <w:t xml:space="preserve">38</w:t>
            </w:r>
          </w:p>
        </w:tc>
        <w:tc>
          <w:tcPr/>
          <w:p>
            <w:pPr>
              <w:pStyle w:val="Compact"/>
              <w:jc w:val="right"/>
            </w:pPr>
            <w:r>
              <w:t xml:space="preserve">43.3</w:t>
            </w:r>
          </w:p>
        </w:tc>
        <w:tc>
          <w:tcPr/>
          <w:p>
            <w:pPr>
              <w:pStyle w:val="Compact"/>
              <w:jc w:val="right"/>
            </w:pPr>
            <w:r>
              <w:t xml:space="preserve">61.1</w:t>
            </w:r>
          </w:p>
        </w:tc>
        <w:tc>
          <w:tcPr/>
          <w:p>
            <w:pPr>
              <w:pStyle w:val="Compact"/>
              <w:jc w:val="right"/>
            </w:pPr>
            <w:r>
              <w:t xml:space="preserve">-17.8</w:t>
            </w:r>
          </w:p>
        </w:tc>
        <w:tc>
          <w:tcPr/>
          <w:p>
            <w:pPr>
              <w:pStyle w:val="Compact"/>
              <w:jc w:val="right"/>
            </w:pPr>
            <w:r>
              <w:t xml:space="preserve">0.85</w:t>
            </w:r>
          </w:p>
        </w:tc>
        <w:tc>
          <w:tcPr/>
          <w:p>
            <w:pPr>
              <w:pStyle w:val="Compact"/>
              <w:jc w:val="right"/>
            </w:pPr>
            <w:r>
              <w:t xml:space="preserve">34.2</w:t>
            </w:r>
          </w:p>
        </w:tc>
      </w:tr>
      <w:tr>
        <w:tc>
          <w:tcPr/>
          <w:p>
            <w:pPr>
              <w:pStyle w:val="Compact"/>
              <w:jc w:val="left"/>
            </w:pPr>
            <w:r>
              <w:t xml:space="preserve">SCH99</w:t>
            </w:r>
          </w:p>
        </w:tc>
        <w:tc>
          <w:tcPr/>
          <w:p>
            <w:pPr>
              <w:pStyle w:val="Compact"/>
              <w:jc w:val="right"/>
            </w:pPr>
            <w:r>
              <w:t xml:space="preserve">17</w:t>
            </w:r>
          </w:p>
        </w:tc>
        <w:tc>
          <w:tcPr/>
          <w:p>
            <w:pPr>
              <w:pStyle w:val="Compact"/>
              <w:jc w:val="right"/>
            </w:pPr>
            <w:r>
              <w:t xml:space="preserve">28.1</w:t>
            </w:r>
          </w:p>
        </w:tc>
        <w:tc>
          <w:tcPr/>
          <w:p>
            <w:pPr>
              <w:pStyle w:val="Compact"/>
              <w:jc w:val="right"/>
            </w:pPr>
            <w:r>
              <w:t xml:space="preserve">26.4</w:t>
            </w:r>
          </w:p>
        </w:tc>
        <w:tc>
          <w:tcPr/>
          <w:p>
            <w:pPr>
              <w:pStyle w:val="Compact"/>
              <w:jc w:val="right"/>
            </w:pPr>
            <w:r>
              <w:t xml:space="preserve">1.7</w:t>
            </w:r>
          </w:p>
        </w:tc>
        <w:tc>
          <w:tcPr/>
          <w:p>
            <w:pPr>
              <w:pStyle w:val="Compact"/>
              <w:jc w:val="right"/>
            </w:pPr>
            <w:r>
              <w:t xml:space="preserve">1.08</w:t>
            </w:r>
          </w:p>
        </w:tc>
        <w:tc>
          <w:tcPr/>
          <w:p>
            <w:pPr>
              <w:pStyle w:val="Compact"/>
              <w:jc w:val="right"/>
            </w:pPr>
            <w:r>
              <w:t xml:space="preserve">76.5</w:t>
            </w:r>
          </w:p>
        </w:tc>
      </w:tr>
      <w:tr>
        <w:tc>
          <w:tcPr/>
          <w:p>
            <w:pPr>
              <w:pStyle w:val="Compact"/>
              <w:jc w:val="left"/>
            </w:pPr>
            <w:r>
              <w:t xml:space="preserve">SL9</w:t>
            </w:r>
          </w:p>
        </w:tc>
        <w:tc>
          <w:tcPr/>
          <w:p>
            <w:pPr>
              <w:pStyle w:val="Compact"/>
              <w:jc w:val="right"/>
            </w:pPr>
            <w:r>
              <w:t xml:space="preserve">38</w:t>
            </w:r>
          </w:p>
        </w:tc>
        <w:tc>
          <w:tcPr/>
          <w:p>
            <w:pPr>
              <w:pStyle w:val="Compact"/>
              <w:jc w:val="right"/>
            </w:pPr>
            <w:r>
              <w:t xml:space="preserve">62.8</w:t>
            </w:r>
          </w:p>
        </w:tc>
        <w:tc>
          <w:tcPr/>
          <w:p>
            <w:pPr>
              <w:pStyle w:val="Compact"/>
              <w:jc w:val="right"/>
            </w:pPr>
            <w:r>
              <w:t xml:space="preserve">81.9</w:t>
            </w:r>
          </w:p>
        </w:tc>
        <w:tc>
          <w:tcPr/>
          <w:p>
            <w:pPr>
              <w:pStyle w:val="Compact"/>
              <w:jc w:val="right"/>
            </w:pPr>
            <w:r>
              <w:t xml:space="preserve">-19.1</w:t>
            </w:r>
          </w:p>
        </w:tc>
        <w:tc>
          <w:tcPr/>
          <w:p>
            <w:pPr>
              <w:pStyle w:val="Compact"/>
              <w:jc w:val="right"/>
            </w:pPr>
            <w:r>
              <w:t xml:space="preserve">0.78</w:t>
            </w:r>
          </w:p>
        </w:tc>
        <w:tc>
          <w:tcPr/>
          <w:p>
            <w:pPr>
              <w:pStyle w:val="Compact"/>
              <w:jc w:val="right"/>
            </w:pPr>
            <w:r>
              <w:t xml:space="preserve">18.4</w:t>
            </w:r>
          </w:p>
        </w:tc>
      </w:tr>
      <w:tr>
        <w:tc>
          <w:tcPr/>
          <w:p>
            <w:pPr>
              <w:pStyle w:val="Compact"/>
              <w:jc w:val="left"/>
            </w:pPr>
            <w:r>
              <w:t xml:space="preserve">Z99</w:t>
            </w:r>
          </w:p>
        </w:tc>
        <w:tc>
          <w:tcPr/>
          <w:p>
            <w:pPr>
              <w:pStyle w:val="Compact"/>
              <w:jc w:val="right"/>
            </w:pPr>
            <w:r>
              <w:t xml:space="preserve">6</w:t>
            </w:r>
          </w:p>
        </w:tc>
        <w:tc>
          <w:tcPr/>
          <w:p>
            <w:pPr>
              <w:pStyle w:val="Compact"/>
              <w:jc w:val="right"/>
            </w:pPr>
            <w:r>
              <w:t xml:space="preserve">35.2</w:t>
            </w:r>
          </w:p>
        </w:tc>
        <w:tc>
          <w:tcPr/>
          <w:p>
            <w:pPr>
              <w:pStyle w:val="Compact"/>
              <w:jc w:val="right"/>
            </w:pPr>
            <w:r>
              <w:t xml:space="preserve">32.3</w:t>
            </w:r>
          </w:p>
        </w:tc>
        <w:tc>
          <w:tcPr/>
          <w:p>
            <w:pPr>
              <w:pStyle w:val="Compact"/>
              <w:jc w:val="right"/>
            </w:pPr>
            <w:r>
              <w:t xml:space="preserve">2.8</w:t>
            </w:r>
          </w:p>
        </w:tc>
        <w:tc>
          <w:tcPr/>
          <w:p>
            <w:pPr>
              <w:pStyle w:val="Compact"/>
              <w:jc w:val="right"/>
            </w:pPr>
            <w:r>
              <w:t xml:space="preserve">1.16</w:t>
            </w:r>
          </w:p>
        </w:tc>
        <w:tc>
          <w:tcPr/>
          <w:p>
            <w:pPr>
              <w:pStyle w:val="Compact"/>
              <w:jc w:val="right"/>
            </w:pPr>
            <w:r>
              <w:t xml:space="preserve">83.3</w:t>
            </w:r>
          </w:p>
        </w:tc>
      </w:tr>
    </w:tbl>
    <w:p/>
    <w:p>
      <w:pPr>
        <w:pStyle w:val="TableCaption"/>
      </w:pPr>
      <w:r>
        <w:t xml:space="preserve">Agreement direction counts by ICES division.</w:t>
      </w:r>
    </w:p>
    <w:tbl>
      <w:tblPr>
        <w:tblStyle w:val="Table"/>
        <w:tblW w:type="auto" w:w="0"/>
        <w:tblLook w:firstRow="1" w:lastRow="0" w:firstColumn="0" w:lastColumn="0" w:noHBand="0" w:noVBand="0" w:val="0020"/>
        <w:jc w:val="start"/>
        <w:tblCaption w:val="Agreement direction counts by ICES division."/>
      </w:tblPr>
      <w:tblGrid>
        <w:gridCol w:w="1980"/>
        <w:gridCol w:w="1980"/>
        <w:gridCol w:w="1980"/>
        <w:gridCol w:w="1980"/>
      </w:tblGrid>
      <w:tr>
        <w:trPr>
          <w:tblHeader w:val="true"/>
        </w:trPr>
        <w:tc>
          <w:tcPr/>
          <w:p>
            <w:pPr>
              <w:pStyle w:val="Compact"/>
              <w:jc w:val="left"/>
            </w:pPr>
            <w:r>
              <w:t xml:space="preserve">Division</w:t>
            </w:r>
          </w:p>
        </w:tc>
        <w:tc>
          <w:tcPr/>
          <w:p>
            <w:pPr>
              <w:pStyle w:val="Compact"/>
              <w:jc w:val="right"/>
            </w:pPr>
            <w:r>
              <w:t xml:space="preserve">Agreement</w:t>
            </w:r>
          </w:p>
        </w:tc>
        <w:tc>
          <w:tcPr/>
          <w:p>
            <w:pPr>
              <w:pStyle w:val="Compact"/>
              <w:jc w:val="right"/>
            </w:pPr>
            <w:r>
              <w:t xml:space="preserve">CV higher</w:t>
            </w:r>
          </w:p>
        </w:tc>
        <w:tc>
          <w:tcPr/>
          <w:p>
            <w:pPr>
              <w:pStyle w:val="Compact"/>
              <w:jc w:val="right"/>
            </w:pPr>
            <w:r>
              <w:t xml:space="preserve">GFW higher</w:t>
            </w:r>
          </w:p>
        </w:tc>
      </w:tr>
      <w:tr>
        <w:tc>
          <w:tcPr/>
          <w:p>
            <w:pPr>
              <w:pStyle w:val="Compact"/>
              <w:jc w:val="left"/>
            </w:pPr>
            <w:r>
              <w:t xml:space="preserve">27.4.C</w:t>
            </w:r>
          </w:p>
        </w:tc>
        <w:tc>
          <w:tcPr/>
          <w:p>
            <w:pPr>
              <w:pStyle w:val="Compact"/>
              <w:jc w:val="right"/>
            </w:pPr>
            <w:r>
              <w:t xml:space="preserve">25</w:t>
            </w:r>
          </w:p>
        </w:tc>
        <w:tc>
          <w:tcPr/>
          <w:p>
            <w:pPr>
              <w:pStyle w:val="Compact"/>
              <w:jc w:val="right"/>
            </w:pPr>
            <w:r>
              <w:t xml:space="preserve">23</w:t>
            </w:r>
          </w:p>
        </w:tc>
        <w:tc>
          <w:tcPr/>
          <w:p>
            <w:pPr>
              <w:pStyle w:val="Compact"/>
              <w:jc w:val="right"/>
            </w:pPr>
            <w:r>
              <w:t xml:space="preserve">34</w:t>
            </w:r>
          </w:p>
        </w:tc>
      </w:tr>
      <w:tr>
        <w:tc>
          <w:tcPr/>
          <w:p>
            <w:pPr>
              <w:pStyle w:val="Compact"/>
              <w:jc w:val="left"/>
            </w:pPr>
            <w:r>
              <w:t xml:space="preserve">27.7.D</w:t>
            </w:r>
          </w:p>
        </w:tc>
        <w:tc>
          <w:tcPr/>
          <w:p>
            <w:pPr>
              <w:pStyle w:val="Compact"/>
              <w:jc w:val="right"/>
            </w:pPr>
            <w:r>
              <w:t xml:space="preserve">15</w:t>
            </w:r>
          </w:p>
        </w:tc>
        <w:tc>
          <w:tcPr/>
          <w:p>
            <w:pPr>
              <w:pStyle w:val="Compact"/>
              <w:jc w:val="right"/>
            </w:pPr>
            <w:r>
              <w:t xml:space="preserve">28</w:t>
            </w:r>
          </w:p>
        </w:tc>
        <w:tc>
          <w:tcPr/>
          <w:p>
            <w:pPr>
              <w:pStyle w:val="Compact"/>
              <w:jc w:val="right"/>
            </w:pPr>
            <w:r>
              <w:t xml:space="preserve">40</w:t>
            </w:r>
          </w:p>
        </w:tc>
      </w:tr>
      <w:tr>
        <w:tc>
          <w:tcPr/>
          <w:p>
            <w:pPr>
              <w:pStyle w:val="Compact"/>
              <w:jc w:val="left"/>
            </w:pPr>
            <w:r>
              <w:t xml:space="preserve">27.7.E</w:t>
            </w:r>
          </w:p>
        </w:tc>
        <w:tc>
          <w:tcPr/>
          <w:p>
            <w:pPr>
              <w:pStyle w:val="Compact"/>
              <w:jc w:val="right"/>
            </w:pPr>
            <w:r>
              <w:t xml:space="preserve">45</w:t>
            </w:r>
          </w:p>
        </w:tc>
        <w:tc>
          <w:tcPr/>
          <w:p>
            <w:pPr>
              <w:pStyle w:val="Compact"/>
              <w:jc w:val="right"/>
            </w:pPr>
            <w:r>
              <w:t xml:space="preserve">10</w:t>
            </w:r>
          </w:p>
        </w:tc>
        <w:tc>
          <w:tcPr/>
          <w:p>
            <w:pPr>
              <w:pStyle w:val="Compact"/>
              <w:jc w:val="right"/>
            </w:pPr>
            <w:r>
              <w:t xml:space="preserve">16</w:t>
            </w:r>
          </w:p>
        </w:tc>
      </w:tr>
    </w:tbl>
    <w:bookmarkEnd w:id="26"/>
    <w:bookmarkStart w:id="30" w:name="Xdae3fa75c197d8669ed4c9944eed897abdac9a9"/>
    <w:p>
      <w:pPr>
        <w:pStyle w:val="Heading2"/>
      </w:pPr>
      <w:r>
        <w:t xml:space="preserve">4.2 Annual fishing days — all divisions combined</w:t>
      </w:r>
    </w:p>
    <w:p>
      <w:pPr>
        <w:pStyle w:val="FirstParagraph"/>
      </w:pPr>
      <w:r>
        <w:t xml:space="preserve">Figure 1 shows the total annual fishing days per vessel summed across divisions, comparing GFW and CV logbook records.</w:t>
      </w:r>
    </w:p>
    <w:p>
      <w:pPr>
        <w:pStyle w:val="CaptionedFigure"/>
      </w:pPr>
      <w:r>
        <w:drawing>
          <wp:inline>
            <wp:extent cx="6464300" cy="4040187"/>
            <wp:effectExtent b="0" l="0" r="0" t="0"/>
            <wp:docPr descr="Figure 1. Annual fishing days per vessel (all divisions combined). Blue = GFW; red = CV logbook." title="" id="28" name="Picture"/>
            <a:graphic>
              <a:graphicData uri="http://schemas.openxmlformats.org/drawingml/2006/picture">
                <pic:pic>
                  <pic:nvPicPr>
                    <pic:cNvPr descr="GFW_vs_CV_effort_comparison_v1_files/GFW_vs_CV_effort_comparison_v1_files/figure-docx/plot-annual-all-divisions-1.png" id="29" name="Picture"/>
                    <pic:cNvPicPr>
                      <a:picLocks noChangeArrowheads="1" noChangeAspect="1"/>
                    </pic:cNvPicPr>
                  </pic:nvPicPr>
                  <pic:blipFill>
                    <a:blip r:embed="rId27"/>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1. Annual fishing days per vessel (all divisions combined). Blue = GFW; red = CV logbook.</w:t>
      </w:r>
    </w:p>
    <w:bookmarkEnd w:id="30"/>
    <w:bookmarkStart w:id="34" w:name="X835fc706514e1095bb590a968d3cbf72bb9011f"/>
    <w:p>
      <w:pPr>
        <w:pStyle w:val="Heading2"/>
      </w:pPr>
      <w:r>
        <w:t xml:space="preserve">4.3 Annual fishing days — by vessel and ICES division</w:t>
      </w:r>
    </w:p>
    <w:p>
      <w:pPr>
        <w:pStyle w:val="FirstParagraph"/>
      </w:pPr>
      <w:r>
        <w:t xml:space="preserve">Figure 2 disaggregates the same comparison by ICES division.</w:t>
      </w:r>
    </w:p>
    <w:p>
      <w:pPr>
        <w:pStyle w:val="CaptionedFigure"/>
      </w:pPr>
      <w:r>
        <w:drawing>
          <wp:inline>
            <wp:extent cx="6464300" cy="4040187"/>
            <wp:effectExtent b="0" l="0" r="0" t="0"/>
            <wp:docPr descr="Figure 2. Annual fishing days per vessel and ICES division. Blue = GFW; red = CV logbook." title="" id="32" name="Picture"/>
            <a:graphic>
              <a:graphicData uri="http://schemas.openxmlformats.org/drawingml/2006/picture">
                <pic:pic>
                  <pic:nvPicPr>
                    <pic:cNvPr descr="GFW_vs_CV_effort_comparison_v1_files/GFW_vs_CV_effort_comparison_v1_files/figure-docx/plot-annual-by-division-1.png" id="33" name="Picture"/>
                    <pic:cNvPicPr>
                      <a:picLocks noChangeArrowheads="1" noChangeAspect="1"/>
                    </pic:cNvPicPr>
                  </pic:nvPicPr>
                  <pic:blipFill>
                    <a:blip r:embed="rId31"/>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2. Annual fishing days per vessel and ICES division. Blue = GFW; red = CV logbook.</w:t>
      </w:r>
    </w:p>
    <w:bookmarkEnd w:id="34"/>
    <w:bookmarkStart w:id="38" w:name="scatter-plot-gfw-vs-cv-fishing-days"/>
    <w:p>
      <w:pPr>
        <w:pStyle w:val="Heading2"/>
      </w:pPr>
      <w:r>
        <w:t xml:space="preserve">4.4 Scatter plot — GFW vs CV fishing days</w:t>
      </w:r>
    </w:p>
    <w:p>
      <w:pPr>
        <w:pStyle w:val="FirstParagraph"/>
      </w:pPr>
      <w:r>
        <w:t xml:space="preserve">Figure 3 shows a scatter plot of GFW against CV fishing days for all vessel-year-division combinations where both sources report non-zero days. Points above the 1:1 line indicate years where GFW reports more days than the logbook.</w:t>
      </w:r>
    </w:p>
    <w:p>
      <w:pPr>
        <w:pStyle w:val="CaptionedFigure"/>
      </w:pPr>
      <w:r>
        <w:drawing>
          <wp:inline>
            <wp:extent cx="6464300" cy="4040187"/>
            <wp:effectExtent b="0" l="0" r="0" t="0"/>
            <wp:docPr descr="Figure 3. Scatter plot of GFW vs CV fishing days (vessel × year × division). Dashed line = 1:1. Only years present in both sources included." title="" id="36" name="Picture"/>
            <a:graphic>
              <a:graphicData uri="http://schemas.openxmlformats.org/drawingml/2006/picture">
                <pic:pic>
                  <pic:nvPicPr>
                    <pic:cNvPr descr="GFW_vs_CV_effort_comparison_v1_files/GFW_vs_CV_effort_comparison_v1_files/figure-docx/plot-scatter-1.png" id="37" name="Picture"/>
                    <pic:cNvPicPr>
                      <a:picLocks noChangeArrowheads="1" noChangeAspect="1"/>
                    </pic:cNvPicPr>
                  </pic:nvPicPr>
                  <pic:blipFill>
                    <a:blip r:embed="rId35"/>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3. Scatter plot of GFW vs CV fishing days (vessel × year × division). Dashed line = 1:1. Only years present in both sources included.</w:t>
      </w:r>
    </w:p>
    <w:p>
      <w:r>
        <w:pict>
          <v:rect style="width:0;height:1.5pt" o:hralign="center" o:hrstd="t" o:hr="t"/>
        </w:pict>
      </w:r>
    </w:p>
    <w:bookmarkEnd w:id="38"/>
    <w:bookmarkEnd w:id="39"/>
    <w:bookmarkStart w:id="64" w:name="calendar-heatmaps-daily-overlap"/>
    <w:p>
      <w:pPr>
        <w:pStyle w:val="Heading1"/>
      </w:pPr>
      <w:r>
        <w:t xml:space="preserve">5. Calendar heatmaps — daily overlap</w:t>
      </w:r>
    </w:p>
    <w:p>
      <w:pPr>
        <w:pStyle w:val="FirstParagraph"/>
      </w:pPr>
      <w:r>
        <w:t xml:space="preserve">The calendar heatmap analysis compares the two sources at the individual day level, showing which fishing dates are recorded by both sources, which appear only in the logbook, and which appear only in GFW.</w:t>
      </w:r>
    </w:p>
    <w:p>
      <w:pPr>
        <w:pStyle w:val="BodyText"/>
      </w:pPr>
      <w:r>
        <w:drawing>
          <wp:inline>
            <wp:extent cx="6464300" cy="5656262"/>
            <wp:effectExtent b="0" l="0" r="0" t="0"/>
            <wp:docPr descr="Calendar heatmaps of fishing day presence per vessel. Green = both sources agree; red = CV only; blue = GFW only. Faceted by year." title="" id="41" name="Picture"/>
            <a:graphic>
              <a:graphicData uri="http://schemas.openxmlformats.org/drawingml/2006/picture">
                <pic:pic>
                  <pic:nvPicPr>
                    <pic:cNvPr descr="GFW_vs_CV_effort_comparison_v1_files/GFW_vs_CV_effort_comparison_v1_files/figure-docx/heatmap-per-vessel-1.png" id="42" name="Picture"/>
                    <pic:cNvPicPr>
                      <a:picLocks noChangeArrowheads="1" noChangeAspect="1"/>
                    </pic:cNvPicPr>
                  </pic:nvPicPr>
                  <pic:blipFill>
                    <a:blip r:embed="rId40"/>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44" name="Picture"/>
            <a:graphic>
              <a:graphicData uri="http://schemas.openxmlformats.org/drawingml/2006/picture">
                <pic:pic>
                  <pic:nvPicPr>
                    <pic:cNvPr descr="GFW_vs_CV_effort_comparison_v1_files/GFW_vs_CV_effort_comparison_v1_files/figure-docx/heatmap-per-vessel-2.png" id="45" name="Picture"/>
                    <pic:cNvPicPr>
                      <a:picLocks noChangeArrowheads="1" noChangeAspect="1"/>
                    </pic:cNvPicPr>
                  </pic:nvPicPr>
                  <pic:blipFill>
                    <a:blip r:embed="rId43"/>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47" name="Picture"/>
            <a:graphic>
              <a:graphicData uri="http://schemas.openxmlformats.org/drawingml/2006/picture">
                <pic:pic>
                  <pic:nvPicPr>
                    <pic:cNvPr descr="GFW_vs_CV_effort_comparison_v1_files/GFW_vs_CV_effort_comparison_v1_files/figure-docx/heatmap-per-vessel-3.png" id="48" name="Picture"/>
                    <pic:cNvPicPr>
                      <a:picLocks noChangeArrowheads="1" noChangeAspect="1"/>
                    </pic:cNvPicPr>
                  </pic:nvPicPr>
                  <pic:blipFill>
                    <a:blip r:embed="rId46"/>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50" name="Picture"/>
            <a:graphic>
              <a:graphicData uri="http://schemas.openxmlformats.org/drawingml/2006/picture">
                <pic:pic>
                  <pic:nvPicPr>
                    <pic:cNvPr descr="GFW_vs_CV_effort_comparison_v1_files/GFW_vs_CV_effort_comparison_v1_files/figure-docx/heatmap-per-vessel-4.png" id="51" name="Picture"/>
                    <pic:cNvPicPr>
                      <a:picLocks noChangeArrowheads="1" noChangeAspect="1"/>
                    </pic:cNvPicPr>
                  </pic:nvPicPr>
                  <pic:blipFill>
                    <a:blip r:embed="rId49"/>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53" name="Picture"/>
            <a:graphic>
              <a:graphicData uri="http://schemas.openxmlformats.org/drawingml/2006/picture">
                <pic:pic>
                  <pic:nvPicPr>
                    <pic:cNvPr descr="GFW_vs_CV_effort_comparison_v1_files/GFW_vs_CV_effort_comparison_v1_files/figure-docx/heatmap-per-vessel-5.png" id="54" name="Picture"/>
                    <pic:cNvPicPr>
                      <a:picLocks noChangeArrowheads="1" noChangeAspect="1"/>
                    </pic:cNvPicPr>
                  </pic:nvPicPr>
                  <pic:blipFill>
                    <a:blip r:embed="rId52"/>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56" name="Picture"/>
            <a:graphic>
              <a:graphicData uri="http://schemas.openxmlformats.org/drawingml/2006/picture">
                <pic:pic>
                  <pic:nvPicPr>
                    <pic:cNvPr descr="GFW_vs_CV_effort_comparison_v1_files/GFW_vs_CV_effort_comparison_v1_files/figure-docx/heatmap-per-vessel-6.png" id="57" name="Picture"/>
                    <pic:cNvPicPr>
                      <a:picLocks noChangeArrowheads="1" noChangeAspect="1"/>
                    </pic:cNvPicPr>
                  </pic:nvPicPr>
                  <pic:blipFill>
                    <a:blip r:embed="rId55"/>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59" name="Picture"/>
            <a:graphic>
              <a:graphicData uri="http://schemas.openxmlformats.org/drawingml/2006/picture">
                <pic:pic>
                  <pic:nvPicPr>
                    <pic:cNvPr descr="GFW_vs_CV_effort_comparison_v1_files/GFW_vs_CV_effort_comparison_v1_files/figure-docx/heatmap-per-vessel-7.png" id="60" name="Picture"/>
                    <pic:cNvPicPr>
                      <a:picLocks noChangeArrowheads="1" noChangeAspect="1"/>
                    </pic:cNvPicPr>
                  </pic:nvPicPr>
                  <pic:blipFill>
                    <a:blip r:embed="rId58"/>
                    <a:stretch>
                      <a:fillRect/>
                    </a:stretch>
                  </pic:blipFill>
                  <pic:spPr bwMode="auto">
                    <a:xfrm>
                      <a:off x="0" y="0"/>
                      <a:ext cx="6464300" cy="5656262"/>
                    </a:xfrm>
                    <a:prstGeom prst="rect">
                      <a:avLst/>
                    </a:prstGeom>
                    <a:noFill/>
                    <a:ln w="9525">
                      <a:noFill/>
                      <a:headEnd/>
                      <a:tailEnd/>
                    </a:ln>
                  </pic:spPr>
                </pic:pic>
              </a:graphicData>
            </a:graphic>
          </wp:inline>
        </w:drawing>
      </w:r>
      <w:r>
        <w:drawing>
          <wp:inline>
            <wp:extent cx="6464300" cy="5656262"/>
            <wp:effectExtent b="0" l="0" r="0" t="0"/>
            <wp:docPr descr="Calendar heatmaps of fishing day presence per vessel. Green = both sources agree; red = CV only; blue = GFW only. Faceted by year." title="" id="62" name="Picture"/>
            <a:graphic>
              <a:graphicData uri="http://schemas.openxmlformats.org/drawingml/2006/picture">
                <pic:pic>
                  <pic:nvPicPr>
                    <pic:cNvPr descr="GFW_vs_CV_effort_comparison_v1_files/GFW_vs_CV_effort_comparison_v1_files/figure-docx/heatmap-per-vessel-8.png" id="63" name="Picture"/>
                    <pic:cNvPicPr>
                      <a:picLocks noChangeArrowheads="1" noChangeAspect="1"/>
                    </pic:cNvPicPr>
                  </pic:nvPicPr>
                  <pic:blipFill>
                    <a:blip r:embed="rId61"/>
                    <a:stretch>
                      <a:fillRect/>
                    </a:stretch>
                  </pic:blipFill>
                  <pic:spPr bwMode="auto">
                    <a:xfrm>
                      <a:off x="0" y="0"/>
                      <a:ext cx="6464300" cy="5656262"/>
                    </a:xfrm>
                    <a:prstGeom prst="rect">
                      <a:avLst/>
                    </a:prstGeom>
                    <a:noFill/>
                    <a:ln w="9525">
                      <a:noFill/>
                      <a:headEnd/>
                      <a:tailEnd/>
                    </a:ln>
                  </pic:spPr>
                </pic:pic>
              </a:graphicData>
            </a:graphic>
          </wp:inline>
        </w:drawing>
      </w:r>
    </w:p>
    <w:p>
      <w:r>
        <w:pict>
          <v:rect style="width:0;height:1.5pt" o:hralign="center" o:hrstd="t" o:hr="t"/>
        </w:pict>
      </w:r>
    </w:p>
    <w:bookmarkEnd w:id="64"/>
    <w:bookmarkStart w:id="75" w:name="discrepancy-diagnostics"/>
    <w:p>
      <w:pPr>
        <w:pStyle w:val="Heading1"/>
      </w:pPr>
      <w:r>
        <w:t xml:space="preserve">6. Discrepancy diagnostics</w:t>
      </w:r>
    </w:p>
    <w:p>
      <w:pPr>
        <w:pStyle w:val="FirstParagraph"/>
      </w:pPr>
      <w:r>
        <w:t xml:space="preserve">The diagnostics below focus on a subset of vessels and years where discrepancies are largest. Adjust</w:t>
      </w:r>
      <w:r>
        <w:t xml:space="preserve"> </w:t>
      </w:r>
      <w:r>
        <w:rPr>
          <w:rStyle w:val="VerbatimChar"/>
        </w:rPr>
        <w:t xml:space="preserve">focus_vessels</w:t>
      </w:r>
      <w:r>
        <w:t xml:space="preserve"> </w:t>
      </w:r>
      <w:r>
        <w:t xml:space="preserve">and</w:t>
      </w:r>
      <w:r>
        <w:t xml:space="preserve"> </w:t>
      </w:r>
      <w:r>
        <w:rPr>
          <w:rStyle w:val="VerbatimChar"/>
        </w:rPr>
        <w:t xml:space="preserve">focus_years</w:t>
      </w:r>
      <w:r>
        <w:t xml:space="preserve"> </w:t>
      </w:r>
      <w:r>
        <w:t xml:space="preserve">as needed.</w:t>
      </w:r>
    </w:p>
    <w:bookmarkStart w:id="65" w:name="cv-duplicate-records"/>
    <w:p>
      <w:pPr>
        <w:pStyle w:val="Heading2"/>
      </w:pPr>
      <w:r>
        <w:t xml:space="preserve">6.1 CV duplicate records</w:t>
      </w:r>
    </w:p>
    <w:p>
      <w:pPr>
        <w:pStyle w:val="TableCaption"/>
      </w:pPr>
      <w:r>
        <w:t xml:space="preserve">CV haul record counts per vessel-date-division combination.</w:t>
      </w:r>
    </w:p>
    <w:tbl>
      <w:tblPr>
        <w:tblStyle w:val="Table"/>
        <w:tblW w:type="pct" w:w="5000"/>
        <w:tblLook w:firstRow="1" w:lastRow="0" w:firstColumn="0" w:lastColumn="0" w:noHBand="0" w:noVBand="0" w:val="0020"/>
        <w:jc w:val="start"/>
        <w:tblCaption w:val="CV haul record counts per vessel-date-division combination."/>
      </w:tblPr>
      <w:tblGrid>
        <w:gridCol w:w="602"/>
        <w:gridCol w:w="1807"/>
        <w:gridCol w:w="1807"/>
        <w:gridCol w:w="1980"/>
        <w:gridCol w:w="1721"/>
      </w:tblGrid>
      <w:tr>
        <w:trPr>
          <w:tblHeader w:val="true"/>
        </w:trPr>
        <w:tc>
          <w:tcPr/>
          <w:p>
            <w:pPr>
              <w:pStyle w:val="Compact"/>
              <w:jc w:val="left"/>
            </w:pPr>
            <w:r>
              <w:t xml:space="preserve">Vessel</w:t>
            </w:r>
          </w:p>
        </w:tc>
        <w:tc>
          <w:tcPr/>
          <w:p>
            <w:pPr>
              <w:pStyle w:val="Compact"/>
              <w:jc w:val="right"/>
            </w:pPr>
            <w:r>
              <w:t xml:space="preserve">Date-division combos</w:t>
            </w:r>
          </w:p>
        </w:tc>
        <w:tc>
          <w:tcPr/>
          <w:p>
            <w:pPr>
              <w:pStyle w:val="Compact"/>
              <w:jc w:val="right"/>
            </w:pPr>
            <w:r>
              <w:t xml:space="preserve">Combos with 1 record</w:t>
            </w:r>
          </w:p>
        </w:tc>
        <w:tc>
          <w:tcPr/>
          <w:p>
            <w:pPr>
              <w:pStyle w:val="Compact"/>
              <w:jc w:val="right"/>
            </w:pPr>
            <w:r>
              <w:t xml:space="preserve">Combos with 2+ records</w:t>
            </w:r>
          </w:p>
        </w:tc>
        <w:tc>
          <w:tcPr/>
          <w:p>
            <w:pPr>
              <w:pStyle w:val="Compact"/>
              <w:jc w:val="right"/>
            </w:pPr>
            <w:r>
              <w:t xml:space="preserve">Max records per day</w:t>
            </w:r>
          </w:p>
        </w:tc>
      </w:tr>
      <w:tr>
        <w:tc>
          <w:tcPr/>
          <w:p>
            <w:pPr>
              <w:pStyle w:val="Compact"/>
              <w:jc w:val="left"/>
            </w:pPr>
            <w:r>
              <w:t xml:space="preserve">SCH65</w:t>
            </w:r>
          </w:p>
        </w:tc>
        <w:tc>
          <w:tcPr/>
          <w:p>
            <w:pPr>
              <w:pStyle w:val="Compact"/>
              <w:jc w:val="right"/>
            </w:pPr>
            <w:r>
              <w:t xml:space="preserve">1015</w:t>
            </w:r>
          </w:p>
        </w:tc>
        <w:tc>
          <w:tcPr/>
          <w:p>
            <w:pPr>
              <w:pStyle w:val="Compact"/>
              <w:jc w:val="right"/>
            </w:pPr>
            <w:r>
              <w:t xml:space="preserve">4</w:t>
            </w:r>
          </w:p>
        </w:tc>
        <w:tc>
          <w:tcPr/>
          <w:p>
            <w:pPr>
              <w:pStyle w:val="Compact"/>
              <w:jc w:val="right"/>
            </w:pPr>
            <w:r>
              <w:t xml:space="preserve">1011</w:t>
            </w:r>
          </w:p>
        </w:tc>
        <w:tc>
          <w:tcPr/>
          <w:p>
            <w:pPr>
              <w:pStyle w:val="Compact"/>
              <w:jc w:val="right"/>
            </w:pPr>
            <w:r>
              <w:t xml:space="preserve">27</w:t>
            </w:r>
          </w:p>
        </w:tc>
      </w:tr>
      <w:tr>
        <w:tc>
          <w:tcPr/>
          <w:p>
            <w:pPr>
              <w:pStyle w:val="Compact"/>
              <w:jc w:val="left"/>
            </w:pPr>
            <w:r>
              <w:t xml:space="preserve">SL9</w:t>
            </w:r>
          </w:p>
        </w:tc>
        <w:tc>
          <w:tcPr/>
          <w:p>
            <w:pPr>
              <w:pStyle w:val="Compact"/>
              <w:jc w:val="right"/>
            </w:pPr>
            <w:r>
              <w:t xml:space="preserve">1198</w:t>
            </w:r>
          </w:p>
        </w:tc>
        <w:tc>
          <w:tcPr/>
          <w:p>
            <w:pPr>
              <w:pStyle w:val="Compact"/>
              <w:jc w:val="right"/>
            </w:pPr>
            <w:r>
              <w:t xml:space="preserve">16</w:t>
            </w:r>
          </w:p>
        </w:tc>
        <w:tc>
          <w:tcPr/>
          <w:p>
            <w:pPr>
              <w:pStyle w:val="Compact"/>
              <w:jc w:val="right"/>
            </w:pPr>
            <w:r>
              <w:t xml:space="preserve">1182</w:t>
            </w:r>
          </w:p>
        </w:tc>
        <w:tc>
          <w:tcPr/>
          <w:p>
            <w:pPr>
              <w:pStyle w:val="Compact"/>
              <w:jc w:val="right"/>
            </w:pPr>
            <w:r>
              <w:t xml:space="preserve">26</w:t>
            </w:r>
          </w:p>
        </w:tc>
      </w:tr>
    </w:tbl>
    <w:p/>
    <w:p>
      <w:pPr>
        <w:pStyle w:val="TableCaption"/>
      </w:pPr>
      <w:r>
        <w:t xml:space="preserve">Dates recorded in multiple ICES divisions (focus vessels and years).</w:t>
      </w:r>
    </w:p>
    <w:tbl>
      <w:tblPr>
        <w:tblStyle w:val="Table"/>
        <w:tblW w:type="auto" w:w="0"/>
        <w:tblLook w:firstRow="1" w:lastRow="0" w:firstColumn="0" w:lastColumn="0" w:noHBand="0" w:noVBand="0" w:val="0020"/>
        <w:jc w:val="start"/>
        <w:tblCaption w:val="Dates recorded in multiple ICES divisions (focus vessels and years)."/>
      </w:tblPr>
      <w:tblGrid>
        <w:gridCol w:w="2640"/>
        <w:gridCol w:w="2640"/>
        <w:gridCol w:w="2640"/>
      </w:tblGrid>
      <w:tr>
        <w:trPr>
          <w:tblHeader w:val="true"/>
        </w:trPr>
        <w:tc>
          <w:tcPr/>
          <w:p>
            <w:pPr>
              <w:pStyle w:val="Compact"/>
              <w:jc w:val="left"/>
            </w:pPr>
            <w:r>
              <w:t xml:space="preserve">vessel</w:t>
            </w:r>
          </w:p>
        </w:tc>
        <w:tc>
          <w:tcPr/>
          <w:p>
            <w:pPr>
              <w:pStyle w:val="Compact"/>
              <w:jc w:val="left"/>
            </w:pPr>
            <w:r>
              <w:t xml:space="preserve">date</w:t>
            </w:r>
          </w:p>
        </w:tc>
        <w:tc>
          <w:tcPr/>
          <w:p>
            <w:pPr>
              <w:pStyle w:val="Compact"/>
              <w:jc w:val="left"/>
            </w:pPr>
            <w:r>
              <w:t xml:space="preserve">division</w:t>
            </w:r>
          </w:p>
        </w:tc>
      </w:tr>
      <w:tr>
        <w:tc>
          <w:tcPr/>
          <w:p>
            <w:pPr>
              <w:pStyle w:val="Compact"/>
              <w:jc w:val="left"/>
            </w:pPr>
            <w:r>
              <w:t xml:space="preserve">SCH65</w:t>
            </w:r>
          </w:p>
        </w:tc>
        <w:tc>
          <w:tcPr/>
          <w:p>
            <w:pPr>
              <w:pStyle w:val="Compact"/>
              <w:jc w:val="left"/>
            </w:pPr>
            <w:r>
              <w:t xml:space="preserve">2017-03-29</w:t>
            </w:r>
          </w:p>
        </w:tc>
        <w:tc>
          <w:tcPr/>
          <w:p>
            <w:pPr>
              <w:pStyle w:val="Compact"/>
              <w:jc w:val="left"/>
            </w:pPr>
            <w:r>
              <w:t xml:space="preserve">27.7.E</w:t>
            </w:r>
          </w:p>
        </w:tc>
      </w:tr>
      <w:tr>
        <w:tc>
          <w:tcPr/>
          <w:p>
            <w:pPr>
              <w:pStyle w:val="Compact"/>
              <w:jc w:val="left"/>
            </w:pPr>
            <w:r>
              <w:t xml:space="preserve">SCH65</w:t>
            </w:r>
          </w:p>
        </w:tc>
        <w:tc>
          <w:tcPr/>
          <w:p>
            <w:pPr>
              <w:pStyle w:val="Compact"/>
              <w:jc w:val="left"/>
            </w:pPr>
            <w:r>
              <w:t xml:space="preserve">2017-03-29</w:t>
            </w:r>
          </w:p>
        </w:tc>
        <w:tc>
          <w:tcPr/>
          <w:p>
            <w:pPr>
              <w:pStyle w:val="Compact"/>
              <w:jc w:val="left"/>
            </w:pPr>
            <w:r>
              <w:t xml:space="preserve">27.7.D</w:t>
            </w:r>
          </w:p>
        </w:tc>
      </w:tr>
      <w:tr>
        <w:tc>
          <w:tcPr/>
          <w:p>
            <w:pPr>
              <w:pStyle w:val="Compact"/>
              <w:jc w:val="left"/>
            </w:pPr>
            <w:r>
              <w:t xml:space="preserve">SCH65</w:t>
            </w:r>
          </w:p>
        </w:tc>
        <w:tc>
          <w:tcPr/>
          <w:p>
            <w:pPr>
              <w:pStyle w:val="Compact"/>
              <w:jc w:val="left"/>
            </w:pPr>
            <w:r>
              <w:t xml:space="preserve">2017-10-03</w:t>
            </w:r>
          </w:p>
        </w:tc>
        <w:tc>
          <w:tcPr/>
          <w:p>
            <w:pPr>
              <w:pStyle w:val="Compact"/>
              <w:jc w:val="left"/>
            </w:pPr>
            <w:r>
              <w:t xml:space="preserve">27.4.C</w:t>
            </w:r>
          </w:p>
        </w:tc>
      </w:tr>
      <w:tr>
        <w:tc>
          <w:tcPr/>
          <w:p>
            <w:pPr>
              <w:pStyle w:val="Compact"/>
              <w:jc w:val="left"/>
            </w:pPr>
            <w:r>
              <w:t xml:space="preserve">SCH65</w:t>
            </w:r>
          </w:p>
        </w:tc>
        <w:tc>
          <w:tcPr/>
          <w:p>
            <w:pPr>
              <w:pStyle w:val="Compact"/>
              <w:jc w:val="left"/>
            </w:pPr>
            <w:r>
              <w:t xml:space="preserve">2017-10-03</w:t>
            </w:r>
          </w:p>
        </w:tc>
        <w:tc>
          <w:tcPr/>
          <w:p>
            <w:pPr>
              <w:pStyle w:val="Compact"/>
              <w:jc w:val="left"/>
            </w:pPr>
            <w:r>
              <w:t xml:space="preserve">27.7.D</w:t>
            </w:r>
          </w:p>
        </w:tc>
      </w:tr>
      <w:tr>
        <w:tc>
          <w:tcPr/>
          <w:p>
            <w:pPr>
              <w:pStyle w:val="Compact"/>
              <w:jc w:val="left"/>
            </w:pPr>
            <w:r>
              <w:t xml:space="preserve">SCH65</w:t>
            </w:r>
          </w:p>
        </w:tc>
        <w:tc>
          <w:tcPr/>
          <w:p>
            <w:pPr>
              <w:pStyle w:val="Compact"/>
              <w:jc w:val="left"/>
            </w:pPr>
            <w:r>
              <w:t xml:space="preserve">2019-04-03</w:t>
            </w:r>
          </w:p>
        </w:tc>
        <w:tc>
          <w:tcPr/>
          <w:p>
            <w:pPr>
              <w:pStyle w:val="Compact"/>
              <w:jc w:val="left"/>
            </w:pPr>
            <w:r>
              <w:t xml:space="preserve">27.7.D</w:t>
            </w:r>
          </w:p>
        </w:tc>
      </w:tr>
      <w:tr>
        <w:tc>
          <w:tcPr/>
          <w:p>
            <w:pPr>
              <w:pStyle w:val="Compact"/>
              <w:jc w:val="left"/>
            </w:pPr>
            <w:r>
              <w:t xml:space="preserve">SCH65</w:t>
            </w:r>
          </w:p>
        </w:tc>
        <w:tc>
          <w:tcPr/>
          <w:p>
            <w:pPr>
              <w:pStyle w:val="Compact"/>
              <w:jc w:val="left"/>
            </w:pPr>
            <w:r>
              <w:t xml:space="preserve">2019-04-03</w:t>
            </w:r>
          </w:p>
        </w:tc>
        <w:tc>
          <w:tcPr/>
          <w:p>
            <w:pPr>
              <w:pStyle w:val="Compact"/>
              <w:jc w:val="left"/>
            </w:pPr>
            <w:r>
              <w:t xml:space="preserve">27.7.E</w:t>
            </w:r>
          </w:p>
        </w:tc>
      </w:tr>
      <w:tr>
        <w:tc>
          <w:tcPr/>
          <w:p>
            <w:pPr>
              <w:pStyle w:val="Compact"/>
              <w:jc w:val="left"/>
            </w:pPr>
            <w:r>
              <w:t xml:space="preserve">SCH65</w:t>
            </w:r>
          </w:p>
        </w:tc>
        <w:tc>
          <w:tcPr/>
          <w:p>
            <w:pPr>
              <w:pStyle w:val="Compact"/>
              <w:jc w:val="left"/>
            </w:pPr>
            <w:r>
              <w:t xml:space="preserve">2019-04-19</w:t>
            </w:r>
          </w:p>
        </w:tc>
        <w:tc>
          <w:tcPr/>
          <w:p>
            <w:pPr>
              <w:pStyle w:val="Compact"/>
              <w:jc w:val="left"/>
            </w:pPr>
            <w:r>
              <w:t xml:space="preserve">27.7.E</w:t>
            </w:r>
          </w:p>
        </w:tc>
      </w:tr>
      <w:tr>
        <w:tc>
          <w:tcPr/>
          <w:p>
            <w:pPr>
              <w:pStyle w:val="Compact"/>
              <w:jc w:val="left"/>
            </w:pPr>
            <w:r>
              <w:t xml:space="preserve">SCH65</w:t>
            </w:r>
          </w:p>
        </w:tc>
        <w:tc>
          <w:tcPr/>
          <w:p>
            <w:pPr>
              <w:pStyle w:val="Compact"/>
              <w:jc w:val="left"/>
            </w:pPr>
            <w:r>
              <w:t xml:space="preserve">2019-04-19</w:t>
            </w:r>
          </w:p>
        </w:tc>
        <w:tc>
          <w:tcPr/>
          <w:p>
            <w:pPr>
              <w:pStyle w:val="Compact"/>
              <w:jc w:val="left"/>
            </w:pPr>
            <w:r>
              <w:t xml:space="preserve">27.7.D</w:t>
            </w:r>
          </w:p>
        </w:tc>
      </w:tr>
      <w:tr>
        <w:tc>
          <w:tcPr/>
          <w:p>
            <w:pPr>
              <w:pStyle w:val="Compact"/>
              <w:jc w:val="left"/>
            </w:pPr>
            <w:r>
              <w:t xml:space="preserve">SCH65</w:t>
            </w:r>
          </w:p>
        </w:tc>
        <w:tc>
          <w:tcPr/>
          <w:p>
            <w:pPr>
              <w:pStyle w:val="Compact"/>
              <w:jc w:val="left"/>
            </w:pPr>
            <w:r>
              <w:t xml:space="preserve">2019-07-19</w:t>
            </w:r>
          </w:p>
        </w:tc>
        <w:tc>
          <w:tcPr/>
          <w:p>
            <w:pPr>
              <w:pStyle w:val="Compact"/>
              <w:jc w:val="left"/>
            </w:pPr>
            <w:r>
              <w:t xml:space="preserve">27.7.E</w:t>
            </w:r>
          </w:p>
        </w:tc>
      </w:tr>
      <w:tr>
        <w:tc>
          <w:tcPr/>
          <w:p>
            <w:pPr>
              <w:pStyle w:val="Compact"/>
              <w:jc w:val="left"/>
            </w:pPr>
            <w:r>
              <w:t xml:space="preserve">SCH65</w:t>
            </w:r>
          </w:p>
        </w:tc>
        <w:tc>
          <w:tcPr/>
          <w:p>
            <w:pPr>
              <w:pStyle w:val="Compact"/>
              <w:jc w:val="left"/>
            </w:pPr>
            <w:r>
              <w:t xml:space="preserve">2019-07-19</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2018-01-26</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2018-01-26</w:t>
            </w:r>
          </w:p>
        </w:tc>
        <w:tc>
          <w:tcPr/>
          <w:p>
            <w:pPr>
              <w:pStyle w:val="Compact"/>
              <w:jc w:val="left"/>
            </w:pPr>
            <w:r>
              <w:t xml:space="preserve">27.7.E</w:t>
            </w:r>
          </w:p>
        </w:tc>
      </w:tr>
      <w:tr>
        <w:tc>
          <w:tcPr/>
          <w:p>
            <w:pPr>
              <w:pStyle w:val="Compact"/>
              <w:jc w:val="left"/>
            </w:pPr>
            <w:r>
              <w:t xml:space="preserve">SL9</w:t>
            </w:r>
          </w:p>
        </w:tc>
        <w:tc>
          <w:tcPr/>
          <w:p>
            <w:pPr>
              <w:pStyle w:val="Compact"/>
              <w:jc w:val="left"/>
            </w:pPr>
            <w:r>
              <w:t xml:space="preserve">2018-03-03</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2018-03-03</w:t>
            </w:r>
          </w:p>
        </w:tc>
        <w:tc>
          <w:tcPr/>
          <w:p>
            <w:pPr>
              <w:pStyle w:val="Compact"/>
              <w:jc w:val="left"/>
            </w:pPr>
            <w:r>
              <w:t xml:space="preserve">27.7.E</w:t>
            </w:r>
          </w:p>
        </w:tc>
      </w:tr>
      <w:tr>
        <w:tc>
          <w:tcPr/>
          <w:p>
            <w:pPr>
              <w:pStyle w:val="Compact"/>
              <w:jc w:val="left"/>
            </w:pPr>
            <w:r>
              <w:t xml:space="preserve">SL9</w:t>
            </w:r>
          </w:p>
        </w:tc>
        <w:tc>
          <w:tcPr/>
          <w:p>
            <w:pPr>
              <w:pStyle w:val="Compact"/>
              <w:jc w:val="left"/>
            </w:pPr>
            <w:r>
              <w:t xml:space="preserve">2018-06-27</w:t>
            </w:r>
          </w:p>
        </w:tc>
        <w:tc>
          <w:tcPr/>
          <w:p>
            <w:pPr>
              <w:pStyle w:val="Compact"/>
              <w:jc w:val="left"/>
            </w:pPr>
            <w:r>
              <w:t xml:space="preserve">27.4.B</w:t>
            </w:r>
          </w:p>
        </w:tc>
      </w:tr>
      <w:tr>
        <w:tc>
          <w:tcPr/>
          <w:p>
            <w:pPr>
              <w:pStyle w:val="Compact"/>
              <w:jc w:val="left"/>
            </w:pPr>
            <w:r>
              <w:t xml:space="preserve">SL9</w:t>
            </w:r>
          </w:p>
        </w:tc>
        <w:tc>
          <w:tcPr/>
          <w:p>
            <w:pPr>
              <w:pStyle w:val="Compact"/>
              <w:jc w:val="left"/>
            </w:pPr>
            <w:r>
              <w:t xml:space="preserve">2018-06-27</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2018-10-19</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2018-10-19</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2018-10-31</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2018-10-31</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2018-11-01</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2018-11-01</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2018-11-03</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2018-11-03</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2018-12-03</w:t>
            </w:r>
          </w:p>
        </w:tc>
        <w:tc>
          <w:tcPr/>
          <w:p>
            <w:pPr>
              <w:pStyle w:val="Compact"/>
              <w:jc w:val="left"/>
            </w:pPr>
            <w:r>
              <w:t xml:space="preserve">27.4.C</w:t>
            </w:r>
          </w:p>
        </w:tc>
      </w:tr>
      <w:tr>
        <w:tc>
          <w:tcPr/>
          <w:p>
            <w:pPr>
              <w:pStyle w:val="Compact"/>
              <w:jc w:val="left"/>
            </w:pPr>
            <w:r>
              <w:t xml:space="preserve">SL9</w:t>
            </w:r>
          </w:p>
        </w:tc>
        <w:tc>
          <w:tcPr/>
          <w:p>
            <w:pPr>
              <w:pStyle w:val="Compact"/>
              <w:jc w:val="left"/>
            </w:pPr>
            <w:r>
              <w:t xml:space="preserve">2018-12-03</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2019-02-25</w:t>
            </w:r>
          </w:p>
        </w:tc>
        <w:tc>
          <w:tcPr/>
          <w:p>
            <w:pPr>
              <w:pStyle w:val="Compact"/>
              <w:jc w:val="left"/>
            </w:pPr>
            <w:r>
              <w:t xml:space="preserve">27.7.E</w:t>
            </w:r>
          </w:p>
        </w:tc>
      </w:tr>
      <w:tr>
        <w:tc>
          <w:tcPr/>
          <w:p>
            <w:pPr>
              <w:pStyle w:val="Compact"/>
              <w:jc w:val="left"/>
            </w:pPr>
            <w:r>
              <w:t xml:space="preserve">SL9</w:t>
            </w:r>
          </w:p>
        </w:tc>
        <w:tc>
          <w:tcPr/>
          <w:p>
            <w:pPr>
              <w:pStyle w:val="Compact"/>
              <w:jc w:val="left"/>
            </w:pPr>
            <w:r>
              <w:t xml:space="preserve">2019-02-25</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2019-03-20</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2019-03-20</w:t>
            </w:r>
          </w:p>
        </w:tc>
        <w:tc>
          <w:tcPr/>
          <w:p>
            <w:pPr>
              <w:pStyle w:val="Compact"/>
              <w:jc w:val="left"/>
            </w:pPr>
            <w:r>
              <w:t xml:space="preserve">27.7.E</w:t>
            </w:r>
          </w:p>
        </w:tc>
      </w:tr>
      <w:tr>
        <w:tc>
          <w:tcPr/>
          <w:p>
            <w:pPr>
              <w:pStyle w:val="Compact"/>
              <w:jc w:val="left"/>
            </w:pPr>
            <w:r>
              <w:t xml:space="preserve">SL9</w:t>
            </w:r>
          </w:p>
        </w:tc>
        <w:tc>
          <w:tcPr/>
          <w:p>
            <w:pPr>
              <w:pStyle w:val="Compact"/>
              <w:jc w:val="left"/>
            </w:pPr>
            <w:r>
              <w:t xml:space="preserve">2019-03-24</w:t>
            </w:r>
          </w:p>
        </w:tc>
        <w:tc>
          <w:tcPr/>
          <w:p>
            <w:pPr>
              <w:pStyle w:val="Compact"/>
              <w:jc w:val="left"/>
            </w:pPr>
            <w:r>
              <w:t xml:space="preserve">27.7.D</w:t>
            </w:r>
          </w:p>
        </w:tc>
      </w:tr>
      <w:tr>
        <w:tc>
          <w:tcPr/>
          <w:p>
            <w:pPr>
              <w:pStyle w:val="Compact"/>
              <w:jc w:val="left"/>
            </w:pPr>
            <w:r>
              <w:t xml:space="preserve">SL9</w:t>
            </w:r>
          </w:p>
        </w:tc>
        <w:tc>
          <w:tcPr/>
          <w:p>
            <w:pPr>
              <w:pStyle w:val="Compact"/>
              <w:jc w:val="left"/>
            </w:pPr>
            <w:r>
              <w:t xml:space="preserve">2019-03-24</w:t>
            </w:r>
          </w:p>
        </w:tc>
        <w:tc>
          <w:tcPr/>
          <w:p>
            <w:pPr>
              <w:pStyle w:val="Compact"/>
              <w:jc w:val="left"/>
            </w:pPr>
            <w:r>
              <w:t xml:space="preserve">27.7.E</w:t>
            </w:r>
          </w:p>
        </w:tc>
      </w:tr>
    </w:tbl>
    <w:bookmarkEnd w:id="65"/>
    <w:bookmarkStart w:id="66" w:name="cv-fishing-days-by-division"/>
    <w:p>
      <w:pPr>
        <w:pStyle w:val="Heading2"/>
      </w:pPr>
      <w:r>
        <w:t xml:space="preserve">6.2 CV fishing days by division</w:t>
      </w:r>
    </w:p>
    <w:p>
      <w:pPr>
        <w:pStyle w:val="TableCaption"/>
      </w:pPr>
      <w:r>
        <w:t xml:space="preserve">CV fishing days inside and outside study divisions (focus vessels).</w:t>
      </w:r>
    </w:p>
    <w:tbl>
      <w:tblPr>
        <w:tblStyle w:val="Table"/>
        <w:tblW w:type="auto" w:w="0"/>
        <w:tblLook w:firstRow="1" w:lastRow="0" w:firstColumn="0" w:lastColumn="0" w:noHBand="0" w:noVBand="0" w:val="0020"/>
        <w:jc w:val="start"/>
        <w:tblCaption w:val="CV fishing days inside and outside study divisions (focus vessels)."/>
      </w:tblPr>
      <w:tblGrid>
        <w:gridCol w:w="1980"/>
        <w:gridCol w:w="1980"/>
        <w:gridCol w:w="1980"/>
        <w:gridCol w:w="1980"/>
      </w:tblGrid>
      <w:tr>
        <w:trPr>
          <w:tblHeader w:val="true"/>
        </w:trPr>
        <w:tc>
          <w:tcPr/>
          <w:p>
            <w:pPr>
              <w:pStyle w:val="Compact"/>
              <w:jc w:val="left"/>
            </w:pPr>
            <w:r>
              <w:t xml:space="preserve">Vessel</w:t>
            </w:r>
          </w:p>
        </w:tc>
        <w:tc>
          <w:tcPr/>
          <w:p>
            <w:pPr>
              <w:pStyle w:val="Compact"/>
              <w:jc w:val="right"/>
            </w:pPr>
            <w:r>
              <w:t xml:space="preserve">Year</w:t>
            </w:r>
          </w:p>
        </w:tc>
        <w:tc>
          <w:tcPr/>
          <w:p>
            <w:pPr>
              <w:pStyle w:val="Compact"/>
              <w:jc w:val="left"/>
            </w:pPr>
            <w:r>
              <w:t xml:space="preserve">In study divs</w:t>
            </w:r>
          </w:p>
        </w:tc>
        <w:tc>
          <w:tcPr/>
          <w:p>
            <w:pPr>
              <w:pStyle w:val="Compact"/>
              <w:jc w:val="right"/>
            </w:pPr>
            <w:r>
              <w:t xml:space="preserve">Fishing days</w:t>
            </w:r>
          </w:p>
        </w:tc>
      </w:tr>
      <w:tr>
        <w:tc>
          <w:tcPr/>
          <w:p>
            <w:pPr>
              <w:pStyle w:val="Compact"/>
              <w:jc w:val="left"/>
            </w:pPr>
            <w:r>
              <w:t xml:space="preserve">SCH65</w:t>
            </w:r>
          </w:p>
        </w:tc>
        <w:tc>
          <w:tcPr/>
          <w:p>
            <w:pPr>
              <w:pStyle w:val="Compact"/>
              <w:jc w:val="right"/>
            </w:pPr>
            <w:r>
              <w:t xml:space="preserve">2017</w:t>
            </w:r>
          </w:p>
        </w:tc>
        <w:tc>
          <w:tcPr/>
          <w:p>
            <w:pPr>
              <w:pStyle w:val="Compact"/>
              <w:jc w:val="left"/>
            </w:pPr>
            <w:r>
              <w:t xml:space="preserve">FALSE</w:t>
            </w:r>
          </w:p>
        </w:tc>
        <w:tc>
          <w:tcPr/>
          <w:p>
            <w:pPr>
              <w:pStyle w:val="Compact"/>
              <w:jc w:val="right"/>
            </w:pPr>
            <w:r>
              <w:t xml:space="preserve">42</w:t>
            </w:r>
          </w:p>
        </w:tc>
      </w:tr>
      <w:tr>
        <w:tc>
          <w:tcPr/>
          <w:p>
            <w:pPr>
              <w:pStyle w:val="Compact"/>
              <w:jc w:val="left"/>
            </w:pPr>
            <w:r>
              <w:t xml:space="preserve">SCH65</w:t>
            </w:r>
          </w:p>
        </w:tc>
        <w:tc>
          <w:tcPr/>
          <w:p>
            <w:pPr>
              <w:pStyle w:val="Compact"/>
              <w:jc w:val="right"/>
            </w:pPr>
            <w:r>
              <w:t xml:space="preserve">2017</w:t>
            </w:r>
          </w:p>
        </w:tc>
        <w:tc>
          <w:tcPr/>
          <w:p>
            <w:pPr>
              <w:pStyle w:val="Compact"/>
              <w:jc w:val="left"/>
            </w:pPr>
            <w:r>
              <w:t xml:space="preserve">TRUE</w:t>
            </w:r>
          </w:p>
        </w:tc>
        <w:tc>
          <w:tcPr/>
          <w:p>
            <w:pPr>
              <w:pStyle w:val="Compact"/>
              <w:jc w:val="right"/>
            </w:pPr>
            <w:r>
              <w:t xml:space="preserve">149</w:t>
            </w:r>
          </w:p>
        </w:tc>
      </w:tr>
      <w:tr>
        <w:tc>
          <w:tcPr/>
          <w:p>
            <w:pPr>
              <w:pStyle w:val="Compact"/>
              <w:jc w:val="left"/>
            </w:pPr>
            <w:r>
              <w:t xml:space="preserve">SCH65</w:t>
            </w:r>
          </w:p>
        </w:tc>
        <w:tc>
          <w:tcPr/>
          <w:p>
            <w:pPr>
              <w:pStyle w:val="Compact"/>
              <w:jc w:val="right"/>
            </w:pPr>
            <w:r>
              <w:t xml:space="preserve">2018</w:t>
            </w:r>
          </w:p>
        </w:tc>
        <w:tc>
          <w:tcPr/>
          <w:p>
            <w:pPr>
              <w:pStyle w:val="Compact"/>
              <w:jc w:val="left"/>
            </w:pPr>
            <w:r>
              <w:t xml:space="preserve">FALSE</w:t>
            </w:r>
          </w:p>
        </w:tc>
        <w:tc>
          <w:tcPr/>
          <w:p>
            <w:pPr>
              <w:pStyle w:val="Compact"/>
              <w:jc w:val="right"/>
            </w:pPr>
            <w:r>
              <w:t xml:space="preserve">25</w:t>
            </w:r>
          </w:p>
        </w:tc>
      </w:tr>
      <w:tr>
        <w:tc>
          <w:tcPr/>
          <w:p>
            <w:pPr>
              <w:pStyle w:val="Compact"/>
              <w:jc w:val="left"/>
            </w:pPr>
            <w:r>
              <w:t xml:space="preserve">SCH65</w:t>
            </w:r>
          </w:p>
        </w:tc>
        <w:tc>
          <w:tcPr/>
          <w:p>
            <w:pPr>
              <w:pStyle w:val="Compact"/>
              <w:jc w:val="right"/>
            </w:pPr>
            <w:r>
              <w:t xml:space="preserve">2018</w:t>
            </w:r>
          </w:p>
        </w:tc>
        <w:tc>
          <w:tcPr/>
          <w:p>
            <w:pPr>
              <w:pStyle w:val="Compact"/>
              <w:jc w:val="left"/>
            </w:pPr>
            <w:r>
              <w:t xml:space="preserve">TRUE</w:t>
            </w:r>
          </w:p>
        </w:tc>
        <w:tc>
          <w:tcPr/>
          <w:p>
            <w:pPr>
              <w:pStyle w:val="Compact"/>
              <w:jc w:val="right"/>
            </w:pPr>
            <w:r>
              <w:t xml:space="preserve">174</w:t>
            </w:r>
          </w:p>
        </w:tc>
      </w:tr>
      <w:tr>
        <w:tc>
          <w:tcPr/>
          <w:p>
            <w:pPr>
              <w:pStyle w:val="Compact"/>
              <w:jc w:val="left"/>
            </w:pPr>
            <w:r>
              <w:t xml:space="preserve">SCH65</w:t>
            </w:r>
          </w:p>
        </w:tc>
        <w:tc>
          <w:tcPr/>
          <w:p>
            <w:pPr>
              <w:pStyle w:val="Compact"/>
              <w:jc w:val="right"/>
            </w:pPr>
            <w:r>
              <w:t xml:space="preserve">2019</w:t>
            </w:r>
          </w:p>
        </w:tc>
        <w:tc>
          <w:tcPr/>
          <w:p>
            <w:pPr>
              <w:pStyle w:val="Compact"/>
              <w:jc w:val="left"/>
            </w:pPr>
            <w:r>
              <w:t xml:space="preserve">FALSE</w:t>
            </w:r>
          </w:p>
        </w:tc>
        <w:tc>
          <w:tcPr/>
          <w:p>
            <w:pPr>
              <w:pStyle w:val="Compact"/>
              <w:jc w:val="right"/>
            </w:pPr>
            <w:r>
              <w:t xml:space="preserve">36</w:t>
            </w:r>
          </w:p>
        </w:tc>
      </w:tr>
      <w:tr>
        <w:tc>
          <w:tcPr/>
          <w:p>
            <w:pPr>
              <w:pStyle w:val="Compact"/>
              <w:jc w:val="left"/>
            </w:pPr>
            <w:r>
              <w:t xml:space="preserve">SCH65</w:t>
            </w:r>
          </w:p>
        </w:tc>
        <w:tc>
          <w:tcPr/>
          <w:p>
            <w:pPr>
              <w:pStyle w:val="Compact"/>
              <w:jc w:val="right"/>
            </w:pPr>
            <w:r>
              <w:t xml:space="preserve">2019</w:t>
            </w:r>
          </w:p>
        </w:tc>
        <w:tc>
          <w:tcPr/>
          <w:p>
            <w:pPr>
              <w:pStyle w:val="Compact"/>
              <w:jc w:val="left"/>
            </w:pPr>
            <w:r>
              <w:t xml:space="preserve">TRUE</w:t>
            </w:r>
          </w:p>
        </w:tc>
        <w:tc>
          <w:tcPr/>
          <w:p>
            <w:pPr>
              <w:pStyle w:val="Compact"/>
              <w:jc w:val="right"/>
            </w:pPr>
            <w:r>
              <w:t xml:space="preserve">270</w:t>
            </w:r>
          </w:p>
        </w:tc>
      </w:tr>
      <w:tr>
        <w:tc>
          <w:tcPr/>
          <w:p>
            <w:pPr>
              <w:pStyle w:val="Compact"/>
              <w:jc w:val="left"/>
            </w:pPr>
            <w:r>
              <w:t xml:space="preserve">SCH65</w:t>
            </w:r>
          </w:p>
        </w:tc>
        <w:tc>
          <w:tcPr/>
          <w:p>
            <w:pPr>
              <w:pStyle w:val="Compact"/>
              <w:jc w:val="right"/>
            </w:pPr>
            <w:r>
              <w:t xml:space="preserve">2020</w:t>
            </w:r>
          </w:p>
        </w:tc>
        <w:tc>
          <w:tcPr/>
          <w:p>
            <w:pPr>
              <w:pStyle w:val="Compact"/>
              <w:jc w:val="left"/>
            </w:pPr>
            <w:r>
              <w:t xml:space="preserve">FALSE</w:t>
            </w:r>
          </w:p>
        </w:tc>
        <w:tc>
          <w:tcPr/>
          <w:p>
            <w:pPr>
              <w:pStyle w:val="Compact"/>
              <w:jc w:val="right"/>
            </w:pPr>
            <w:r>
              <w:t xml:space="preserve">20</w:t>
            </w:r>
          </w:p>
        </w:tc>
      </w:tr>
      <w:tr>
        <w:tc>
          <w:tcPr/>
          <w:p>
            <w:pPr>
              <w:pStyle w:val="Compact"/>
              <w:jc w:val="left"/>
            </w:pPr>
            <w:r>
              <w:t xml:space="preserve">SCH65</w:t>
            </w:r>
          </w:p>
        </w:tc>
        <w:tc>
          <w:tcPr/>
          <w:p>
            <w:pPr>
              <w:pStyle w:val="Compact"/>
              <w:jc w:val="right"/>
            </w:pPr>
            <w:r>
              <w:t xml:space="preserve">2020</w:t>
            </w:r>
          </w:p>
        </w:tc>
        <w:tc>
          <w:tcPr/>
          <w:p>
            <w:pPr>
              <w:pStyle w:val="Compact"/>
              <w:jc w:val="left"/>
            </w:pPr>
            <w:r>
              <w:t xml:space="preserve">TRUE</w:t>
            </w:r>
          </w:p>
        </w:tc>
        <w:tc>
          <w:tcPr/>
          <w:p>
            <w:pPr>
              <w:pStyle w:val="Compact"/>
              <w:jc w:val="right"/>
            </w:pPr>
            <w:r>
              <w:t xml:space="preserve">299</w:t>
            </w:r>
          </w:p>
        </w:tc>
      </w:tr>
      <w:tr>
        <w:tc>
          <w:tcPr/>
          <w:p>
            <w:pPr>
              <w:pStyle w:val="Compact"/>
              <w:jc w:val="left"/>
            </w:pPr>
            <w:r>
              <w:t xml:space="preserve">SL9</w:t>
            </w:r>
          </w:p>
        </w:tc>
        <w:tc>
          <w:tcPr/>
          <w:p>
            <w:pPr>
              <w:pStyle w:val="Compact"/>
              <w:jc w:val="right"/>
            </w:pPr>
            <w:r>
              <w:t xml:space="preserve">2017</w:t>
            </w:r>
          </w:p>
        </w:tc>
        <w:tc>
          <w:tcPr/>
          <w:p>
            <w:pPr>
              <w:pStyle w:val="Compact"/>
              <w:jc w:val="left"/>
            </w:pPr>
            <w:r>
              <w:t xml:space="preserve">FALSE</w:t>
            </w:r>
          </w:p>
        </w:tc>
        <w:tc>
          <w:tcPr/>
          <w:p>
            <w:pPr>
              <w:pStyle w:val="Compact"/>
              <w:jc w:val="right"/>
            </w:pPr>
            <w:r>
              <w:t xml:space="preserve">44</w:t>
            </w:r>
          </w:p>
        </w:tc>
      </w:tr>
      <w:tr>
        <w:tc>
          <w:tcPr/>
          <w:p>
            <w:pPr>
              <w:pStyle w:val="Compact"/>
              <w:jc w:val="left"/>
            </w:pPr>
            <w:r>
              <w:t xml:space="preserve">SL9</w:t>
            </w:r>
          </w:p>
        </w:tc>
        <w:tc>
          <w:tcPr/>
          <w:p>
            <w:pPr>
              <w:pStyle w:val="Compact"/>
              <w:jc w:val="right"/>
            </w:pPr>
            <w:r>
              <w:t xml:space="preserve">2017</w:t>
            </w:r>
          </w:p>
        </w:tc>
        <w:tc>
          <w:tcPr/>
          <w:p>
            <w:pPr>
              <w:pStyle w:val="Compact"/>
              <w:jc w:val="left"/>
            </w:pPr>
            <w:r>
              <w:t xml:space="preserve">TRUE</w:t>
            </w:r>
          </w:p>
        </w:tc>
        <w:tc>
          <w:tcPr/>
          <w:p>
            <w:pPr>
              <w:pStyle w:val="Compact"/>
              <w:jc w:val="right"/>
            </w:pPr>
            <w:r>
              <w:t xml:space="preserve">179</w:t>
            </w:r>
          </w:p>
        </w:tc>
      </w:tr>
      <w:tr>
        <w:tc>
          <w:tcPr/>
          <w:p>
            <w:pPr>
              <w:pStyle w:val="Compact"/>
              <w:jc w:val="left"/>
            </w:pPr>
            <w:r>
              <w:t xml:space="preserve">SL9</w:t>
            </w:r>
          </w:p>
        </w:tc>
        <w:tc>
          <w:tcPr/>
          <w:p>
            <w:pPr>
              <w:pStyle w:val="Compact"/>
              <w:jc w:val="right"/>
            </w:pPr>
            <w:r>
              <w:t xml:space="preserve">2018</w:t>
            </w:r>
          </w:p>
        </w:tc>
        <w:tc>
          <w:tcPr/>
          <w:p>
            <w:pPr>
              <w:pStyle w:val="Compact"/>
              <w:jc w:val="left"/>
            </w:pPr>
            <w:r>
              <w:t xml:space="preserve">FALSE</w:t>
            </w:r>
          </w:p>
        </w:tc>
        <w:tc>
          <w:tcPr/>
          <w:p>
            <w:pPr>
              <w:pStyle w:val="Compact"/>
              <w:jc w:val="right"/>
            </w:pPr>
            <w:r>
              <w:t xml:space="preserve">30</w:t>
            </w:r>
          </w:p>
        </w:tc>
      </w:tr>
      <w:tr>
        <w:tc>
          <w:tcPr/>
          <w:p>
            <w:pPr>
              <w:pStyle w:val="Compact"/>
              <w:jc w:val="left"/>
            </w:pPr>
            <w:r>
              <w:t xml:space="preserve">SL9</w:t>
            </w:r>
          </w:p>
        </w:tc>
        <w:tc>
          <w:tcPr/>
          <w:p>
            <w:pPr>
              <w:pStyle w:val="Compact"/>
              <w:jc w:val="right"/>
            </w:pPr>
            <w:r>
              <w:t xml:space="preserve">2018</w:t>
            </w:r>
          </w:p>
        </w:tc>
        <w:tc>
          <w:tcPr/>
          <w:p>
            <w:pPr>
              <w:pStyle w:val="Compact"/>
              <w:jc w:val="left"/>
            </w:pPr>
            <w:r>
              <w:t xml:space="preserve">TRUE</w:t>
            </w:r>
          </w:p>
        </w:tc>
        <w:tc>
          <w:tcPr/>
          <w:p>
            <w:pPr>
              <w:pStyle w:val="Compact"/>
              <w:jc w:val="right"/>
            </w:pPr>
            <w:r>
              <w:t xml:space="preserve">295</w:t>
            </w:r>
          </w:p>
        </w:tc>
      </w:tr>
      <w:tr>
        <w:tc>
          <w:tcPr/>
          <w:p>
            <w:pPr>
              <w:pStyle w:val="Compact"/>
              <w:jc w:val="left"/>
            </w:pPr>
            <w:r>
              <w:t xml:space="preserve">SL9</w:t>
            </w:r>
          </w:p>
        </w:tc>
        <w:tc>
          <w:tcPr/>
          <w:p>
            <w:pPr>
              <w:pStyle w:val="Compact"/>
              <w:jc w:val="right"/>
            </w:pPr>
            <w:r>
              <w:t xml:space="preserve">2019</w:t>
            </w:r>
          </w:p>
        </w:tc>
        <w:tc>
          <w:tcPr/>
          <w:p>
            <w:pPr>
              <w:pStyle w:val="Compact"/>
              <w:jc w:val="left"/>
            </w:pPr>
            <w:r>
              <w:t xml:space="preserve">FALSE</w:t>
            </w:r>
          </w:p>
        </w:tc>
        <w:tc>
          <w:tcPr/>
          <w:p>
            <w:pPr>
              <w:pStyle w:val="Compact"/>
              <w:jc w:val="right"/>
            </w:pPr>
            <w:r>
              <w:t xml:space="preserve">33</w:t>
            </w:r>
          </w:p>
        </w:tc>
      </w:tr>
      <w:tr>
        <w:tc>
          <w:tcPr/>
          <w:p>
            <w:pPr>
              <w:pStyle w:val="Compact"/>
              <w:jc w:val="left"/>
            </w:pPr>
            <w:r>
              <w:t xml:space="preserve">SL9</w:t>
            </w:r>
          </w:p>
        </w:tc>
        <w:tc>
          <w:tcPr/>
          <w:p>
            <w:pPr>
              <w:pStyle w:val="Compact"/>
              <w:jc w:val="right"/>
            </w:pPr>
            <w:r>
              <w:t xml:space="preserve">2019</w:t>
            </w:r>
          </w:p>
        </w:tc>
        <w:tc>
          <w:tcPr/>
          <w:p>
            <w:pPr>
              <w:pStyle w:val="Compact"/>
              <w:jc w:val="left"/>
            </w:pPr>
            <w:r>
              <w:t xml:space="preserve">TRUE</w:t>
            </w:r>
          </w:p>
        </w:tc>
        <w:tc>
          <w:tcPr/>
          <w:p>
            <w:pPr>
              <w:pStyle w:val="Compact"/>
              <w:jc w:val="right"/>
            </w:pPr>
            <w:r>
              <w:t xml:space="preserve">300</w:t>
            </w:r>
          </w:p>
        </w:tc>
      </w:tr>
      <w:tr>
        <w:tc>
          <w:tcPr/>
          <w:p>
            <w:pPr>
              <w:pStyle w:val="Compact"/>
              <w:jc w:val="left"/>
            </w:pPr>
            <w:r>
              <w:t xml:space="preserve">SL9</w:t>
            </w:r>
          </w:p>
        </w:tc>
        <w:tc>
          <w:tcPr/>
          <w:p>
            <w:pPr>
              <w:pStyle w:val="Compact"/>
              <w:jc w:val="right"/>
            </w:pPr>
            <w:r>
              <w:t xml:space="preserve">2020</w:t>
            </w:r>
          </w:p>
        </w:tc>
        <w:tc>
          <w:tcPr/>
          <w:p>
            <w:pPr>
              <w:pStyle w:val="Compact"/>
              <w:jc w:val="left"/>
            </w:pPr>
            <w:r>
              <w:t xml:space="preserve">FALSE</w:t>
            </w:r>
          </w:p>
        </w:tc>
        <w:tc>
          <w:tcPr/>
          <w:p>
            <w:pPr>
              <w:pStyle w:val="Compact"/>
              <w:jc w:val="right"/>
            </w:pPr>
            <w:r>
              <w:t xml:space="preserve">17</w:t>
            </w:r>
          </w:p>
        </w:tc>
      </w:tr>
      <w:tr>
        <w:tc>
          <w:tcPr/>
          <w:p>
            <w:pPr>
              <w:pStyle w:val="Compact"/>
              <w:jc w:val="left"/>
            </w:pPr>
            <w:r>
              <w:t xml:space="preserve">SL9</w:t>
            </w:r>
          </w:p>
        </w:tc>
        <w:tc>
          <w:tcPr/>
          <w:p>
            <w:pPr>
              <w:pStyle w:val="Compact"/>
              <w:jc w:val="right"/>
            </w:pPr>
            <w:r>
              <w:t xml:space="preserve">2020</w:t>
            </w:r>
          </w:p>
        </w:tc>
        <w:tc>
          <w:tcPr/>
          <w:p>
            <w:pPr>
              <w:pStyle w:val="Compact"/>
              <w:jc w:val="left"/>
            </w:pPr>
            <w:r>
              <w:t xml:space="preserve">TRUE</w:t>
            </w:r>
          </w:p>
        </w:tc>
        <w:tc>
          <w:tcPr/>
          <w:p>
            <w:pPr>
              <w:pStyle w:val="Compact"/>
              <w:jc w:val="right"/>
            </w:pPr>
            <w:r>
              <w:t xml:space="preserve">300</w:t>
            </w:r>
          </w:p>
        </w:tc>
      </w:tr>
    </w:tbl>
    <w:bookmarkEnd w:id="66"/>
    <w:bookmarkStart w:id="70" w:name="gfw-ais-gap-check"/>
    <w:p>
      <w:pPr>
        <w:pStyle w:val="Heading2"/>
      </w:pPr>
      <w:r>
        <w:t xml:space="preserve">6.3 GFW AIS gap check</w:t>
      </w:r>
    </w:p>
    <w:p>
      <w:pPr>
        <w:pStyle w:val="CaptionedFigure"/>
      </w:pPr>
      <w:r>
        <w:drawing>
          <wp:inline>
            <wp:extent cx="6464300" cy="4040187"/>
            <wp:effectExtent b="0" l="0" r="0" t="0"/>
            <wp:docPr descr="Figure 4. Monthly GFW fishing event counts for focus vessels. Red bars indicate months with no events recorded (potential AIS gaps)." title="" id="68" name="Picture"/>
            <a:graphic>
              <a:graphicData uri="http://schemas.openxmlformats.org/drawingml/2006/picture">
                <pic:pic>
                  <pic:nvPicPr>
                    <pic:cNvPr descr="GFW_vs_CV_effort_comparison_v1_files/GFW_vs_CV_effort_comparison_v1_files/figure-docx/diag3-ais-gaps-1.png" id="69" name="Picture"/>
                    <pic:cNvPicPr>
                      <a:picLocks noChangeArrowheads="1" noChangeAspect="1"/>
                    </pic:cNvPicPr>
                  </pic:nvPicPr>
                  <pic:blipFill>
                    <a:blip r:embed="rId67"/>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4. Monthly GFW fishing event counts for focus vessels. Red bars indicate months with no events recorded (potential AIS gaps).</w:t>
      </w:r>
    </w:p>
    <w:bookmarkEnd w:id="70"/>
    <w:bookmarkStart w:id="74" w:name="Xf7eea931f84ad181b9717d5c0a39d61352e6108"/>
    <w:p>
      <w:pPr>
        <w:pStyle w:val="Heading2"/>
      </w:pPr>
      <w:r>
        <w:t xml:space="preserve">6.4 Date-level comparison for a single vessel × year</w:t>
      </w:r>
    </w:p>
    <w:p>
      <w:pPr>
        <w:pStyle w:val="CaptionedFigure"/>
      </w:pPr>
      <w:r>
        <w:drawing>
          <wp:inline>
            <wp:extent cx="6464300" cy="4040187"/>
            <wp:effectExtent b="0" l="0" r="0" t="0"/>
            <wp:docPr descr="Figure 5. Calendar heatmap showing the date-level agreement between GFW and CV logbook for the focus vessel and year. Green = both; red = CV only; blue = GFW only." title="" id="72" name="Picture"/>
            <a:graphic>
              <a:graphicData uri="http://schemas.openxmlformats.org/drawingml/2006/picture">
                <pic:pic>
                  <pic:nvPicPr>
                    <pic:cNvPr descr="GFW_vs_CV_effort_comparison_v1_files/GFW_vs_CV_effort_comparison_v1_files/figure-docx/diag5-date-level-1.png" id="73" name="Picture"/>
                    <pic:cNvPicPr>
                      <a:picLocks noChangeArrowheads="1" noChangeAspect="1"/>
                    </pic:cNvPicPr>
                  </pic:nvPicPr>
                  <pic:blipFill>
                    <a:blip r:embed="rId71"/>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5. Calendar heatmap showing the date-level agreement between GFW and CV logbook for the focus vessel and year. Green = both; red = CV only; blue = GFW only.</w:t>
      </w:r>
    </w:p>
    <w:p>
      <w:r>
        <w:pict>
          <v:rect style="width:0;height:1.5pt" o:hralign="center" o:hrstd="t" o:hr="t"/>
        </w:pict>
      </w:r>
    </w:p>
    <w:bookmarkEnd w:id="74"/>
    <w:bookmarkEnd w:id="75"/>
    <w:bookmarkStart w:id="78" w:name="interpretation"/>
    <w:p>
      <w:pPr>
        <w:pStyle w:val="Heading1"/>
      </w:pPr>
      <w:r>
        <w:t xml:space="preserve">7. Interpretation</w:t>
      </w:r>
    </w:p>
    <w:bookmarkStart w:id="76" w:name="what-discrepancies-may-indicate"/>
    <w:p>
      <w:pPr>
        <w:pStyle w:val="Heading2"/>
      </w:pPr>
      <w:r>
        <w:t xml:space="preserve">7.1 What discrepancies may indicate</w:t>
      </w:r>
    </w:p>
    <w:p>
      <w:pPr>
        <w:pStyle w:val="FirstParagraph"/>
      </w:pPr>
      <w:r>
        <w:rPr>
          <w:bCs/>
          <w:b/>
        </w:rPr>
        <w:t xml:space="preserve">CV only (red cells)</w:t>
      </w:r>
      <w:r>
        <w:t xml:space="preserve"> </w:t>
      </w:r>
      <w:r>
        <w:t xml:space="preserve">— possible causes:</w:t>
      </w:r>
    </w:p>
    <w:p>
      <w:pPr>
        <w:numPr>
          <w:ilvl w:val="0"/>
          <w:numId w:val="1003"/>
        </w:numPr>
        <w:pStyle w:val="Compact"/>
      </w:pPr>
      <w:r>
        <w:t xml:space="preserve">AIS transponder switched off or malfunctioning on that day.</w:t>
      </w:r>
    </w:p>
    <w:p>
      <w:pPr>
        <w:numPr>
          <w:ilvl w:val="0"/>
          <w:numId w:val="1003"/>
        </w:numPr>
        <w:pStyle w:val="Compact"/>
      </w:pPr>
      <w:r>
        <w:t xml:space="preserve">GFW classifier missed the fishing activity (e.g. slow steaming gear).</w:t>
      </w:r>
    </w:p>
    <w:p>
      <w:pPr>
        <w:numPr>
          <w:ilvl w:val="0"/>
          <w:numId w:val="1003"/>
        </w:numPr>
        <w:pStyle w:val="Compact"/>
      </w:pPr>
      <w:r>
        <w:t xml:space="preserve">Vessel fished in an area with poor satellite AIS coverage.</w:t>
      </w:r>
    </w:p>
    <w:p>
      <w:pPr>
        <w:numPr>
          <w:ilvl w:val="0"/>
          <w:numId w:val="1003"/>
        </w:numPr>
        <w:pStyle w:val="Compact"/>
      </w:pPr>
      <w:r>
        <w:t xml:space="preserve">Logbook records a day as fishing that GFW does not classify as such.</w:t>
      </w:r>
    </w:p>
    <w:p>
      <w:pPr>
        <w:pStyle w:val="FirstParagraph"/>
      </w:pPr>
      <w:r>
        <w:rPr>
          <w:bCs/>
          <w:b/>
        </w:rPr>
        <w:t xml:space="preserve">GFW only (blue cells)</w:t>
      </w:r>
      <w:r>
        <w:t xml:space="preserve"> </w:t>
      </w:r>
      <w:r>
        <w:t xml:space="preserve">— possible causes:</w:t>
      </w:r>
    </w:p>
    <w:p>
      <w:pPr>
        <w:numPr>
          <w:ilvl w:val="0"/>
          <w:numId w:val="1004"/>
        </w:numPr>
        <w:pStyle w:val="Compact"/>
      </w:pPr>
      <w:r>
        <w:t xml:space="preserve">Fishing activity recorded by AIS but not submitted in the logbook.</w:t>
      </w:r>
    </w:p>
    <w:p>
      <w:pPr>
        <w:numPr>
          <w:ilvl w:val="0"/>
          <w:numId w:val="1004"/>
        </w:numPr>
        <w:pStyle w:val="Compact"/>
      </w:pPr>
      <w:r>
        <w:t xml:space="preserve">GFW classifier false positive (vessel steaming classified as fishing).</w:t>
      </w:r>
    </w:p>
    <w:p>
      <w:pPr>
        <w:numPr>
          <w:ilvl w:val="0"/>
          <w:numId w:val="1004"/>
        </w:numPr>
        <w:pStyle w:val="Compact"/>
      </w:pPr>
      <w:r>
        <w:t xml:space="preserve">Logbook records the trip under a different division or date.</w:t>
      </w:r>
    </w:p>
    <w:p>
      <w:pPr>
        <w:numPr>
          <w:ilvl w:val="0"/>
          <w:numId w:val="1004"/>
        </w:numPr>
        <w:pStyle w:val="Compact"/>
      </w:pPr>
      <w:r>
        <w:t xml:space="preserve">Vessel was active but the trip was not yet processed in the CV data.</w:t>
      </w:r>
    </w:p>
    <w:p>
      <w:pPr>
        <w:pStyle w:val="FirstParagraph"/>
      </w:pPr>
      <w:r>
        <w:t xml:space="preserve">Systematic patterns — for example, consistently red in a particular year or season — are more informative than isolated mismatches. A high proportion of green cells indicates good agreement between the two data sources.</w:t>
      </w:r>
    </w:p>
    <w:bookmarkEnd w:id="76"/>
    <w:bookmarkStart w:id="77" w:name="majority-rule-deduplication"/>
    <w:p>
      <w:pPr>
        <w:pStyle w:val="Heading2"/>
      </w:pPr>
      <w:r>
        <w:t xml:space="preserve">7.2 Majority-rule deduplication</w:t>
      </w:r>
    </w:p>
    <w:p>
      <w:pPr>
        <w:pStyle w:val="FirstParagraph"/>
      </w:pPr>
      <w:r>
        <w:t xml:space="preserve">The CV fishing day count uses a majority-rule procedure to assign each vessel-date to a single ICES division (the one with the most hauls). This avoids inflating the CV day count when a vessel’s logbook records hauls in two divisions on the same day. The same logic underlies the GFW pipeline aggregation, making the two metrics directly comparable.</w:t>
      </w:r>
    </w:p>
    <w:p>
      <w:r>
        <w:pict>
          <v:rect style="width:0;height:1.5pt" o:hralign="center" o:hrstd="t" o:hr="t"/>
        </w:pict>
      </w:r>
    </w:p>
    <w:bookmarkEnd w:id="77"/>
    <w:bookmarkEnd w:id="78"/>
    <w:bookmarkStart w:id="79" w:name="saved-outputs"/>
    <w:p>
      <w:pPr>
        <w:pStyle w:val="Heading1"/>
      </w:pPr>
      <w:r>
        <w:t xml:space="preserve">8. Saved outputs</w:t>
      </w:r>
    </w:p>
    <w:p>
      <w:r>
        <w:pict>
          <v:rect style="width:0;height:1.5pt" o:hralign="center" o:hrstd="t" o:hr="t"/>
        </w:pict>
      </w:r>
    </w:p>
    <w:bookmarkEnd w:id="79"/>
    <w:bookmarkStart w:id="80" w:name="annex-a-data-sources"/>
    <w:p>
      <w:pPr>
        <w:pStyle w:val="Heading1"/>
      </w:pPr>
      <w:r>
        <w:t xml:space="preserve">Annex A —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Period</w:t>
            </w:r>
          </w:p>
        </w:tc>
        <w:tc>
          <w:tcPr/>
          <w:p>
            <w:pPr>
              <w:pStyle w:val="Compact"/>
              <w:jc w:val="left"/>
            </w:pPr>
            <w:r>
              <w:t xml:space="preserve">Role in this analysis</w:t>
            </w:r>
          </w:p>
        </w:tc>
      </w:tr>
      <w:tr>
        <w:tc>
          <w:tcPr/>
          <w:p>
            <w:pPr>
              <w:pStyle w:val="Compact"/>
              <w:jc w:val="left"/>
            </w:pPr>
            <w:r>
              <w:t xml:space="preserve">GFW effort (Stage 7)</w:t>
            </w:r>
          </w:p>
        </w:tc>
        <w:tc>
          <w:tcPr/>
          <w:p>
            <w:pPr>
              <w:pStyle w:val="Compact"/>
              <w:jc w:val="left"/>
            </w:pPr>
            <w:r>
              <w:t xml:space="preserve">GFW AIS pipeline</w:t>
            </w:r>
          </w:p>
        </w:tc>
        <w:tc>
          <w:tcPr/>
          <w:p>
            <w:pPr>
              <w:pStyle w:val="Compact"/>
              <w:jc w:val="left"/>
            </w:pPr>
            <w:r>
              <w:t xml:space="preserve">2013–2025</w:t>
            </w:r>
          </w:p>
        </w:tc>
        <w:tc>
          <w:tcPr/>
          <w:p>
            <w:pPr>
              <w:pStyle w:val="Compact"/>
              <w:jc w:val="left"/>
            </w:pPr>
            <w:r>
              <w:t xml:space="preserve">Fishing days per vessel × division × year</w:t>
            </w:r>
          </w:p>
        </w:tc>
      </w:tr>
      <w:tr>
        <w:tc>
          <w:tcPr/>
          <w:p>
            <w:pPr>
              <w:pStyle w:val="Compact"/>
              <w:jc w:val="left"/>
            </w:pPr>
            <w:r>
              <w:t xml:space="preserve">GFW events</w:t>
            </w:r>
          </w:p>
        </w:tc>
        <w:tc>
          <w:tcPr/>
          <w:p>
            <w:pPr>
              <w:pStyle w:val="Compact"/>
              <w:jc w:val="left"/>
            </w:pPr>
            <w:r>
              <w:t xml:space="preserve">GFW API / AIS pipeline</w:t>
            </w:r>
          </w:p>
        </w:tc>
        <w:tc>
          <w:tcPr/>
          <w:p>
            <w:pPr>
              <w:pStyle w:val="Compact"/>
              <w:jc w:val="left"/>
            </w:pPr>
            <w:r>
              <w:t xml:space="preserve">2013–2025</w:t>
            </w:r>
          </w:p>
        </w:tc>
        <w:tc>
          <w:tcPr/>
          <w:p>
            <w:pPr>
              <w:pStyle w:val="Compact"/>
              <w:jc w:val="left"/>
            </w:pPr>
            <w:r>
              <w:t xml:space="preserve">Day-level comparison and AIS gap diagnostics</w:t>
            </w:r>
          </w:p>
        </w:tc>
      </w:tr>
      <w:tr>
        <w:tc>
          <w:tcPr/>
          <w:p>
            <w:pPr>
              <w:pStyle w:val="Compact"/>
              <w:jc w:val="left"/>
            </w:pPr>
            <w:r>
              <w:t xml:space="preserve">CV electronic logbook</w:t>
            </w:r>
          </w:p>
        </w:tc>
        <w:tc>
          <w:tcPr/>
          <w:p>
            <w:pPr>
              <w:pStyle w:val="Compact"/>
              <w:jc w:val="left"/>
            </w:pPr>
            <w:r>
              <w:t xml:space="preserve">CV vessel operators</w:t>
            </w:r>
          </w:p>
        </w:tc>
        <w:tc>
          <w:tcPr/>
          <w:p>
            <w:pPr>
              <w:pStyle w:val="Compact"/>
              <w:jc w:val="left"/>
            </w:pPr>
            <w:r>
              <w:t xml:space="preserve">2013–2025</w:t>
            </w:r>
          </w:p>
        </w:tc>
        <w:tc>
          <w:tcPr/>
          <w:p>
            <w:pPr>
              <w:pStyle w:val="Compact"/>
              <w:jc w:val="left"/>
            </w:pPr>
            <w:r>
              <w:t xml:space="preserve">Independent effort metric from haul records</w:t>
            </w:r>
          </w:p>
        </w:tc>
      </w:tr>
      <w:tr>
        <w:tc>
          <w:tcPr/>
          <w:p>
            <w:pPr>
              <w:pStyle w:val="Compact"/>
              <w:jc w:val="left"/>
            </w:pPr>
            <w:r>
              <w:t xml:space="preserve">CV vessel info</w:t>
            </w:r>
          </w:p>
        </w:tc>
        <w:tc>
          <w:tcPr/>
          <w:p>
            <w:pPr>
              <w:pStyle w:val="Compact"/>
              <w:jc w:val="left"/>
            </w:pPr>
            <w:r>
              <w:t xml:space="preserve">CV fleet register</w:t>
            </w:r>
          </w:p>
        </w:tc>
        <w:tc>
          <w:tcPr/>
          <w:p>
            <w:pPr>
              <w:pStyle w:val="Compact"/>
              <w:jc w:val="left"/>
            </w:pPr>
            <w:r>
              <w:t xml:space="preserve">—</w:t>
            </w:r>
          </w:p>
        </w:tc>
        <w:tc>
          <w:tcPr/>
          <w:p>
            <w:pPr>
              <w:pStyle w:val="Compact"/>
              <w:jc w:val="left"/>
            </w:pPr>
            <w:r>
              <w:t xml:space="preserve">MMSI lookup, vessel metadata</w:t>
            </w:r>
          </w:p>
        </w:tc>
      </w:tr>
    </w:tbl>
    <w:p>
      <w:pPr>
        <w:pStyle w:val="BodyText"/>
      </w:pPr>
      <w:r>
        <w:t xml:space="preserve">Study area: ICES divisions 27.4.C, 27.7.D, 27.7.E.</w:t>
      </w:r>
    </w:p>
    <w:p>
      <w:r>
        <w:pict>
          <v:rect style="width:0;height:1.5pt" o:hralign="center" o:hrstd="t" o:hr="t"/>
        </w:pict>
      </w:r>
    </w:p>
    <w:bookmarkEnd w:id="80"/>
    <w:bookmarkStart w:id="81" w:name="annex-b-technical-notes"/>
    <w:p>
      <w:pPr>
        <w:pStyle w:val="Heading1"/>
      </w:pPr>
      <w:r>
        <w:t xml:space="preserve">Annex B — Technical notes</w:t>
      </w:r>
    </w:p>
    <w:p>
      <w:pPr>
        <w:numPr>
          <w:ilvl w:val="0"/>
          <w:numId w:val="1005"/>
        </w:numPr>
        <w:pStyle w:val="Compact"/>
      </w:pPr>
      <w:r>
        <w:rPr>
          <w:bCs/>
          <w:b/>
        </w:rPr>
        <w:t xml:space="preserve">Effort metric</w:t>
      </w:r>
      <w:r>
        <w:t xml:space="preserve">: unique fishing days per vessel × year × ICES division (one calendar date = one fishing day regardless of number of hauls or trips).</w:t>
      </w:r>
    </w:p>
    <w:p>
      <w:pPr>
        <w:numPr>
          <w:ilvl w:val="0"/>
          <w:numId w:val="1005"/>
        </w:numPr>
        <w:pStyle w:val="Compact"/>
      </w:pPr>
      <w:r>
        <w:rPr>
          <w:bCs/>
          <w:b/>
        </w:rPr>
        <w:t xml:space="preserve">Majority rule</w:t>
      </w:r>
      <w:r>
        <w:t xml:space="preserve">: where a vessel-date appears in multiple ICES divisions in the logbook, the division with the most hauls is retained. This prevents double-counting and matches the GFW aggregation approach.</w:t>
      </w:r>
    </w:p>
    <w:p>
      <w:pPr>
        <w:numPr>
          <w:ilvl w:val="0"/>
          <w:numId w:val="1005"/>
        </w:numPr>
        <w:pStyle w:val="Compact"/>
      </w:pPr>
      <w:r>
        <w:rPr>
          <w:bCs/>
          <w:b/>
        </w:rPr>
        <w:t xml:space="preserve">Agreement threshold</w:t>
      </w:r>
      <w:r>
        <w:t xml:space="preserve">: ±5 days absolute difference is used as the agreement criterion for annual comparisons (Section 4.1).</w:t>
      </w:r>
    </w:p>
    <w:p>
      <w:pPr>
        <w:numPr>
          <w:ilvl w:val="0"/>
          <w:numId w:val="1005"/>
        </w:numPr>
        <w:pStyle w:val="Compact"/>
      </w:pPr>
      <w:r>
        <w:rPr>
          <w:bCs/>
          <w:b/>
        </w:rPr>
        <w:t xml:space="preserve">Calendar heatmaps</w:t>
      </w:r>
      <w:r>
        <w:t xml:space="preserve">: based on date-only matching (not date × division), consistent with the approach used in the multi-year vessel PDF export.</w:t>
      </w:r>
    </w:p>
    <w:p>
      <w:pPr>
        <w:numPr>
          <w:ilvl w:val="0"/>
          <w:numId w:val="1005"/>
        </w:numPr>
        <w:pStyle w:val="Compact"/>
      </w:pPr>
      <w:r>
        <w:rPr>
          <w:bCs/>
          <w:b/>
        </w:rPr>
        <w:t xml:space="preserve">Source scripts</w:t>
      </w:r>
      <w:r>
        <w:t xml:space="preserve">:</w:t>
      </w:r>
      <w:r>
        <w:t xml:space="preserve"> </w:t>
      </w:r>
      <w:r>
        <w:rPr>
          <w:rStyle w:val="VerbatimChar"/>
        </w:rPr>
        <w:t xml:space="preserve">GFW_vs_CV_effort_comparison_v1.R</w:t>
      </w:r>
      <w:r>
        <w:t xml:space="preserve"> </w:t>
      </w:r>
      <w:r>
        <w:t xml:space="preserve">(main analysis),</w:t>
      </w:r>
      <w:r>
        <w:t xml:space="preserve"> </w:t>
      </w:r>
      <w:r>
        <w:rPr>
          <w:rStyle w:val="VerbatimChar"/>
        </w:rPr>
        <w:t xml:space="preserve">Extract_GFW_effort_v7.R</w:t>
      </w:r>
      <w:r>
        <w:t xml:space="preserve"> </w:t>
      </w:r>
      <w:r>
        <w:t xml:space="preserve">(GFW pipeline).</w:t>
      </w:r>
    </w:p>
    <w:bookmarkEnd w:id="81"/>
    <w:sectPr w:rsidR="00E43431" w:rsidSect="00CC6211">
      <w:pgSz w:h="15840" w:w="12240"/>
      <w:pgMar w:bottom="1418" w:footer="720" w:gutter="0" w:header="720" w:left="1021" w:right="1021" w:top="85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8CA44BB4"/>
    <w:multiLevelType w:val="multilevel"/>
    <w:tmpl w:val="B3ECF9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9030D5D9"/>
    <w:multiLevelType w:val="multilevel"/>
    <w:tmpl w:val="C8CE181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90BE766A"/>
    <w:multiLevelType w:val="multilevel"/>
    <w:tmpl w:val="01289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
    <w:nsid w:val="A06BE7E7"/>
    <w:multiLevelType w:val="multilevel"/>
    <w:tmpl w:val="AF1661B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4">
    <w:nsid w:val="C8EAD5E4"/>
    <w:multiLevelType w:val="multilevel"/>
    <w:tmpl w:val="47C2596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5">
    <w:nsid w:val="CF1C380D"/>
    <w:multiLevelType w:val="multilevel"/>
    <w:tmpl w:val="72DCC2E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6">
    <w:nsid w:val="E17F69BA"/>
    <w:multiLevelType w:val="multilevel"/>
    <w:tmpl w:val="4CCECB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7">
    <w:nsid w:val="EC2F219F"/>
    <w:multiLevelType w:val="multilevel"/>
    <w:tmpl w:val="BBF42D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8">
    <w:nsid w:val="EEFA3429"/>
    <w:multiLevelType w:val="multilevel"/>
    <w:tmpl w:val="4ECA2DF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9">
    <w:nsid w:val="F68EC264"/>
    <w:multiLevelType w:val="multilevel"/>
    <w:tmpl w:val="C9B606A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0">
    <w:nsid w:val="10AAA4A5"/>
    <w:multiLevelType w:val="multilevel"/>
    <w:tmpl w:val="1D64E5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1">
    <w:nsid w:val="20D7BD7C"/>
    <w:multiLevelType w:val="multilevel"/>
    <w:tmpl w:val="D110F51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2">
    <w:nsid w:val="2A502C17"/>
    <w:multiLevelType w:val="multilevel"/>
    <w:tmpl w:val="25A6D5B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3">
    <w:nsid w:val="2EEBADA2"/>
    <w:multiLevelType w:val="multilevel"/>
    <w:tmpl w:val="7F8822AA"/>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4">
    <w:nsid w:val="38F26D2F"/>
    <w:multiLevelType w:val="multilevel"/>
    <w:tmpl w:val="84EE1C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6BEFAAF0"/>
    <w:multiLevelType w:val="multilevel"/>
    <w:tmpl w:val="FCE6C5A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6">
    <w:nsid w:val="7516056B"/>
    <w:multiLevelType w:val="multilevel"/>
    <w:tmpl w:val="532E757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09378782" w:numId="1">
    <w:abstractNumId w:val="6"/>
  </w:num>
  <w:num w16cid:durableId="374082606" w:numId="2">
    <w:abstractNumId w:val="2"/>
  </w:num>
  <w:num w16cid:durableId="497690940" w:numId="3">
    <w:abstractNumId w:val="15"/>
  </w:num>
  <w:num w16cid:durableId="1905986621" w:numId="4">
    <w:abstractNumId w:val="15"/>
  </w:num>
  <w:num w16cid:durableId="1941257078" w:numId="5">
    <w:abstractNumId w:val="5"/>
  </w:num>
  <w:num w16cid:durableId="21371687" w:numId="6">
    <w:abstractNumId w:val="12"/>
  </w:num>
  <w:num w16cid:durableId="1744719970" w:numId="7">
    <w:abstractNumId w:val="7"/>
  </w:num>
  <w:num w16cid:durableId="356933221" w:numId="8">
    <w:abstractNumId w:val="11"/>
  </w:num>
  <w:num w16cid:durableId="1629044985" w:numId="9">
    <w:abstractNumId w:val="14"/>
  </w:num>
  <w:num w16cid:durableId="626356421" w:numId="10">
    <w:abstractNumId w:val="1"/>
  </w:num>
  <w:num w16cid:durableId="1446267774" w:numId="11">
    <w:abstractNumId w:val="8"/>
  </w:num>
  <w:num w16cid:durableId="716440197" w:numId="12">
    <w:abstractNumId w:val="3"/>
  </w:num>
  <w:num w16cid:durableId="2067097828" w:numId="13">
    <w:abstractNumId w:val="16"/>
  </w:num>
  <w:num w16cid:durableId="1427112790" w:numId="14">
    <w:abstractNumId w:val="13"/>
  </w:num>
  <w:num w16cid:durableId="154028065" w:numId="15">
    <w:abstractNumId w:val="10"/>
  </w:num>
  <w:num w16cid:durableId="1733234361" w:numId="16">
    <w:abstractNumId w:val="9"/>
  </w:num>
  <w:num w16cid:durableId="1689481759" w:numId="17">
    <w:abstractNumId w:val="0"/>
  </w:num>
  <w:num w16cid:durableId="593782071" w:numId="18">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imes New Roman" w:eastAsiaTheme="minorHAnsi" w:hAnsiTheme="minorHAnsi"/>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24741"/>
    <w:pPr>
      <w:spacing w:after="120" w:line="276" w:lineRule="auto"/>
    </w:pPr>
    <w:rPr>
      <w:sz w:val="20"/>
      <w:szCs w:val="24"/>
    </w:rPr>
  </w:style>
  <w:style w:styleId="Heading1" w:type="paragraph">
    <w:name w:val="heading 1"/>
    <w:basedOn w:val="Normal"/>
    <w:next w:val="Normal"/>
    <w:link w:val="Heading1Char"/>
    <w:uiPriority w:val="9"/>
    <w:qFormat/>
    <w:rsid w:val="00524741"/>
    <w:pPr>
      <w:keepNext/>
      <w:spacing w:before="120"/>
      <w:outlineLvl w:val="0"/>
    </w:pPr>
    <w:rPr>
      <w:rFonts w:cstheme="majorBidi" w:eastAsiaTheme="majorEastAsia"/>
      <w:b/>
      <w:bCs/>
      <w:kern w:val="32"/>
      <w:sz w:val="36"/>
      <w:szCs w:val="32"/>
    </w:rPr>
  </w:style>
  <w:style w:styleId="Heading2" w:type="paragraph">
    <w:name w:val="heading 2"/>
    <w:basedOn w:val="Normal"/>
    <w:next w:val="Normal"/>
    <w:link w:val="Heading2Char"/>
    <w:uiPriority w:val="9"/>
    <w:semiHidden/>
    <w:unhideWhenUsed/>
    <w:qFormat/>
    <w:rsid w:val="00524741"/>
    <w:pPr>
      <w:keepNext/>
      <w:spacing w:after="60" w:before="240"/>
      <w:outlineLvl w:val="1"/>
    </w:pPr>
    <w:rPr>
      <w:rFonts w:asciiTheme="majorHAnsi" w:cstheme="majorBidi" w:eastAsiaTheme="majorEastAsia" w:hAnsiTheme="majorHAnsi"/>
      <w:b/>
      <w:bCs/>
      <w:i/>
      <w:iCs/>
      <w:sz w:val="28"/>
      <w:szCs w:val="28"/>
    </w:rPr>
  </w:style>
  <w:style w:styleId="Heading3" w:type="paragraph">
    <w:name w:val="heading 3"/>
    <w:basedOn w:val="Normal"/>
    <w:next w:val="Normal"/>
    <w:link w:val="Heading3Char"/>
    <w:uiPriority w:val="9"/>
    <w:semiHidden/>
    <w:unhideWhenUsed/>
    <w:qFormat/>
    <w:rsid w:val="00524741"/>
    <w:pPr>
      <w:keepNext/>
      <w:spacing w:after="60" w:before="240"/>
      <w:outlineLvl w:val="2"/>
    </w:pPr>
    <w:rPr>
      <w:rFonts w:asciiTheme="majorHAnsi" w:cstheme="majorBidi" w:eastAsiaTheme="majorEastAsia" w:hAnsiTheme="majorHAnsi"/>
      <w:b/>
      <w:bCs/>
      <w:sz w:val="26"/>
      <w:szCs w:val="26"/>
    </w:rPr>
  </w:style>
  <w:style w:styleId="Heading4" w:type="paragraph">
    <w:name w:val="heading 4"/>
    <w:basedOn w:val="Normal"/>
    <w:next w:val="Normal"/>
    <w:link w:val="Heading4Char"/>
    <w:uiPriority w:val="9"/>
    <w:semiHidden/>
    <w:unhideWhenUsed/>
    <w:qFormat/>
    <w:rsid w:val="00524741"/>
    <w:pPr>
      <w:keepNext/>
      <w:spacing w:after="60" w:before="240"/>
      <w:outlineLvl w:val="3"/>
    </w:pPr>
    <w:rPr>
      <w:rFonts w:cstheme="majorBidi"/>
      <w:b/>
      <w:bCs/>
      <w:sz w:val="28"/>
      <w:szCs w:val="28"/>
    </w:rPr>
  </w:style>
  <w:style w:styleId="Heading5" w:type="paragraph">
    <w:name w:val="heading 5"/>
    <w:basedOn w:val="Normal"/>
    <w:next w:val="Normal"/>
    <w:link w:val="Heading5Char"/>
    <w:uiPriority w:val="9"/>
    <w:semiHidden/>
    <w:unhideWhenUsed/>
    <w:qFormat/>
    <w:rsid w:val="00524741"/>
    <w:pPr>
      <w:pageBreakBefore/>
      <w:spacing w:after="0" w:line="240" w:lineRule="auto"/>
      <w:outlineLvl w:val="4"/>
    </w:pPr>
    <w:rPr>
      <w:rFonts w:cstheme="majorBidi"/>
      <w:b/>
      <w:bCs/>
      <w:i/>
      <w:iCs/>
      <w:color w:themeColor="background1" w:val="FFFFFF"/>
      <w:sz w:val="10"/>
      <w:szCs w:val="26"/>
    </w:rPr>
  </w:style>
  <w:style w:styleId="Heading6" w:type="paragraph">
    <w:name w:val="heading 6"/>
    <w:basedOn w:val="Normal"/>
    <w:next w:val="Normal"/>
    <w:link w:val="Heading6Char"/>
    <w:uiPriority w:val="9"/>
    <w:semiHidden/>
    <w:unhideWhenUsed/>
    <w:qFormat/>
    <w:rsid w:val="00524741"/>
    <w:pPr>
      <w:spacing w:after="60" w:before="240"/>
      <w:outlineLvl w:val="5"/>
    </w:pPr>
    <w:rPr>
      <w:rFonts w:cstheme="majorBidi"/>
      <w:b/>
      <w:bCs/>
      <w:sz w:val="22"/>
      <w:szCs w:val="22"/>
    </w:rPr>
  </w:style>
  <w:style w:styleId="Heading7" w:type="paragraph">
    <w:name w:val="heading 7"/>
    <w:basedOn w:val="Normal"/>
    <w:next w:val="Normal"/>
    <w:link w:val="Heading7Char"/>
    <w:uiPriority w:val="9"/>
    <w:semiHidden/>
    <w:unhideWhenUsed/>
    <w:qFormat/>
    <w:rsid w:val="00524741"/>
    <w:pPr>
      <w:spacing w:after="60" w:before="240"/>
      <w:outlineLvl w:val="6"/>
    </w:pPr>
    <w:rPr>
      <w:rFonts w:cstheme="majorBidi"/>
      <w:sz w:val="24"/>
    </w:rPr>
  </w:style>
  <w:style w:styleId="Heading8" w:type="paragraph">
    <w:name w:val="heading 8"/>
    <w:basedOn w:val="Normal"/>
    <w:next w:val="Normal"/>
    <w:link w:val="Heading8Char"/>
    <w:uiPriority w:val="9"/>
    <w:semiHidden/>
    <w:unhideWhenUsed/>
    <w:qFormat/>
    <w:rsid w:val="00524741"/>
    <w:pPr>
      <w:spacing w:after="60" w:before="240"/>
      <w:outlineLvl w:val="7"/>
    </w:pPr>
    <w:rPr>
      <w:rFonts w:cstheme="majorBidi"/>
      <w:i/>
      <w:iCs/>
      <w:sz w:val="24"/>
    </w:rPr>
  </w:style>
  <w:style w:styleId="Heading9" w:type="paragraph">
    <w:name w:val="heading 9"/>
    <w:basedOn w:val="Normal"/>
    <w:next w:val="Normal"/>
    <w:link w:val="Heading9Char"/>
    <w:uiPriority w:val="9"/>
    <w:semiHidden/>
    <w:unhideWhenUsed/>
    <w:qFormat/>
    <w:rsid w:val="00524741"/>
    <w:pPr>
      <w:spacing w:after="60" w:before="240"/>
      <w:outlineLvl w:val="8"/>
    </w:pPr>
    <w:rPr>
      <w:rFonts w:asciiTheme="majorHAnsi" w:cstheme="majorBidi" w:eastAsiaTheme="majorEastAsia" w:hAnsiTheme="majorHAnsi"/>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24741"/>
    <w:rPr>
      <w:rFonts w:cstheme="majorBidi" w:eastAsiaTheme="majorEastAsia"/>
      <w:b/>
      <w:bCs/>
      <w:kern w:val="32"/>
      <w:sz w:val="36"/>
      <w:szCs w:val="32"/>
    </w:rPr>
  </w:style>
  <w:style w:customStyle="1" w:styleId="Heading2Char" w:type="character">
    <w:name w:val="Heading 2 Char"/>
    <w:basedOn w:val="DefaultParagraphFont"/>
    <w:link w:val="Heading2"/>
    <w:uiPriority w:val="9"/>
    <w:semiHidden/>
    <w:rsid w:val="00524741"/>
    <w:rPr>
      <w:rFonts w:asciiTheme="majorHAnsi" w:cstheme="majorBidi" w:eastAsiaTheme="majorEastAsia" w:hAnsiTheme="majorHAnsi"/>
      <w:b/>
      <w:bCs/>
      <w:i/>
      <w:iCs/>
      <w:sz w:val="28"/>
      <w:szCs w:val="28"/>
    </w:rPr>
  </w:style>
  <w:style w:customStyle="1" w:styleId="Heading3Char" w:type="character">
    <w:name w:val="Heading 3 Char"/>
    <w:basedOn w:val="DefaultParagraphFont"/>
    <w:link w:val="Heading3"/>
    <w:uiPriority w:val="9"/>
    <w:semiHidden/>
    <w:rsid w:val="00524741"/>
    <w:rPr>
      <w:rFonts w:asciiTheme="majorHAnsi" w:cstheme="majorBidi" w:eastAsiaTheme="majorEastAsia" w:hAnsiTheme="majorHAnsi"/>
      <w:b/>
      <w:bCs/>
      <w:sz w:val="26"/>
      <w:szCs w:val="26"/>
    </w:rPr>
  </w:style>
  <w:style w:customStyle="1" w:styleId="Heading4Char" w:type="character">
    <w:name w:val="Heading 4 Char"/>
    <w:basedOn w:val="DefaultParagraphFont"/>
    <w:link w:val="Heading4"/>
    <w:uiPriority w:val="9"/>
    <w:semiHidden/>
    <w:rsid w:val="00524741"/>
    <w:rPr>
      <w:rFonts w:cstheme="majorBidi"/>
      <w:b/>
      <w:bCs/>
      <w:sz w:val="28"/>
      <w:szCs w:val="28"/>
    </w:rPr>
  </w:style>
  <w:style w:customStyle="1" w:styleId="Heading5Char" w:type="character">
    <w:name w:val="Heading 5 Char"/>
    <w:basedOn w:val="DefaultParagraphFont"/>
    <w:link w:val="Heading5"/>
    <w:uiPriority w:val="9"/>
    <w:semiHidden/>
    <w:rsid w:val="00524741"/>
    <w:rPr>
      <w:rFonts w:cstheme="majorBidi"/>
      <w:b/>
      <w:bCs/>
      <w:i/>
      <w:iCs/>
      <w:color w:themeColor="background1" w:val="FFFFFF"/>
      <w:sz w:val="10"/>
      <w:szCs w:val="26"/>
    </w:rPr>
  </w:style>
  <w:style w:customStyle="1" w:styleId="Heading6Char" w:type="character">
    <w:name w:val="Heading 6 Char"/>
    <w:basedOn w:val="DefaultParagraphFont"/>
    <w:link w:val="Heading6"/>
    <w:uiPriority w:val="9"/>
    <w:semiHidden/>
    <w:rsid w:val="00524741"/>
    <w:rPr>
      <w:rFonts w:cstheme="majorBidi"/>
      <w:b/>
      <w:bCs/>
    </w:rPr>
  </w:style>
  <w:style w:customStyle="1" w:styleId="Heading7Char" w:type="character">
    <w:name w:val="Heading 7 Char"/>
    <w:basedOn w:val="DefaultParagraphFont"/>
    <w:link w:val="Heading7"/>
    <w:uiPriority w:val="9"/>
    <w:semiHidden/>
    <w:rsid w:val="00524741"/>
    <w:rPr>
      <w:rFonts w:cstheme="majorBidi"/>
      <w:sz w:val="24"/>
      <w:szCs w:val="24"/>
    </w:rPr>
  </w:style>
  <w:style w:customStyle="1" w:styleId="Heading8Char" w:type="character">
    <w:name w:val="Heading 8 Char"/>
    <w:basedOn w:val="DefaultParagraphFont"/>
    <w:link w:val="Heading8"/>
    <w:uiPriority w:val="9"/>
    <w:semiHidden/>
    <w:rsid w:val="00524741"/>
    <w:rPr>
      <w:rFonts w:cstheme="majorBidi"/>
      <w:i/>
      <w:iCs/>
      <w:sz w:val="24"/>
      <w:szCs w:val="24"/>
    </w:rPr>
  </w:style>
  <w:style w:customStyle="1" w:styleId="Heading9Char" w:type="character">
    <w:name w:val="Heading 9 Char"/>
    <w:basedOn w:val="DefaultParagraphFont"/>
    <w:link w:val="Heading9"/>
    <w:uiPriority w:val="9"/>
    <w:semiHidden/>
    <w:rsid w:val="00524741"/>
    <w:rPr>
      <w:rFonts w:asciiTheme="majorHAnsi" w:cstheme="majorBidi" w:eastAsiaTheme="majorEastAsia" w:hAnsiTheme="majorHAnsi"/>
    </w:rPr>
  </w:style>
  <w:style w:styleId="Title" w:type="paragraph">
    <w:name w:val="Title"/>
    <w:basedOn w:val="Normal"/>
    <w:next w:val="Normal"/>
    <w:link w:val="TitleChar"/>
    <w:uiPriority w:val="10"/>
    <w:qFormat/>
    <w:rsid w:val="00524741"/>
    <w:pPr>
      <w:spacing w:after="60" w:before="240"/>
      <w:outlineLvl w:val="0"/>
    </w:pPr>
    <w:rPr>
      <w:rFonts w:asciiTheme="majorHAnsi" w:cstheme="majorBidi" w:eastAsiaTheme="majorEastAsia" w:hAnsiTheme="majorHAnsi"/>
      <w:b/>
      <w:bCs/>
      <w:kern w:val="28"/>
      <w:sz w:val="36"/>
      <w:szCs w:val="32"/>
    </w:rPr>
  </w:style>
  <w:style w:customStyle="1" w:styleId="TitleChar" w:type="character">
    <w:name w:val="Title Char"/>
    <w:basedOn w:val="DefaultParagraphFont"/>
    <w:link w:val="Title"/>
    <w:uiPriority w:val="10"/>
    <w:rsid w:val="00524741"/>
    <w:rPr>
      <w:rFonts w:asciiTheme="majorHAnsi" w:cstheme="majorBidi" w:eastAsiaTheme="majorEastAsia" w:hAnsiTheme="majorHAnsi"/>
      <w:b/>
      <w:bCs/>
      <w:kern w:val="28"/>
      <w:sz w:val="36"/>
      <w:szCs w:val="32"/>
    </w:rPr>
  </w:style>
  <w:style w:styleId="Subtitle" w:type="paragraph">
    <w:name w:val="Subtitle"/>
    <w:basedOn w:val="Normal"/>
    <w:next w:val="Normal"/>
    <w:link w:val="SubtitleChar"/>
    <w:uiPriority w:val="11"/>
    <w:qFormat/>
    <w:rsid w:val="00524741"/>
    <w:pPr>
      <w:spacing w:after="60"/>
      <w:jc w:val="center"/>
      <w:outlineLvl w:val="1"/>
    </w:pPr>
    <w:rPr>
      <w:rFonts w:asciiTheme="majorHAnsi" w:cstheme="majorBidi" w:eastAsiaTheme="majorEastAsia" w:hAnsiTheme="majorHAnsi"/>
      <w:sz w:val="24"/>
    </w:rPr>
  </w:style>
  <w:style w:customStyle="1" w:styleId="SubtitleChar" w:type="character">
    <w:name w:val="Subtitle Char"/>
    <w:basedOn w:val="DefaultParagraphFont"/>
    <w:link w:val="Subtitle"/>
    <w:uiPriority w:val="11"/>
    <w:rsid w:val="00524741"/>
    <w:rPr>
      <w:rFonts w:asciiTheme="majorHAnsi" w:cstheme="majorBidi" w:eastAsiaTheme="majorEastAsia" w:hAnsiTheme="majorHAnsi"/>
      <w:sz w:val="24"/>
      <w:szCs w:val="24"/>
    </w:rPr>
  </w:style>
  <w:style w:styleId="Strong" w:type="character">
    <w:name w:val="Strong"/>
    <w:basedOn w:val="DefaultParagraphFont"/>
    <w:uiPriority w:val="22"/>
    <w:qFormat/>
    <w:rsid w:val="00524741"/>
    <w:rPr>
      <w:b/>
      <w:bCs/>
    </w:rPr>
  </w:style>
  <w:style w:styleId="Emphasis" w:type="character">
    <w:name w:val="Emphasis"/>
    <w:basedOn w:val="DefaultParagraphFont"/>
    <w:uiPriority w:val="20"/>
    <w:qFormat/>
    <w:rsid w:val="00524741"/>
    <w:rPr>
      <w:rFonts w:asciiTheme="minorHAnsi" w:hAnsiTheme="minorHAnsi"/>
      <w:b/>
      <w:i/>
      <w:iCs/>
    </w:rPr>
  </w:style>
  <w:style w:styleId="NoSpacing" w:type="paragraph">
    <w:name w:val="No Spacing"/>
    <w:basedOn w:val="Normal"/>
    <w:uiPriority w:val="1"/>
    <w:qFormat/>
    <w:rsid w:val="00524741"/>
    <w:rPr>
      <w:szCs w:val="32"/>
    </w:rPr>
  </w:style>
  <w:style w:styleId="ListParagraph" w:type="paragraph">
    <w:name w:val="List Paragraph"/>
    <w:basedOn w:val="Normal"/>
    <w:uiPriority w:val="34"/>
    <w:qFormat/>
    <w:rsid w:val="00524741"/>
    <w:pPr>
      <w:ind w:left="720"/>
      <w:contextualSpacing/>
    </w:pPr>
  </w:style>
  <w:style w:styleId="Quote" w:type="paragraph">
    <w:name w:val="Quote"/>
    <w:basedOn w:val="Normal"/>
    <w:next w:val="Normal"/>
    <w:link w:val="QuoteChar"/>
    <w:uiPriority w:val="29"/>
    <w:qFormat/>
    <w:rsid w:val="00524741"/>
    <w:rPr>
      <w:i/>
      <w:sz w:val="24"/>
    </w:rPr>
  </w:style>
  <w:style w:customStyle="1" w:styleId="QuoteChar" w:type="character">
    <w:name w:val="Quote Char"/>
    <w:basedOn w:val="DefaultParagraphFont"/>
    <w:link w:val="Quote"/>
    <w:uiPriority w:val="29"/>
    <w:rsid w:val="00524741"/>
    <w:rPr>
      <w:i/>
      <w:sz w:val="24"/>
      <w:szCs w:val="24"/>
    </w:rPr>
  </w:style>
  <w:style w:styleId="IntenseQuote" w:type="paragraph">
    <w:name w:val="Intense Quote"/>
    <w:basedOn w:val="Normal"/>
    <w:next w:val="Normal"/>
    <w:link w:val="IntenseQuoteChar"/>
    <w:uiPriority w:val="30"/>
    <w:qFormat/>
    <w:rsid w:val="00524741"/>
    <w:pPr>
      <w:ind w:left="720" w:right="720"/>
    </w:pPr>
    <w:rPr>
      <w:b/>
      <w:i/>
      <w:sz w:val="24"/>
      <w:szCs w:val="22"/>
    </w:rPr>
  </w:style>
  <w:style w:customStyle="1" w:styleId="IntenseQuoteChar" w:type="character">
    <w:name w:val="Intense Quote Char"/>
    <w:basedOn w:val="DefaultParagraphFont"/>
    <w:link w:val="IntenseQuote"/>
    <w:uiPriority w:val="30"/>
    <w:rsid w:val="00524741"/>
    <w:rPr>
      <w:b/>
      <w:i/>
      <w:sz w:val="24"/>
    </w:rPr>
  </w:style>
  <w:style w:styleId="SubtleEmphasis" w:type="character">
    <w:name w:val="Subtle Emphasis"/>
    <w:uiPriority w:val="19"/>
    <w:qFormat/>
    <w:rsid w:val="00524741"/>
    <w:rPr>
      <w:i/>
      <w:color w:themeColor="text1" w:themeTint="A5" w:val="5A5A5A"/>
    </w:rPr>
  </w:style>
  <w:style w:styleId="IntenseEmphasis" w:type="character">
    <w:name w:val="Intense Emphasis"/>
    <w:basedOn w:val="DefaultParagraphFont"/>
    <w:uiPriority w:val="21"/>
    <w:qFormat/>
    <w:rsid w:val="00524741"/>
    <w:rPr>
      <w:b/>
      <w:i/>
      <w:sz w:val="24"/>
      <w:szCs w:val="24"/>
      <w:u w:val="single"/>
    </w:rPr>
  </w:style>
  <w:style w:styleId="SubtleReference" w:type="character">
    <w:name w:val="Subtle Reference"/>
    <w:basedOn w:val="DefaultParagraphFont"/>
    <w:uiPriority w:val="31"/>
    <w:qFormat/>
    <w:rsid w:val="00524741"/>
    <w:rPr>
      <w:sz w:val="24"/>
      <w:szCs w:val="24"/>
      <w:u w:val="single"/>
    </w:rPr>
  </w:style>
  <w:style w:styleId="IntenseReference" w:type="character">
    <w:name w:val="Intense Reference"/>
    <w:basedOn w:val="DefaultParagraphFont"/>
    <w:uiPriority w:val="32"/>
    <w:qFormat/>
    <w:rsid w:val="00524741"/>
    <w:rPr>
      <w:b/>
      <w:sz w:val="24"/>
      <w:u w:val="single"/>
    </w:rPr>
  </w:style>
  <w:style w:styleId="BookTitle" w:type="character">
    <w:name w:val="Book Title"/>
    <w:basedOn w:val="DefaultParagraphFont"/>
    <w:uiPriority w:val="33"/>
    <w:qFormat/>
    <w:rsid w:val="00524741"/>
    <w:rPr>
      <w:rFonts w:asciiTheme="majorHAnsi" w:eastAsiaTheme="majorEastAsia" w:hAnsiTheme="majorHAnsi"/>
      <w:b/>
      <w:i/>
      <w:sz w:val="24"/>
      <w:szCs w:val="24"/>
    </w:rPr>
  </w:style>
  <w:style w:styleId="TOCHeading" w:type="paragraph">
    <w:name w:val="TOC Heading"/>
    <w:basedOn w:val="Heading1"/>
    <w:next w:val="Normal"/>
    <w:uiPriority w:val="39"/>
    <w:semiHidden/>
    <w:unhideWhenUsed/>
    <w:qFormat/>
    <w:rsid w:val="00524741"/>
    <w:pPr>
      <w:outlineLvl w:val="9"/>
    </w:pPr>
  </w:style>
  <w:style w:customStyle="1" w:styleId="SourceCode" w:type="paragraph">
    <w:name w:val="Source Code"/>
    <w:basedOn w:val="Normal"/>
    <w:rsid w:val="00020085"/>
    <w:pPr>
      <w:shd w:color="auto" w:fill="F8F8F8" w:val="clear"/>
      <w:wordWrap w:val="0"/>
      <w:spacing w:line="240" w:lineRule="auto"/>
    </w:pPr>
    <w:rPr>
      <w:rFonts w:ascii="Courier New" w:cs="Courier New" w:hAnsi="Courier New"/>
      <w:sz w:val="16"/>
      <w:szCs w:val="16"/>
    </w:rPr>
  </w:style>
  <w:style w:customStyle="1" w:styleId="KeywordTok" w:type="character">
    <w:name w:val="KeywordTok"/>
    <w:rsid w:val="00116679"/>
    <w:rPr>
      <w:b/>
      <w:color w:val="204A87"/>
      <w:sz w:val="16"/>
      <w:szCs w:val="16"/>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sid w:val="00116679"/>
    <w:rPr>
      <w:rFonts w:ascii="Courier New" w:cs="Courier New" w:hAnsi="Courier New"/>
      <w:color w:val="4E9A06"/>
      <w:sz w:val="12"/>
      <w:szCs w:val="12"/>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sid w:val="00116679"/>
    <w:rPr>
      <w:rFonts w:ascii="Courier New" w:cs="Courier New" w:hAnsi="Courier New"/>
      <w:color w:val="8F5902"/>
      <w:sz w:val="12"/>
      <w:szCs w:val="1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sid w:val="00116679"/>
    <w:rPr>
      <w:rFonts w:ascii="Courier New" w:cs="Courier New" w:hAnsi="Courier New"/>
      <w:sz w:val="12"/>
      <w:szCs w:val="1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report_template2.dotx</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GFW vs CV Electronic Logbook — Effort Comparison</dc:title>
  <dc:creator>Martin Pastoors</dc:creator>
  <cp:keywords/>
  <dcterms:created xsi:type="dcterms:W3CDTF">2026-06-18T17:43:36Z</dcterms:created>
  <dcterms:modified xsi:type="dcterms:W3CDTF">2026-06-18T17:43:36Z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June 2026</vt:lpwstr>
  </property>
  <property fmtid="{D5CDD505-2E9C-101B-9397-08002B2CF9AE}" pid="3" name="output">
    <vt:lpwstr/>
  </property>
  <property fmtid="{D5CDD505-2E9C-101B-9397-08002B2CF9AE}" pid="4" name="subtitle">
    <vt:lpwstr>Overlap in fishing effort metrics between CV logbooks and GFW AIS-based data for the same vessels</vt:lpwstr>
  </property>
</Properties>
</file>