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9.png" ContentType="image/png"/>
  <Override PartName="/word/media/rId27.png" ContentType="image/png"/>
  <Override PartName="/word/media/rId3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WQ 2024 analysis on spatial distributions and indicators</w:t>
      </w:r>
    </w:p>
    <w:p>
      <w:pPr>
        <w:pStyle w:val="BodyText"/>
      </w:pPr>
      <w:r>
        <w:t xml:space="preserve">By: Martin Pastoors and Hans van Oostenbrugge</w:t>
      </w:r>
    </w:p>
    <w:p>
      <w:pPr>
        <w:pStyle w:val="BodyText"/>
      </w:pPr>
      <w:r>
        <w:t xml:space="preserve">Version: 24/01/2025</w:t>
      </w:r>
    </w:p>
    <w:p>
      <w:pPr>
        <w:pStyle w:val="BodyText"/>
      </w:pPr>
      <w:r>
        <w:drawing>
          <wp:inline>
            <wp:extent cx="1428750" cy="571500"/>
            <wp:effectExtent b="0" l="0" r="0" t="0"/>
            <wp:docPr descr="" title="" id="21" name="Picture"/>
            <a:graphic>
              <a:graphicData uri="http://schemas.openxmlformats.org/drawingml/2006/picture">
                <pic:pic>
                  <pic:nvPicPr>
                    <pic:cNvPr descr="WQ-report-on-spatial-distribution-and-indicators_files/figure-docx/unnamed-chunk-1-1.png" id="22" name="Picture"/>
                    <pic:cNvPicPr>
                      <a:picLocks noChangeArrowheads="1" noChangeAspect="1"/>
                    </pic:cNvPicPr>
                  </pic:nvPicPr>
                  <pic:blipFill>
                    <a:blip r:embed="rId20"/>
                    <a:stretch>
                      <a:fillRect/>
                    </a:stretch>
                  </pic:blipFill>
                  <pic:spPr bwMode="auto">
                    <a:xfrm>
                      <a:off x="0" y="0"/>
                      <a:ext cx="1428750" cy="571500"/>
                    </a:xfrm>
                    <a:prstGeom prst="rect">
                      <a:avLst/>
                    </a:prstGeom>
                    <a:noFill/>
                    <a:ln w="9525">
                      <a:noFill/>
                      <a:headEnd/>
                      <a:tailEnd/>
                    </a:ln>
                  </pic:spPr>
                </pic:pic>
              </a:graphicData>
            </a:graphic>
          </wp:inline>
        </w:drawing>
      </w:r>
    </w:p>
    <w:bookmarkStart w:id="23" w:name="introduction"/>
    <w:p>
      <w:pPr>
        <w:pStyle w:val="Heading1"/>
      </w:pPr>
      <w:r>
        <w:t xml:space="preserve">Introduction</w:t>
      </w:r>
    </w:p>
    <w:p>
      <w:pPr>
        <w:pStyle w:val="FirstParagraph"/>
      </w:pPr>
      <w:r>
        <w:t xml:space="preserve">The spatial distribution of the Dutch bottomtrawl fleet is increasingly influenced by developments at sea that make traditional fishing areas less accessible or inaccessible to fishing vessels or that affect the presence or catchability of the most important target species. The most important developments are offshore wind development (and associated pipelines on or in the seabed) and protected areas.</w:t>
      </w:r>
    </w:p>
    <w:p>
      <w:pPr>
        <w:pStyle w:val="BodyText"/>
      </w:pPr>
      <w:r>
        <w:t xml:space="preserve">The participating vessels have previously been equipped with tools to collect real-time information on catches and fishing positions. This made it possible to estimate catch compositions per haul and thereby creating detailed spatial maps of the importance of different fishing areas to the fishery. In future, this information will be linked to the research program operated by Wageningen Social and Economic Research (WSER) in which the effects of wind farms are mapped.</w:t>
      </w:r>
    </w:p>
    <w:p>
      <w:pPr>
        <w:pStyle w:val="BodyText"/>
      </w:pPr>
      <w:r>
        <w:t xml:space="preserve">The aim of this paper is to show the content of the data and the potential added value to the existing information from current VMS-analyses.</w:t>
      </w:r>
    </w:p>
    <w:bookmarkEnd w:id="23"/>
    <w:bookmarkStart w:id="26" w:name="methods"/>
    <w:p>
      <w:pPr>
        <w:pStyle w:val="Heading1"/>
      </w:pPr>
      <w:r>
        <w:t xml:space="preserve">Methods</w:t>
      </w:r>
    </w:p>
    <w:p>
      <w:pPr>
        <w:pStyle w:val="FirstParagraph"/>
      </w:pPr>
      <w:r>
        <w:t xml:space="preserve">We collected highly detailed information on landings and fishing positions from participating vessels for the years 2023 and 2024. The information is disaggregated by individual fish-crates. This made it possible to estimate catch compositions per haul and thereby creating detailed spatial maps of the importance of different fishing areas to the fishery.</w:t>
      </w:r>
    </w:p>
    <w:p>
      <w:pPr>
        <w:pStyle w:val="BodyText"/>
      </w:pPr>
      <w:r>
        <w:t xml:space="preserve">Information on spatial plans on the North Sea (Netherlands and neighbouring countries) was derived from different sources, including Informatiehuis Marien (</w:t>
      </w:r>
      <w:hyperlink r:id="rId24">
        <w:r>
          <w:rPr>
            <w:rStyle w:val="Hyperlink"/>
          </w:rPr>
          <w:t xml:space="preserve">https://viewer.openearth.nl/ihm-viewer</w:t>
        </w:r>
      </w:hyperlink>
      <w:r>
        <w:t xml:space="preserve">) and Compendium Greater North Sea (</w:t>
      </w:r>
      <w:hyperlink r:id="rId25">
        <w:r>
          <w:rPr>
            <w:rStyle w:val="Hyperlink"/>
          </w:rPr>
          <w:t xml:space="preserve">https://viewer.openearth.nl/compendium-greater-north-sea/</w:t>
        </w:r>
      </w:hyperlink>
      <w:r>
        <w:t xml:space="preserve">).</w:t>
      </w:r>
    </w:p>
    <w:p>
      <w:pPr>
        <w:pStyle w:val="BodyText"/>
      </w:pPr>
      <w:r>
        <w:t xml:space="preserve">In this first study we focused on the catch composition per haul in the bottom trawl fishery in the southern North Sea both in space and time. Participating skippers have contributed their data for this analysis and have been involved in the analysis of the data. This type of data may be used in future to supply the WSER project on the effects of offshore wind farms.</w:t>
      </w:r>
    </w:p>
    <w:bookmarkEnd w:id="26"/>
    <w:bookmarkStart w:id="42" w:name="results"/>
    <w:p>
      <w:pPr>
        <w:pStyle w:val="Heading1"/>
      </w:pPr>
      <w:r>
        <w:t xml:space="preserve">Results</w:t>
      </w:r>
    </w:p>
    <w:p>
      <w:pPr>
        <w:pStyle w:val="FirstParagraph"/>
      </w:pPr>
      <w:r>
        <w:t xml:space="preserve">Overview of sampling based on individual weight measurements</w:t>
      </w:r>
      <w:r>
        <w:t xml:space="preserve"> </w:t>
      </w:r>
      <w:r>
        <w:t xml:space="preserve">The dataset obtained is the combination of the data from the position of the vessel and the electronic scale on board of the vessel. This scale is used to weigh the retained catches onboard the vessel, before they are stored. Numerous vessels have installed this equipment onboard as a measure to enhance fish quality throughout the processing chain.</w:t>
      </w:r>
    </w:p>
    <w:p>
      <w:pPr>
        <w:pStyle w:val="BodyText"/>
      </w:pPr>
      <w:r>
        <w:t xml:space="preserve">The dataset consists of information from 2 years from participating vessels (KW14, KW45, KW145, SL42, UK64) and includes 196 trips in which over 15,000 hauls were made (Table 1). Based on the information from the electronic scales a total of 40 species were landed in this period. More than 50% of the retained catches consisted of plaice and sole, but also a wide variety of other species were caught in this fishery (Table 2). From the retained catches the volume is known, and the the value has been calculated using the average price per species and week.</w:t>
      </w:r>
    </w:p>
    <w:p>
      <w:pPr>
        <w:pStyle w:val="SourceCode"/>
      </w:pPr>
      <w:r>
        <w:br/>
      </w:r>
      <w:r>
        <w:br/>
      </w:r>
      <w:r>
        <w:rPr>
          <w:rStyle w:val="VerbatimChar"/>
        </w:rPr>
        <w:t xml:space="preserve"> year    nspecies   ntrips   nhauls    nobs    weight     revenue  </w:t>
      </w:r>
      <w:r>
        <w:br/>
      </w:r>
      <w:r>
        <w:rPr>
          <w:rStyle w:val="VerbatimChar"/>
        </w:rPr>
        <w:t xml:space="preserve">------- ---------- -------- -------- -------- --------- -----------</w:t>
      </w:r>
      <w:r>
        <w:br/>
      </w:r>
      <w:r>
        <w:rPr>
          <w:rStyle w:val="VerbatimChar"/>
        </w:rPr>
        <w:t xml:space="preserve"> 2023       41        79     5,306    13,379   339,991   2,322,427 </w:t>
      </w:r>
      <w:r>
        <w:br/>
      </w:r>
      <w:r>
        <w:rPr>
          <w:rStyle w:val="VerbatimChar"/>
        </w:rPr>
        <w:t xml:space="preserve"> 2024       42       117     10,348   16,874   650,201   5,327,614 </w:t>
      </w:r>
      <w:r>
        <w:br/>
      </w:r>
      <w:r>
        <w:rPr>
          <w:rStyle w:val="VerbatimChar"/>
        </w:rPr>
        <w:t xml:space="preserve"> (all)      83       196     15,654   30,253   990,192   7,650,041 </w:t>
      </w:r>
    </w:p>
    <w:p>
      <w:pPr>
        <w:pStyle w:val="FirstParagraph"/>
      </w:pPr>
      <w:r>
        <w:rPr>
          <w:iCs/>
          <w:i/>
        </w:rPr>
        <w:t xml:space="preserve">Table 1: Overview of catch records 2023 and 2024</w:t>
      </w:r>
    </w:p>
    <w:p>
      <w:r>
        <w:br w:type="page"/>
      </w:r>
    </w:p>
    <w:p>
      <w:pPr>
        <w:pStyle w:val="BodyText"/>
      </w:pPr>
      <w:r>
        <w:rPr>
          <w:bCs/>
          <w:b/>
        </w:rPr>
        <w:t xml:space="preserve">Catches by species (kg)</w:t>
      </w:r>
    </w:p>
    <w:p>
      <w:pPr>
        <w:pStyle w:val="SourceCode"/>
      </w:pPr>
      <w:r>
        <w:br/>
      </w:r>
      <w:r>
        <w:br/>
      </w:r>
      <w:r>
        <w:rPr>
          <w:rStyle w:val="VerbatimChar"/>
        </w:rPr>
        <w:t xml:space="preserve">species   englishname                    2023      2024     total</w:t>
      </w:r>
      <w:r>
        <w:br/>
      </w:r>
      <w:r>
        <w:rPr>
          <w:rStyle w:val="VerbatimChar"/>
        </w:rPr>
        <w:t xml:space="preserve">--------- ------------------------- --------- --------- ---------</w:t>
      </w:r>
      <w:r>
        <w:br/>
      </w:r>
      <w:r>
        <w:rPr>
          <w:rStyle w:val="VerbatimChar"/>
        </w:rPr>
        <w:t xml:space="preserve">PLE       European plaice             136,659   200,989   337,648</w:t>
      </w:r>
      <w:r>
        <w:br/>
      </w:r>
      <w:r>
        <w:rPr>
          <w:rStyle w:val="VerbatimChar"/>
        </w:rPr>
        <w:t xml:space="preserve">SOL       Common sole                  44,119   106,080   150,199</w:t>
      </w:r>
      <w:r>
        <w:br/>
      </w:r>
      <w:r>
        <w:rPr>
          <w:rStyle w:val="VerbatimChar"/>
        </w:rPr>
        <w:t xml:space="preserve">SQR       European squid               50,555    22,830    73,386</w:t>
      </w:r>
      <w:r>
        <w:br/>
      </w:r>
      <w:r>
        <w:rPr>
          <w:rStyle w:val="VerbatimChar"/>
        </w:rPr>
        <w:t xml:space="preserve">NEP       Norway lobster               33,779    31,481    65,260</w:t>
      </w:r>
      <w:r>
        <w:br/>
      </w:r>
      <w:r>
        <w:rPr>
          <w:rStyle w:val="VerbatimChar"/>
        </w:rPr>
        <w:t xml:space="preserve">TUR       Turbot                       15,669    31,684    47,353</w:t>
      </w:r>
      <w:r>
        <w:br/>
      </w:r>
      <w:r>
        <w:rPr>
          <w:rStyle w:val="VerbatimChar"/>
        </w:rPr>
        <w:t xml:space="preserve">GUU       Tub gurnard                  18,074    22,599    40,673</w:t>
      </w:r>
      <w:r>
        <w:br/>
      </w:r>
      <w:r>
        <w:rPr>
          <w:rStyle w:val="VerbatimChar"/>
        </w:rPr>
        <w:t xml:space="preserve">DAB       Common dab                    6,072    17,297    23,368</w:t>
      </w:r>
      <w:r>
        <w:br/>
      </w:r>
      <w:r>
        <w:rPr>
          <w:rStyle w:val="VerbatimChar"/>
        </w:rPr>
        <w:t xml:space="preserve">RJH       Blonde ray                    4,833    15,979    20,812</w:t>
      </w:r>
      <w:r>
        <w:br/>
      </w:r>
      <w:r>
        <w:rPr>
          <w:rStyle w:val="VerbatimChar"/>
        </w:rPr>
        <w:t xml:space="preserve">RJC       Thornback ray                 3,590    12,149    15,739</w:t>
      </w:r>
      <w:r>
        <w:br/>
      </w:r>
      <w:r>
        <w:rPr>
          <w:rStyle w:val="VerbatimChar"/>
        </w:rPr>
        <w:t xml:space="preserve">FLE       European flounder             1,782    13,298    15,080</w:t>
      </w:r>
      <w:r>
        <w:br/>
      </w:r>
      <w:r>
        <w:rPr>
          <w:rStyle w:val="VerbatimChar"/>
        </w:rPr>
        <w:t xml:space="preserve">BLL       Brill                         3,418     8,943    12,361</w:t>
      </w:r>
      <w:r>
        <w:br/>
      </w:r>
      <w:r>
        <w:rPr>
          <w:rStyle w:val="VerbatimChar"/>
        </w:rPr>
        <w:t xml:space="preserve">HAD       Haddock                       2,629     7,590    10,219</w:t>
      </w:r>
      <w:r>
        <w:br/>
      </w:r>
      <w:r>
        <w:rPr>
          <w:rStyle w:val="VerbatimChar"/>
        </w:rPr>
        <w:t xml:space="preserve">MAC       Atlantic mackerel             4,245     1,949     6,194</w:t>
      </w:r>
      <w:r>
        <w:br/>
      </w:r>
      <w:r>
        <w:rPr>
          <w:rStyle w:val="VerbatimChar"/>
        </w:rPr>
        <w:t xml:space="preserve">SBR       Blackspot seabream            3,413     1,786     5,199</w:t>
      </w:r>
      <w:r>
        <w:br/>
      </w:r>
      <w:r>
        <w:rPr>
          <w:rStyle w:val="VerbatimChar"/>
        </w:rPr>
        <w:t xml:space="preserve">COD       Atlantic cod                  1,514     2,133     3,648</w:t>
      </w:r>
      <w:r>
        <w:br/>
      </w:r>
      <w:r>
        <w:rPr>
          <w:rStyle w:val="VerbatimChar"/>
        </w:rPr>
        <w:t xml:space="preserve">LEM       Lemon sole                    1,663     1,936     3,599</w:t>
      </w:r>
      <w:r>
        <w:br/>
      </w:r>
      <w:r>
        <w:rPr>
          <w:rStyle w:val="VerbatimChar"/>
        </w:rPr>
        <w:t xml:space="preserve">CTC       Common cuttlefish             1,397     1,995     3,393</w:t>
      </w:r>
      <w:r>
        <w:br/>
      </w:r>
      <w:r>
        <w:rPr>
          <w:rStyle w:val="VerbatimChar"/>
        </w:rPr>
        <w:t xml:space="preserve">WHG       Whiting                         489     2,049     2,538</w:t>
      </w:r>
      <w:r>
        <w:br/>
      </w:r>
      <w:r>
        <w:rPr>
          <w:rStyle w:val="VerbatimChar"/>
        </w:rPr>
        <w:t xml:space="preserve">LBE       European lobster              1,844       171     2,015</w:t>
      </w:r>
      <w:r>
        <w:br/>
      </w:r>
      <w:r>
        <w:rPr>
          <w:rStyle w:val="VerbatimChar"/>
        </w:rPr>
        <w:t xml:space="preserve">GUG       Grey gurnard                  1,031       976     2,007</w:t>
      </w:r>
      <w:r>
        <w:br/>
      </w:r>
      <w:r>
        <w:rPr>
          <w:rStyle w:val="VerbatimChar"/>
        </w:rPr>
        <w:t xml:space="preserve">CRE       Edible crab                     620     1,241     1,861</w:t>
      </w:r>
      <w:r>
        <w:br/>
      </w:r>
      <w:r>
        <w:rPr>
          <w:rStyle w:val="VerbatimChar"/>
        </w:rPr>
        <w:t xml:space="preserve">MUR       Surmullet                     1,333       193     1,526</w:t>
      </w:r>
      <w:r>
        <w:br/>
      </w:r>
      <w:r>
        <w:rPr>
          <w:rStyle w:val="VerbatimChar"/>
        </w:rPr>
        <w:t xml:space="preserve">MON       Angler(=Monk)                   370     1,077     1,446</w:t>
      </w:r>
      <w:r>
        <w:br/>
      </w:r>
      <w:r>
        <w:rPr>
          <w:rStyle w:val="VerbatimChar"/>
        </w:rPr>
        <w:t xml:space="preserve">HOM       Atlantic horse mackerel         914       378     1,292</w:t>
      </w:r>
      <w:r>
        <w:br/>
      </w:r>
      <w:r>
        <w:rPr>
          <w:rStyle w:val="VerbatimChar"/>
        </w:rPr>
        <w:t xml:space="preserve">HKE       European hake                   404       668     1,073</w:t>
      </w:r>
      <w:r>
        <w:br/>
      </w:r>
      <w:r>
        <w:rPr>
          <w:rStyle w:val="VerbatimChar"/>
        </w:rPr>
        <w:t xml:space="preserve">BSS       European seabass                789       271     1,061</w:t>
      </w:r>
      <w:r>
        <w:br/>
      </w:r>
      <w:r>
        <w:rPr>
          <w:rStyle w:val="VerbatimChar"/>
        </w:rPr>
        <w:t xml:space="preserve">WEG       Greater weever                  289       721     1,010</w:t>
      </w:r>
      <w:r>
        <w:br/>
      </w:r>
      <w:r>
        <w:rPr>
          <w:rStyle w:val="VerbatimChar"/>
        </w:rPr>
        <w:t xml:space="preserve">BIB       Pouting(=Bib)                   546       295       841</w:t>
      </w:r>
      <w:r>
        <w:br/>
      </w:r>
      <w:r>
        <w:rPr>
          <w:rStyle w:val="VerbatimChar"/>
        </w:rPr>
        <w:t xml:space="preserve">WIT       Witch flounder                  338       237       575</w:t>
      </w:r>
      <w:r>
        <w:br/>
      </w:r>
      <w:r>
        <w:rPr>
          <w:rStyle w:val="VerbatimChar"/>
        </w:rPr>
        <w:t xml:space="preserve">RJM       Spotted ray                     402        68       470</w:t>
      </w:r>
      <w:r>
        <w:br/>
      </w:r>
      <w:r>
        <w:rPr>
          <w:rStyle w:val="VerbatimChar"/>
        </w:rPr>
        <w:t xml:space="preserve">SYC       Small-spotted catshark          372         0       372</w:t>
      </w:r>
      <w:r>
        <w:br/>
      </w:r>
      <w:r>
        <w:rPr>
          <w:rStyle w:val="VerbatimChar"/>
        </w:rPr>
        <w:t xml:space="preserve">DGS       Picked dogfish                  171        38       209</w:t>
      </w:r>
      <w:r>
        <w:br/>
      </w:r>
      <w:r>
        <w:rPr>
          <w:rStyle w:val="VerbatimChar"/>
        </w:rPr>
        <w:t xml:space="preserve">SMD       Smooth-hound                    209         0       209</w:t>
      </w:r>
      <w:r>
        <w:br/>
      </w:r>
      <w:r>
        <w:rPr>
          <w:rStyle w:val="VerbatimChar"/>
        </w:rPr>
        <w:t xml:space="preserve">CAA       Atlantic wolffish               122        62       184</w:t>
      </w:r>
      <w:r>
        <w:br/>
      </w:r>
      <w:r>
        <w:rPr>
          <w:rStyle w:val="VerbatimChar"/>
        </w:rPr>
        <w:t xml:space="preserve">HAL       Atlantic halibut                 30       108       137</w:t>
      </w:r>
      <w:r>
        <w:br/>
      </w:r>
      <w:r>
        <w:rPr>
          <w:rStyle w:val="VerbatimChar"/>
        </w:rPr>
        <w:t xml:space="preserve">GUR       Red gurnard                      41         7        48</w:t>
      </w:r>
      <w:r>
        <w:br/>
      </w:r>
      <w:r>
        <w:rPr>
          <w:rStyle w:val="VerbatimChar"/>
        </w:rPr>
        <w:t xml:space="preserve">SCE       Great Atlantic scallop           10        30        40</w:t>
      </w:r>
      <w:r>
        <w:br/>
      </w:r>
      <w:r>
        <w:rPr>
          <w:rStyle w:val="VerbatimChar"/>
        </w:rPr>
        <w:t xml:space="preserve">LIN       Ling                             27         8        35</w:t>
      </w:r>
      <w:r>
        <w:br/>
      </w:r>
      <w:r>
        <w:rPr>
          <w:rStyle w:val="VerbatimChar"/>
        </w:rPr>
        <w:t xml:space="preserve">JOD       John dory                        13        17        29</w:t>
      </w:r>
      <w:r>
        <w:br/>
      </w:r>
      <w:r>
        <w:rPr>
          <w:rStyle w:val="VerbatimChar"/>
        </w:rPr>
        <w:t xml:space="preserve">COE       European conger                  26         1        28</w:t>
      </w:r>
      <w:r>
        <w:br/>
      </w:r>
      <w:r>
        <w:rPr>
          <w:rStyle w:val="VerbatimChar"/>
        </w:rPr>
        <w:t xml:space="preserve">MEG       Megrim                            0        10        10</w:t>
      </w:r>
      <w:r>
        <w:br/>
      </w:r>
      <w:r>
        <w:rPr>
          <w:rStyle w:val="VerbatimChar"/>
        </w:rPr>
        <w:t xml:space="preserve">POK       Saithe(=Pollock)                  0         0         0</w:t>
      </w:r>
    </w:p>
    <w:p>
      <w:pPr>
        <w:pStyle w:val="FirstParagraph"/>
      </w:pPr>
      <w:r>
        <w:rPr>
          <w:iCs/>
          <w:i/>
        </w:rPr>
        <w:t xml:space="preserve">Table 2: Sampled catch by species in 2023 and 2024</w:t>
      </w:r>
    </w:p>
    <w:p>
      <w:r>
        <w:br w:type="page"/>
      </w:r>
    </w:p>
    <w:p>
      <w:pPr>
        <w:pStyle w:val="BodyText"/>
      </w:pPr>
      <w:r>
        <w:rPr>
          <w:bCs/>
          <w:b/>
        </w:rPr>
        <w:t xml:space="preserve">Map of different areas in the North Sea</w:t>
      </w:r>
    </w:p>
    <w:p>
      <w:pPr>
        <w:pStyle w:val="BodyText"/>
      </w:pPr>
      <w:r>
        <w:t xml:space="preserve">Figure 1 shows the patial distribution of the natura 2000 areas and offshore wind areas (OWF) locations as they are included in the analyses for this report. This will provide an example for the application of the newly achieved detailed dataset on landings. The map shows both existing and planned nature and OWF areas which cover a substantial proportion of the North Sea and the historic fishing grounds of the North Sea fishers.</w:t>
      </w:r>
    </w:p>
    <w:p>
      <w:pPr>
        <w:pStyle w:val="BodyText"/>
      </w:pPr>
      <w:r>
        <w:drawing>
          <wp:inline>
            <wp:extent cx="6184900" cy="5566410"/>
            <wp:effectExtent b="0" l="0" r="0" t="0"/>
            <wp:docPr descr="" title="" id="28" name="Picture"/>
            <a:graphic>
              <a:graphicData uri="http://schemas.openxmlformats.org/drawingml/2006/picture">
                <pic:pic>
                  <pic:nvPicPr>
                    <pic:cNvPr descr="WQ-report-on-spatial-distribution-and-indicators_files/figure-docx/unnamed-chunk-4-1.png" id="29" name="Picture"/>
                    <pic:cNvPicPr>
                      <a:picLocks noChangeArrowheads="1" noChangeAspect="1"/>
                    </pic:cNvPicPr>
                  </pic:nvPicPr>
                  <pic:blipFill>
                    <a:blip r:embed="rId27"/>
                    <a:stretch>
                      <a:fillRect/>
                    </a:stretch>
                  </pic:blipFill>
                  <pic:spPr bwMode="auto">
                    <a:xfrm>
                      <a:off x="0" y="0"/>
                      <a:ext cx="6184900" cy="5566410"/>
                    </a:xfrm>
                    <a:prstGeom prst="rect">
                      <a:avLst/>
                    </a:prstGeom>
                    <a:noFill/>
                    <a:ln w="9525">
                      <a:noFill/>
                      <a:headEnd/>
                      <a:tailEnd/>
                    </a:ln>
                  </pic:spPr>
                </pic:pic>
              </a:graphicData>
            </a:graphic>
          </wp:inline>
        </w:drawing>
      </w:r>
    </w:p>
    <w:p>
      <w:pPr>
        <w:pStyle w:val="BodyText"/>
      </w:pPr>
      <w:r>
        <w:rPr>
          <w:iCs/>
          <w:i/>
        </w:rPr>
        <w:t xml:space="preserve">Figure 1: Base map with EEZs (dotted lines) and MPAs (red areas) and offshore wind areas with different status.</w:t>
      </w:r>
    </w:p>
    <w:p>
      <w:r>
        <w:br w:type="page"/>
      </w:r>
    </w:p>
    <w:p>
      <w:pPr>
        <w:pStyle w:val="BodyText"/>
      </w:pPr>
      <w:r>
        <w:t xml:space="preserve">Overview of landings per haul (black) and in designated windareas (blue) and MPAs (red) during 2023 and 2024. Grey points are GPS positions.</w:t>
      </w:r>
    </w:p>
    <w:p>
      <w:pPr>
        <w:pStyle w:val="BodyText"/>
      </w:pPr>
      <w:r>
        <w:drawing>
          <wp:inline>
            <wp:extent cx="6184900" cy="4947920"/>
            <wp:effectExtent b="0" l="0" r="0" t="0"/>
            <wp:docPr descr="" title="" id="31" name="Picture"/>
            <a:graphic>
              <a:graphicData uri="http://schemas.openxmlformats.org/drawingml/2006/picture">
                <pic:pic>
                  <pic:nvPicPr>
                    <pic:cNvPr descr="WQ-report-on-spatial-distribution-and-indicators_files/figure-docx/unnamed-chunk-5-1.png" id="32" name="Picture"/>
                    <pic:cNvPicPr>
                      <a:picLocks noChangeArrowheads="1" noChangeAspect="1"/>
                    </pic:cNvPicPr>
                  </pic:nvPicPr>
                  <pic:blipFill>
                    <a:blip r:embed="rId30"/>
                    <a:stretch>
                      <a:fillRect/>
                    </a:stretch>
                  </pic:blipFill>
                  <pic:spPr bwMode="auto">
                    <a:xfrm>
                      <a:off x="0" y="0"/>
                      <a:ext cx="6184900" cy="4947920"/>
                    </a:xfrm>
                    <a:prstGeom prst="rect">
                      <a:avLst/>
                    </a:prstGeom>
                    <a:noFill/>
                    <a:ln w="9525">
                      <a:noFill/>
                      <a:headEnd/>
                      <a:tailEnd/>
                    </a:ln>
                  </pic:spPr>
                </pic:pic>
              </a:graphicData>
            </a:graphic>
          </wp:inline>
        </w:drawing>
      </w:r>
    </w:p>
    <w:p>
      <w:pPr>
        <w:pStyle w:val="BodyText"/>
      </w:pPr>
      <w:r>
        <w:rPr>
          <w:iCs/>
          <w:i/>
        </w:rPr>
        <w:t xml:space="preserve">Figure 2: Landings (kg) of participating vessels in</w:t>
      </w:r>
      <w:r>
        <w:rPr>
          <w:iCs/>
          <w:i/>
        </w:rPr>
        <w:t xml:space="preserve"> </w:t>
      </w:r>
      <w:r>
        <w:rPr>
          <w:iCs/>
          <w:i/>
        </w:rPr>
        <w:t xml:space="preserve">‘</w:t>
      </w:r>
      <w:r>
        <w:rPr>
          <w:iCs/>
          <w:i/>
        </w:rPr>
        <w:t xml:space="preserve">open</w:t>
      </w:r>
      <w:r>
        <w:rPr>
          <w:iCs/>
          <w:i/>
        </w:rPr>
        <w:t xml:space="preserve">’</w:t>
      </w:r>
      <w:r>
        <w:rPr>
          <w:iCs/>
          <w:i/>
        </w:rPr>
        <w:t xml:space="preserve"> </w:t>
      </w:r>
      <w:r>
        <w:rPr>
          <w:iCs/>
          <w:i/>
        </w:rPr>
        <w:t xml:space="preserve">parts of the EEZs (black), MPAs (red) and offshore wind areas (blue).</w:t>
      </w:r>
      <w:r>
        <w:rPr>
          <w:iCs/>
          <w:i/>
        </w:rPr>
        <w:t xml:space="preserve"> </w:t>
      </w:r>
    </w:p>
    <w:p>
      <w:pPr>
        <w:pStyle w:val="BodyText"/>
      </w:pPr>
      <w:r>
        <w:t xml:space="preserve">Figure 2 shows the overall distribution of the retained catches in the fishing area, both in the open area and within the borders of the designated OWFs and N2000 areas. The plots show that the catches are obtained in a limited area and that the overlap between fishing areas and closed areas is partial. Moreover, the fishing patterns vary over the two years with more catches from the eastern channel in 2023 and an eastward shift in landings in the DK waters in 2024. The map also shows a high concentration of locations north of the Frisian Front in 2024 with seemingly lower landings than in 2023.</w:t>
      </w:r>
    </w:p>
    <w:p>
      <w:r>
        <w:br w:type="page"/>
      </w:r>
    </w:p>
    <w:p>
      <w:pPr>
        <w:pStyle w:val="BodyText"/>
      </w:pPr>
      <w:r>
        <w:t xml:space="preserve">Quarterly patterns in landings are shown below.</w:t>
      </w:r>
    </w:p>
    <w:p>
      <w:pPr>
        <w:pStyle w:val="BodyText"/>
      </w:pPr>
      <w:r>
        <w:drawing>
          <wp:inline>
            <wp:extent cx="6184900" cy="7421880"/>
            <wp:effectExtent b="0" l="0" r="0" t="0"/>
            <wp:docPr descr="" title="" id="34" name="Picture"/>
            <a:graphic>
              <a:graphicData uri="http://schemas.openxmlformats.org/drawingml/2006/picture">
                <pic:pic>
                  <pic:nvPicPr>
                    <pic:cNvPr descr="WQ-report-on-spatial-distribution-and-indicators_files/figure-docx/unnamed-chunk-6-1.png" id="35" name="Picture"/>
                    <pic:cNvPicPr>
                      <a:picLocks noChangeArrowheads="1" noChangeAspect="1"/>
                    </pic:cNvPicPr>
                  </pic:nvPicPr>
                  <pic:blipFill>
                    <a:blip r:embed="rId33"/>
                    <a:stretch>
                      <a:fillRect/>
                    </a:stretch>
                  </pic:blipFill>
                  <pic:spPr bwMode="auto">
                    <a:xfrm>
                      <a:off x="0" y="0"/>
                      <a:ext cx="6184900" cy="7421880"/>
                    </a:xfrm>
                    <a:prstGeom prst="rect">
                      <a:avLst/>
                    </a:prstGeom>
                    <a:noFill/>
                    <a:ln w="9525">
                      <a:noFill/>
                      <a:headEnd/>
                      <a:tailEnd/>
                    </a:ln>
                  </pic:spPr>
                </pic:pic>
              </a:graphicData>
            </a:graphic>
          </wp:inline>
        </w:drawing>
      </w:r>
    </w:p>
    <w:p>
      <w:pPr>
        <w:pStyle w:val="BodyText"/>
      </w:pPr>
      <w:r>
        <w:rPr>
          <w:iCs/>
          <w:i/>
        </w:rPr>
        <w:t xml:space="preserve">Figure 3: Landings (kg) of participating vessels by quarter in</w:t>
      </w:r>
      <w:r>
        <w:rPr>
          <w:iCs/>
          <w:i/>
        </w:rPr>
        <w:t xml:space="preserve"> </w:t>
      </w:r>
      <w:r>
        <w:rPr>
          <w:iCs/>
          <w:i/>
        </w:rPr>
        <w:t xml:space="preserve">‘</w:t>
      </w:r>
      <w:r>
        <w:rPr>
          <w:iCs/>
          <w:i/>
        </w:rPr>
        <w:t xml:space="preserve">open</w:t>
      </w:r>
      <w:r>
        <w:rPr>
          <w:iCs/>
          <w:i/>
        </w:rPr>
        <w:t xml:space="preserve">’</w:t>
      </w:r>
      <w:r>
        <w:rPr>
          <w:iCs/>
          <w:i/>
        </w:rPr>
        <w:t xml:space="preserve"> </w:t>
      </w:r>
      <w:r>
        <w:rPr>
          <w:iCs/>
          <w:i/>
        </w:rPr>
        <w:t xml:space="preserve">parts of the EEZs (black), MPAs (red) and offshore wind areas (blue).</w:t>
      </w:r>
      <w:r>
        <w:rPr>
          <w:iCs/>
          <w:i/>
        </w:rPr>
        <w:t xml:space="preserve"> </w:t>
      </w:r>
    </w:p>
    <w:p>
      <w:pPr>
        <w:pStyle w:val="BodyText"/>
      </w:pPr>
      <w:r>
        <w:t xml:space="preserve">As a result of the overlap of the MPAs, and designated OWF, a considerable part of the landings (table 3) and revenue (table 4) is obtained from fishing activities in these areas. Approximately 32% of the landings and revenues of these vessels originates from planned OWF and 4-5% originates from MPAs. It is also evident that the UK fishing grounds are important to these vessels as around 27% of the landings and revenue are obtained in UK waters.</w:t>
      </w:r>
    </w:p>
    <w:p>
      <w:pPr>
        <w:pStyle w:val="SourceCode"/>
      </w:pPr>
      <w:r>
        <w:br/>
      </w:r>
      <w:r>
        <w:br/>
      </w:r>
      <w:r>
        <w:rPr>
          <w:rStyle w:val="VerbatimChar"/>
        </w:rPr>
        <w:t xml:space="preserve">  country      open      wind      mpa     total</w:t>
      </w:r>
      <w:r>
        <w:br/>
      </w:r>
      <w:r>
        <w:rPr>
          <w:rStyle w:val="VerbatimChar"/>
        </w:rPr>
        <w:t xml:space="preserve">--------- --------- --------- -------- ---------</w:t>
      </w:r>
      <w:r>
        <w:br/>
      </w:r>
      <w:r>
        <w:rPr>
          <w:rStyle w:val="VerbatimChar"/>
        </w:rPr>
        <w:t xml:space="preserve">      BEL    20,376     1,085    7,300    28,760</w:t>
      </w:r>
      <w:r>
        <w:br/>
      </w:r>
      <w:r>
        <w:rPr>
          <w:rStyle w:val="VerbatimChar"/>
        </w:rPr>
        <w:t xml:space="preserve">      DEU    51,863    22,960    5,801    80,624</w:t>
      </w:r>
      <w:r>
        <w:br/>
      </w:r>
      <w:r>
        <w:rPr>
          <w:rStyle w:val="VerbatimChar"/>
        </w:rPr>
        <w:t xml:space="preserve">      DNK    82,791    55,098    2,048   139,937</w:t>
      </w:r>
      <w:r>
        <w:br/>
      </w:r>
      <w:r>
        <w:rPr>
          <w:rStyle w:val="VerbatimChar"/>
        </w:rPr>
        <w:t xml:space="preserve">      GBR   162,429    83,344    2,449   248,221</w:t>
      </w:r>
      <w:r>
        <w:br/>
      </w:r>
      <w:r>
        <w:rPr>
          <w:rStyle w:val="VerbatimChar"/>
        </w:rPr>
        <w:t xml:space="preserve">      NLD   256,700   128,149   23,710   408,559</w:t>
      </w:r>
      <w:r>
        <w:br/>
      </w:r>
      <w:r>
        <w:rPr>
          <w:rStyle w:val="VerbatimChar"/>
        </w:rPr>
        <w:t xml:space="preserve">      all   574,159   290,636   41,307   906,102</w:t>
      </w:r>
    </w:p>
    <w:p>
      <w:pPr>
        <w:pStyle w:val="SourceCode"/>
      </w:pPr>
      <w:r>
        <w:br/>
      </w:r>
      <w:r>
        <w:br/>
      </w:r>
      <w:r>
        <w:rPr>
          <w:rStyle w:val="VerbatimChar"/>
        </w:rPr>
        <w:t xml:space="preserve">  country    open    wind    mpa      all</w:t>
      </w:r>
      <w:r>
        <w:br/>
      </w:r>
      <w:r>
        <w:rPr>
          <w:rStyle w:val="VerbatimChar"/>
        </w:rPr>
        <w:t xml:space="preserve">--------- ------- ------- ------ --------</w:t>
      </w:r>
      <w:r>
        <w:br/>
      </w:r>
      <w:r>
        <w:rPr>
          <w:rStyle w:val="VerbatimChar"/>
        </w:rPr>
        <w:t xml:space="preserve">      BEL    2.2%    0.1%   0.8%     3.2%</w:t>
      </w:r>
      <w:r>
        <w:br/>
      </w:r>
      <w:r>
        <w:rPr>
          <w:rStyle w:val="VerbatimChar"/>
        </w:rPr>
        <w:t xml:space="preserve">      DEU    5.7%    2.5%   0.6%     8.9%</w:t>
      </w:r>
      <w:r>
        <w:br/>
      </w:r>
      <w:r>
        <w:rPr>
          <w:rStyle w:val="VerbatimChar"/>
        </w:rPr>
        <w:t xml:space="preserve">      DNK    9.1%    6.1%   0.2%    15.4%</w:t>
      </w:r>
      <w:r>
        <w:br/>
      </w:r>
      <w:r>
        <w:rPr>
          <w:rStyle w:val="VerbatimChar"/>
        </w:rPr>
        <w:t xml:space="preserve">      GBR   17.9%    9.2%   0.3%    27.4%</w:t>
      </w:r>
      <w:r>
        <w:br/>
      </w:r>
      <w:r>
        <w:rPr>
          <w:rStyle w:val="VerbatimChar"/>
        </w:rPr>
        <w:t xml:space="preserve">      NLD   28.3%   14.1%   2.6%    45.1%</w:t>
      </w:r>
      <w:r>
        <w:br/>
      </w:r>
      <w:r>
        <w:rPr>
          <w:rStyle w:val="VerbatimChar"/>
        </w:rPr>
        <w:t xml:space="preserve">      all   63.4%   32.1%   4.6%   100.0%</w:t>
      </w:r>
    </w:p>
    <w:p>
      <w:pPr>
        <w:pStyle w:val="FirstParagraph"/>
      </w:pPr>
      <w:r>
        <w:rPr>
          <w:iCs/>
          <w:i/>
        </w:rPr>
        <w:t xml:space="preserve">Table 3: Total landings by zone in 2023 and 2024 (kg). Open refers to the part of the EEZ that is not covered by either MPAs of offshore wind areas</w:t>
      </w:r>
    </w:p>
    <w:p>
      <w:pPr>
        <w:pStyle w:val="SourceCode"/>
      </w:pPr>
      <w:r>
        <w:br/>
      </w:r>
      <w:r>
        <w:br/>
      </w:r>
      <w:r>
        <w:rPr>
          <w:rStyle w:val="VerbatimChar"/>
        </w:rPr>
        <w:t xml:space="preserve">  country        open        wind       mpa       total</w:t>
      </w:r>
      <w:r>
        <w:br/>
      </w:r>
      <w:r>
        <w:rPr>
          <w:rStyle w:val="VerbatimChar"/>
        </w:rPr>
        <w:t xml:space="preserve">--------- ----------- ----------- --------- -----------</w:t>
      </w:r>
      <w:r>
        <w:br/>
      </w:r>
      <w:r>
        <w:rPr>
          <w:rStyle w:val="VerbatimChar"/>
        </w:rPr>
        <w:t xml:space="preserve">      BEL     131,294       5,643    50,016     186,953</w:t>
      </w:r>
      <w:r>
        <w:br/>
      </w:r>
      <w:r>
        <w:rPr>
          <w:rStyle w:val="VerbatimChar"/>
        </w:rPr>
        <w:t xml:space="preserve">      DEU     426,577     155,947    36,273     618,798</w:t>
      </w:r>
      <w:r>
        <w:br/>
      </w:r>
      <w:r>
        <w:rPr>
          <w:rStyle w:val="VerbatimChar"/>
        </w:rPr>
        <w:t xml:space="preserve">      DNK     396,912     298,158     8,698     703,768</w:t>
      </w:r>
      <w:r>
        <w:br/>
      </w:r>
      <w:r>
        <w:rPr>
          <w:rStyle w:val="VerbatimChar"/>
        </w:rPr>
        <w:t xml:space="preserve">      GBR   1,281,581     648,133    18,602   1,948,316</w:t>
      </w:r>
      <w:r>
        <w:br/>
      </w:r>
      <w:r>
        <w:rPr>
          <w:rStyle w:val="VerbatimChar"/>
        </w:rPr>
        <w:t xml:space="preserve">      NLD   2,324,394   1,183,270   197,553   3,705,217</w:t>
      </w:r>
      <w:r>
        <w:br/>
      </w:r>
      <w:r>
        <w:rPr>
          <w:rStyle w:val="VerbatimChar"/>
        </w:rPr>
        <w:t xml:space="preserve">      all   4,560,758   2,291,151   311,142   7,163,051</w:t>
      </w:r>
    </w:p>
    <w:p>
      <w:pPr>
        <w:pStyle w:val="SourceCode"/>
      </w:pPr>
      <w:r>
        <w:br/>
      </w:r>
      <w:r>
        <w:br/>
      </w:r>
      <w:r>
        <w:rPr>
          <w:rStyle w:val="VerbatimChar"/>
        </w:rPr>
        <w:t xml:space="preserve">  country    open    wind    mpa      all</w:t>
      </w:r>
      <w:r>
        <w:br/>
      </w:r>
      <w:r>
        <w:rPr>
          <w:rStyle w:val="VerbatimChar"/>
        </w:rPr>
        <w:t xml:space="preserve">--------- ------- ------- ------ --------</w:t>
      </w:r>
      <w:r>
        <w:br/>
      </w:r>
      <w:r>
        <w:rPr>
          <w:rStyle w:val="VerbatimChar"/>
        </w:rPr>
        <w:t xml:space="preserve">      BEL    1.8%    0.1%   0.7%     2.6%</w:t>
      </w:r>
      <w:r>
        <w:br/>
      </w:r>
      <w:r>
        <w:rPr>
          <w:rStyle w:val="VerbatimChar"/>
        </w:rPr>
        <w:t xml:space="preserve">      DEU    6.0%    2.2%   0.5%     8.6%</w:t>
      </w:r>
      <w:r>
        <w:br/>
      </w:r>
      <w:r>
        <w:rPr>
          <w:rStyle w:val="VerbatimChar"/>
        </w:rPr>
        <w:t xml:space="preserve">      DNK    5.5%    4.2%   0.1%     9.8%</w:t>
      </w:r>
      <w:r>
        <w:br/>
      </w:r>
      <w:r>
        <w:rPr>
          <w:rStyle w:val="VerbatimChar"/>
        </w:rPr>
        <w:t xml:space="preserve">      GBR   17.9%    9.0%   0.3%    27.2%</w:t>
      </w:r>
      <w:r>
        <w:br/>
      </w:r>
      <w:r>
        <w:rPr>
          <w:rStyle w:val="VerbatimChar"/>
        </w:rPr>
        <w:t xml:space="preserve">      NLD   32.4%   16.5%   2.8%    51.7%</w:t>
      </w:r>
      <w:r>
        <w:br/>
      </w:r>
      <w:r>
        <w:rPr>
          <w:rStyle w:val="VerbatimChar"/>
        </w:rPr>
        <w:t xml:space="preserve">      all   63.7%   32.0%   4.3%   100.0%</w:t>
      </w:r>
    </w:p>
    <w:p>
      <w:pPr>
        <w:pStyle w:val="FirstParagraph"/>
      </w:pPr>
      <w:r>
        <w:rPr>
          <w:iCs/>
          <w:i/>
        </w:rPr>
        <w:t xml:space="preserve">Table 4: Total revenue by zone in 2023 and 2024 (Euro). Open refers to the part of the EEZ that is not covered by either MPAs of offshore wind areas</w:t>
      </w:r>
    </w:p>
    <w:p>
      <w:r>
        <w:br w:type="page"/>
      </w:r>
    </w:p>
    <w:p>
      <w:pPr>
        <w:pStyle w:val="BodyText"/>
      </w:pPr>
      <w:r>
        <w:rPr>
          <w:bCs/>
          <w:b/>
        </w:rPr>
        <w:t xml:space="preserve">Zoomed-in view of the area around the Brown Bank</w:t>
      </w:r>
    </w:p>
    <w:p>
      <w:pPr>
        <w:pStyle w:val="BodyText"/>
      </w:pPr>
      <w:r>
        <w:drawing>
          <wp:inline>
            <wp:extent cx="6184900" cy="7421880"/>
            <wp:effectExtent b="0" l="0" r="0" t="0"/>
            <wp:docPr descr="" title="" id="37" name="Picture"/>
            <a:graphic>
              <a:graphicData uri="http://schemas.openxmlformats.org/drawingml/2006/picture">
                <pic:pic>
                  <pic:nvPicPr>
                    <pic:cNvPr descr="WQ-report-on-spatial-distribution-and-indicators_files/figure-docx/unnamed-chunk-9-1.png" id="38" name="Picture"/>
                    <pic:cNvPicPr>
                      <a:picLocks noChangeArrowheads="1" noChangeAspect="1"/>
                    </pic:cNvPicPr>
                  </pic:nvPicPr>
                  <pic:blipFill>
                    <a:blip r:embed="rId36"/>
                    <a:stretch>
                      <a:fillRect/>
                    </a:stretch>
                  </pic:blipFill>
                  <pic:spPr bwMode="auto">
                    <a:xfrm>
                      <a:off x="0" y="0"/>
                      <a:ext cx="6184900" cy="7421880"/>
                    </a:xfrm>
                    <a:prstGeom prst="rect">
                      <a:avLst/>
                    </a:prstGeom>
                    <a:noFill/>
                    <a:ln w="9525">
                      <a:noFill/>
                      <a:headEnd/>
                      <a:tailEnd/>
                    </a:ln>
                  </pic:spPr>
                </pic:pic>
              </a:graphicData>
            </a:graphic>
          </wp:inline>
        </w:drawing>
      </w:r>
    </w:p>
    <w:p>
      <w:pPr>
        <w:pStyle w:val="BodyText"/>
      </w:pPr>
      <w:r>
        <w:rPr>
          <w:iCs/>
          <w:i/>
        </w:rPr>
        <w:t xml:space="preserve">Figure 4: Landings (kg) of participating vessels in</w:t>
      </w:r>
      <w:r>
        <w:rPr>
          <w:iCs/>
          <w:i/>
        </w:rPr>
        <w:t xml:space="preserve"> </w:t>
      </w:r>
      <w:r>
        <w:rPr>
          <w:iCs/>
          <w:i/>
        </w:rPr>
        <w:t xml:space="preserve">‘</w:t>
      </w:r>
      <w:r>
        <w:rPr>
          <w:iCs/>
          <w:i/>
        </w:rPr>
        <w:t xml:space="preserve">open</w:t>
      </w:r>
      <w:r>
        <w:rPr>
          <w:iCs/>
          <w:i/>
        </w:rPr>
        <w:t xml:space="preserve">’</w:t>
      </w:r>
      <w:r>
        <w:rPr>
          <w:iCs/>
          <w:i/>
        </w:rPr>
        <w:t xml:space="preserve"> </w:t>
      </w:r>
      <w:r>
        <w:rPr>
          <w:iCs/>
          <w:i/>
        </w:rPr>
        <w:t xml:space="preserve">parts of the EEZs (black), MPAs (red) and designated wind areas (blue). Zoomed in to the area around the Brown Bank</w:t>
      </w:r>
    </w:p>
    <w:p>
      <w:pPr>
        <w:pStyle w:val="BodyText"/>
      </w:pPr>
      <w:r>
        <w:t xml:space="preserve">The distribution maps from the brown bank show a shift in the retained catches from the open UK waters in 2023 to the designated OFL locations and the Dutch part of the southern North Sea in 2024. It can also be noted that the retained catches from the large N2000 area (brown bank) are taken from a relatively small strip in the area, which is exploited in both years, whereas the landings from other areas seem to be much more dynamic. Moreover, this information shows the in some areas the fishers are always fishing in the same direction and location, whereas in other areas the trawling locations (grey areas of VMS positions) are much more spread out.</w:t>
      </w:r>
    </w:p>
    <w:p>
      <w:r>
        <w:br w:type="page"/>
      </w:r>
    </w:p>
    <w:p>
      <w:pPr>
        <w:pStyle w:val="BodyText"/>
      </w:pPr>
      <w:r>
        <w:rPr>
          <w:bCs/>
          <w:b/>
        </w:rPr>
        <w:t xml:space="preserve">Zoomed-in view of the German Bight</w:t>
      </w:r>
    </w:p>
    <w:p>
      <w:pPr>
        <w:pStyle w:val="BodyText"/>
      </w:pPr>
      <w:r>
        <w:drawing>
          <wp:inline>
            <wp:extent cx="6184900" cy="7421880"/>
            <wp:effectExtent b="0" l="0" r="0" t="0"/>
            <wp:docPr descr="" title="" id="40" name="Picture"/>
            <a:graphic>
              <a:graphicData uri="http://schemas.openxmlformats.org/drawingml/2006/picture">
                <pic:pic>
                  <pic:nvPicPr>
                    <pic:cNvPr descr="WQ-report-on-spatial-distribution-and-indicators_files/figure-docx/unnamed-chunk-10-1.png" id="41" name="Picture"/>
                    <pic:cNvPicPr>
                      <a:picLocks noChangeArrowheads="1" noChangeAspect="1"/>
                    </pic:cNvPicPr>
                  </pic:nvPicPr>
                  <pic:blipFill>
                    <a:blip r:embed="rId39"/>
                    <a:stretch>
                      <a:fillRect/>
                    </a:stretch>
                  </pic:blipFill>
                  <pic:spPr bwMode="auto">
                    <a:xfrm>
                      <a:off x="0" y="0"/>
                      <a:ext cx="6184900" cy="7421880"/>
                    </a:xfrm>
                    <a:prstGeom prst="rect">
                      <a:avLst/>
                    </a:prstGeom>
                    <a:noFill/>
                    <a:ln w="9525">
                      <a:noFill/>
                      <a:headEnd/>
                      <a:tailEnd/>
                    </a:ln>
                  </pic:spPr>
                </pic:pic>
              </a:graphicData>
            </a:graphic>
          </wp:inline>
        </w:drawing>
      </w:r>
    </w:p>
    <w:p>
      <w:pPr>
        <w:pStyle w:val="BodyText"/>
      </w:pPr>
      <w:r>
        <w:rPr>
          <w:iCs/>
          <w:i/>
        </w:rPr>
        <w:t xml:space="preserve">Figure 5: Landings (kg) of participating vessels in</w:t>
      </w:r>
      <w:r>
        <w:rPr>
          <w:iCs/>
          <w:i/>
        </w:rPr>
        <w:t xml:space="preserve"> </w:t>
      </w:r>
      <w:r>
        <w:rPr>
          <w:iCs/>
          <w:i/>
        </w:rPr>
        <w:t xml:space="preserve">‘</w:t>
      </w:r>
      <w:r>
        <w:rPr>
          <w:iCs/>
          <w:i/>
        </w:rPr>
        <w:t xml:space="preserve">open</w:t>
      </w:r>
      <w:r>
        <w:rPr>
          <w:iCs/>
          <w:i/>
        </w:rPr>
        <w:t xml:space="preserve">’</w:t>
      </w:r>
      <w:r>
        <w:rPr>
          <w:iCs/>
          <w:i/>
        </w:rPr>
        <w:t xml:space="preserve"> </w:t>
      </w:r>
      <w:r>
        <w:rPr>
          <w:iCs/>
          <w:i/>
        </w:rPr>
        <w:t xml:space="preserve">parts of the EEZs (black), MPAs (red) and designated wind areas (blue). Zoomed in to the German Bight</w:t>
      </w:r>
    </w:p>
    <w:p>
      <w:pPr>
        <w:pStyle w:val="BodyText"/>
      </w:pPr>
      <w:r>
        <w:t xml:space="preserve">The plots of the northern part of the North Sea show the shift in fishing area of these vessels to more eastward fishing grounds. It also shows that fishing takes place in a north south direction and the retained catches are registered at the end of the haul (see patterns in the most eastern fishing location in DK waters in 2024).</w:t>
      </w:r>
    </w:p>
    <w:p>
      <w:pPr>
        <w:pStyle w:val="BodyText"/>
      </w:pPr>
      <w:r>
        <w:t xml:space="preserve">The overviews also show exploratory trips to the North part of the DK waters. In 2023 these locations were apparently productive enough to spend more time in this area, whereas in 2024 the vessel just went there once and did not come back. This information on (apparent low) fishing success in specific hauls in relatively unfished areas is of large importance for the development of knowledge on fishing behavior and fishing patterns.</w:t>
      </w:r>
    </w:p>
    <w:p>
      <w:pPr>
        <w:pStyle w:val="BodyText"/>
      </w:pPr>
      <w:r>
        <w:t xml:space="preserve">The current spatial information on fisheries is estimated from total retained catches, and these are distributed evenly over the VMS fishing locations (Deetman et al., 2024). This means that the retained catches per fishing track are assumed equal. Table 5 shows that for the vessels included in this first analyses there is considerable variation in retained catches among the hauls within a trip. For the three species analysed the average standard deviation was around 47% of the average retained landings weight. This means that on average, the retained landings in each haul were 47% higher or lower than the average landings of all hauls in the trip. Between the trips there is also large variation: in some trips the retained catches for all hauls are almost identical (low variance between hauls) whereas for other trips the variance between hauls is much higher (in some instance even higher than the average retained catches of the trip). This means that the added value of these detailed data is considerable.</w:t>
      </w:r>
    </w:p>
    <w:p>
      <w:pPr>
        <w:pStyle w:val="SourceCode"/>
      </w:pPr>
      <w:r>
        <w:br/>
      </w:r>
      <w:r>
        <w:br/>
      </w:r>
      <w:r>
        <w:rPr>
          <w:rStyle w:val="VerbatimChar"/>
        </w:rPr>
        <w:t xml:space="preserve"> species   meanrelstdev   minrelstdev   maxrelstdev   lower025relstdev   upper975relstdev </w:t>
      </w:r>
      <w:r>
        <w:br/>
      </w:r>
      <w:r>
        <w:rPr>
          <w:rStyle w:val="VerbatimChar"/>
        </w:rPr>
        <w:t xml:space="preserve">--------- -------------- ------------- ------------- ------------------ ------------------</w:t>
      </w:r>
      <w:r>
        <w:br/>
      </w:r>
      <w:r>
        <w:rPr>
          <w:rStyle w:val="VerbatimChar"/>
        </w:rPr>
        <w:t xml:space="preserve">   PLE         0.47          0.02          0.92             0.08               0.83       </w:t>
      </w:r>
      <w:r>
        <w:br/>
      </w:r>
      <w:r>
        <w:rPr>
          <w:rStyle w:val="VerbatimChar"/>
        </w:rPr>
        <w:t xml:space="preserve">   SOL         0.45            0            0.9             0.23               0.79       </w:t>
      </w:r>
      <w:r>
        <w:br/>
      </w:r>
      <w:r>
        <w:rPr>
          <w:rStyle w:val="VerbatimChar"/>
        </w:rPr>
        <w:t xml:space="preserve">   SQR         0.46          0.01          1.22             0.01               0.82       </w:t>
      </w:r>
    </w:p>
    <w:p>
      <w:pPr>
        <w:pStyle w:val="FirstParagraph"/>
      </w:pPr>
      <w:r>
        <w:rPr>
          <w:iCs/>
          <w:i/>
        </w:rPr>
        <w:t xml:space="preserve">Table 5: Descriptive statistics of the variation (standard deviation) of plaice, sole and squid in retained catches among hauls within a trip, for the two-year period and all participating vessels</w:t>
      </w:r>
    </w:p>
    <w:bookmarkEnd w:id="42"/>
    <w:bookmarkStart w:id="43" w:name="discussion"/>
    <w:p>
      <w:pPr>
        <w:pStyle w:val="Heading1"/>
      </w:pPr>
      <w:r>
        <w:t xml:space="preserve">Discussion</w:t>
      </w:r>
    </w:p>
    <w:p>
      <w:pPr>
        <w:pStyle w:val="FirstParagraph"/>
      </w:pPr>
      <w:r>
        <w:t xml:space="preserve">The highly detailed information on catch per haul that is visualized in this report is based on a limited number of vessels that have coupled their scales with their GPS systems. This can be considered as a first step in the digitalization of the bottom trawl fleet, where additional information may in future be expected from coupling fuel sensors and specific fishing equipment sensors (e.g. Marelec pull sensor). The currently available information could already be compared to the type of information that is available from the coupling of VMS and logbook data. This comparison has not been carried out at this stage but is expected to be carried out in the near future.</w:t>
      </w:r>
    </w:p>
    <w:p>
      <w:pPr>
        <w:pStyle w:val="BodyText"/>
      </w:pPr>
      <w:r>
        <w:t xml:space="preserve">Given that the results are based on a limited number of vessels, the results cannot be considered representative of any part of the Dutch bottom trawl fleet. Currently, we are only able to show the potential of using such data, not yet in a practical application for the spatial use of different areas by different fleet segments. This potential lays in the higher accuracy of the estimation of the retained landings in specific locations. As for now all spatial analyses are based on the assumption that the retained landing per haul is equal within a trip. For the estimation of the retained catches and their value for large areas this approach is useful as it concerns the total of large amounts of hauls and the uncertainty in the estimate of the total landings from the area is lowered by the high amount of data points (hauls) in the area. However, the method causes bias in small areas with either very low or very high retained catches as these are compensated by lower/higher catches in other hauls in the same trip. The current data includes the detail to distinguish the low resolution spatial and temporal patterns which will make analyses of fishing behavior more meaningful and the estimates of the value of specific areas much more precise.</w:t>
      </w:r>
    </w:p>
    <w:p>
      <w:pPr>
        <w:pStyle w:val="BodyText"/>
      </w:pPr>
      <w:r>
        <w:t xml:space="preserve">In order to match the given location in the dataset to the location at which the fish were really caught some extra comparative analyses should be done, but these data provide a big step forward in spatial analyses of fishing behavior.</w:t>
      </w:r>
    </w:p>
    <w:bookmarkEnd w:id="43"/>
    <w:bookmarkStart w:id="44" w:name="references"/>
    <w:p>
      <w:pPr>
        <w:pStyle w:val="Heading1"/>
      </w:pPr>
      <w:r>
        <w:t xml:space="preserve">References</w:t>
      </w:r>
    </w:p>
    <w:p>
      <w:pPr>
        <w:pStyle w:val="FirstParagraph"/>
      </w:pPr>
      <w:r>
        <w:t xml:space="preserve">Deetman, B., M. Robert, M. Kraan and K. G. Hamon (2024). Waarde (zoek)gebieden wind op zee voor de visserij. Inzicht in de sociaal-economische waarde van gebieden, die geïdentificeerd zijn in de Partiële Herziening van het Programma Noordzee 2022-2027, voor de Nederlandse visserij. Wageningen, Wageningen Economic Research. Rapport 2024-033: 84</w:t>
      </w:r>
    </w:p>
    <w:bookmarkEnd w:id="44"/>
    <w:sectPr w:rsidR="00957F3A" w:rsidRPr="00094BA1" w:rsidSect="00974EC3">
      <w:headerReference r:id="rId10" w:type="even"/>
      <w:headerReference r:id="rId9" w:type="default"/>
      <w:footerReference r:id="rId14" w:type="even"/>
      <w:footerReference r:id="rId13" w:type="default"/>
      <w:headerReference r:id="rId11" w:type="first"/>
      <w:footerReference r:id="rId12" w:type="first"/>
      <w:type w:val="oddPage"/>
      <w:pgSz w:code="9" w:h="16838" w:w="11906"/>
      <w:pgMar w:bottom="1151" w:footer="578" w:gutter="0" w:header="720" w:left="1134" w:right="1021" w:top="1134"/>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Md BT">
    <w:altName w:val="Lucida Sans Unicode"/>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6E0C9A" w14:textId="77777777" w:rsidR="00506D58" w:rsidRDefault="006D20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07A363" w14:textId="77777777" w:rsidR="00CA4660" w:rsidRDefault="006D20A4" w:rsidP="00230CAC">
    <w:pPr>
      <w:pStyle w:val="Header"/>
      <w:tabs>
        <w:tab w:val="right" w:pos="7560"/>
      </w:tabs>
      <w:rPr>
        <w:rStyle w:val="PageNumber"/>
        <w:rFonts w:ascii="Calibri" w:hAnsi="Calibri"/>
        <w:b/>
        <w:color w:val="004577"/>
        <w:sz w:val="20"/>
      </w:rPr>
    </w:pPr>
  </w:p>
  <w:p w14:paraId="0E13C829" w14:textId="31FF3AE7" w:rsidR="00CA4660" w:rsidRPr="000A1AAC" w:rsidRDefault="00687BAB" w:rsidP="00230CAC">
    <w:pPr>
      <w:pStyle w:val="Header"/>
      <w:tabs>
        <w:tab w:val="right" w:pos="7560"/>
      </w:tabs>
      <w:rPr>
        <w:rFonts w:ascii="Calibri" w:hAnsi="Calibri"/>
        <w:b/>
        <w:color w:val="004577"/>
        <w:sz w:val="20"/>
      </w:rPr>
    </w:pPr>
    <w:r>
      <w:rPr>
        <w:rStyle w:val="PageNumber"/>
        <w:rFonts w:ascii="Calibri" w:hAnsi="Calibri"/>
        <w:b/>
        <w:color w:val="004577"/>
        <w:sz w:val="20"/>
      </w:rPr>
      <w:tab/>
    </w:r>
    <w:r>
      <w:rPr>
        <w:rStyle w:val="PageNumber"/>
        <w:rFonts w:ascii="Calibri" w:hAnsi="Calibri"/>
        <w:b/>
        <w:color w:val="004577"/>
        <w:sz w:val="20"/>
      </w:rPr>
      <w:tab/>
    </w:r>
    <w:r>
      <w:rPr>
        <w:rStyle w:val="PageNumber"/>
        <w:rFonts w:ascii="Calibri" w:hAnsi="Calibri"/>
        <w:b/>
        <w:color w:val="004577"/>
        <w:sz w:val="20"/>
      </w:rPr>
      <w:tab/>
    </w:r>
    <w:r>
      <w:rPr>
        <w:rStyle w:val="PageNumber"/>
        <w:rFonts w:ascii="Calibri" w:hAnsi="Calibri"/>
        <w:b/>
        <w:color w:val="004577"/>
        <w:sz w:val="20"/>
      </w:rPr>
      <w:tab/>
    </w:r>
    <w:r>
      <w:rPr>
        <w:rStyle w:val="PageNumber"/>
        <w:rFonts w:ascii="Calibri" w:hAnsi="Calibri"/>
        <w:b/>
        <w:color w:val="004577"/>
        <w:sz w:val="20"/>
      </w:rPr>
      <w:tab/>
    </w:r>
    <w:r>
      <w:rPr>
        <w:rStyle w:val="PageNumber"/>
        <w:rFonts w:ascii="Calibri" w:hAnsi="Calibri"/>
        <w:b/>
        <w:color w:val="004577"/>
        <w:sz w:val="20"/>
      </w:rPr>
      <w:tab/>
    </w:r>
    <w:r>
      <w:rPr>
        <w:rStyle w:val="PageNumber"/>
        <w:rFonts w:ascii="Calibri" w:hAnsi="Calibri"/>
        <w:b/>
        <w:color w:val="004577"/>
        <w:sz w:val="20"/>
      </w:rPr>
      <w:tab/>
    </w:r>
    <w:r>
      <w:rPr>
        <w:rStyle w:val="PageNumber"/>
        <w:rFonts w:ascii="Calibri" w:hAnsi="Calibri"/>
        <w:b/>
        <w:color w:val="004577"/>
        <w:sz w:val="20"/>
      </w:rPr>
      <w:tab/>
    </w:r>
    <w:r>
      <w:rPr>
        <w:rStyle w:val="PageNumber"/>
        <w:rFonts w:ascii="Calibri" w:hAnsi="Calibri"/>
        <w:b/>
        <w:color w:val="004577"/>
        <w:sz w:val="20"/>
      </w:rPr>
      <w:tab/>
    </w:r>
    <w:r>
      <w:rPr>
        <w:rStyle w:val="PageNumber"/>
        <w:rFonts w:ascii="Calibri" w:hAnsi="Calibri"/>
        <w:b/>
        <w:color w:val="004577"/>
        <w:sz w:val="20"/>
      </w:rPr>
      <w:tab/>
    </w:r>
    <w:r w:rsidRPr="000A1AAC">
      <w:rPr>
        <w:rStyle w:val="PageNumber"/>
        <w:rFonts w:ascii="Calibri" w:hAnsi="Calibri"/>
        <w:b/>
        <w:color w:val="004577"/>
        <w:sz w:val="20"/>
      </w:rPr>
      <w:t>|</w:t>
    </w:r>
    <w:r>
      <w:rPr>
        <w:rStyle w:val="PageNumber"/>
        <w:rFonts w:ascii="Calibri" w:hAnsi="Calibri"/>
        <w:b/>
        <w:color w:val="004577"/>
        <w:sz w:val="20"/>
      </w:rPr>
      <w:t xml:space="preserve">   </w:t>
    </w:r>
    <w:r w:rsidRPr="000A1AAC">
      <w:rPr>
        <w:rStyle w:val="PageNumber"/>
        <w:rFonts w:ascii="Calibri" w:hAnsi="Calibri"/>
        <w:b/>
        <w:color w:val="004577"/>
        <w:sz w:val="20"/>
      </w:rPr>
      <w:fldChar w:fldCharType="begin"/>
    </w:r>
    <w:r w:rsidRPr="000A1AAC">
      <w:rPr>
        <w:rStyle w:val="PageNumber"/>
        <w:rFonts w:ascii="Calibri" w:hAnsi="Calibri"/>
        <w:b/>
        <w:color w:val="004577"/>
        <w:sz w:val="20"/>
      </w:rPr>
      <w:instrText xml:space="preserve"> PAGE </w:instrText>
    </w:r>
    <w:r w:rsidRPr="000A1AAC">
      <w:rPr>
        <w:rStyle w:val="PageNumber"/>
        <w:rFonts w:ascii="Calibri" w:hAnsi="Calibri"/>
        <w:b/>
        <w:color w:val="004577"/>
        <w:sz w:val="20"/>
      </w:rPr>
      <w:fldChar w:fldCharType="separate"/>
    </w:r>
    <w:r>
      <w:rPr>
        <w:rStyle w:val="PageNumber"/>
        <w:rFonts w:ascii="Calibri" w:hAnsi="Calibri"/>
        <w:b/>
        <w:noProof/>
        <w:color w:val="004577"/>
        <w:sz w:val="20"/>
      </w:rPr>
      <w:t>1</w:t>
    </w:r>
    <w:r w:rsidRPr="000A1AAC">
      <w:rPr>
        <w:rStyle w:val="PageNumber"/>
        <w:rFonts w:ascii="Calibri" w:hAnsi="Calibri"/>
        <w:b/>
        <w:color w:val="004577"/>
        <w:sz w:val="20"/>
      </w:rPr>
      <w:fldChar w:fldCharType="end"/>
    </w:r>
  </w:p>
  <w:p w14:paraId="27F29367" w14:textId="77777777" w:rsidR="00CA4660" w:rsidRDefault="006D20A4" w:rsidP="00A4791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B04FC" w14:textId="77777777" w:rsidR="00506D58" w:rsidRDefault="006D20A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DB283D" w14:textId="77777777" w:rsidR="00506D58" w:rsidRDefault="006D2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BD722B" w14:textId="77777777" w:rsidR="00CA4660" w:rsidRPr="00F40AC9" w:rsidRDefault="006D20A4" w:rsidP="00F40A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F8AB1" w14:textId="77777777" w:rsidR="00506D58" w:rsidRDefault="006D20A4">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BF37B5E9"/>
    <w:multiLevelType w:val="multilevel"/>
    <w:tmpl w:val="1572F8B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FFFFFF1D"/>
    <w:multiLevelType w:val="multilevel"/>
    <w:tmpl w:val="1C60D5E0"/>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2">
    <w:nsid w:val="FFFFFF7C"/>
    <w:multiLevelType w:val="singleLevel"/>
    <w:tmpl w:val="89D08786"/>
    <w:lvl w:ilvl="0">
      <w:start w:val="1"/>
      <w:numFmt w:val="decimal"/>
      <w:lvlText w:val="%1."/>
      <w:lvlJc w:val="left"/>
      <w:pPr>
        <w:tabs>
          <w:tab w:pos="1492" w:val="num"/>
        </w:tabs>
        <w:ind w:hanging="360" w:left="1492"/>
      </w:pPr>
    </w:lvl>
  </w:abstractNum>
  <w:abstractNum w15:restartNumberingAfterBreak="0" w:abstractNumId="3">
    <w:nsid w:val="FFFFFF7D"/>
    <w:multiLevelType w:val="singleLevel"/>
    <w:tmpl w:val="76E81484"/>
    <w:lvl w:ilvl="0">
      <w:start w:val="1"/>
      <w:numFmt w:val="decimal"/>
      <w:lvlText w:val="%1."/>
      <w:lvlJc w:val="left"/>
      <w:pPr>
        <w:tabs>
          <w:tab w:pos="1209" w:val="num"/>
        </w:tabs>
        <w:ind w:hanging="360" w:left="1209"/>
      </w:pPr>
    </w:lvl>
  </w:abstractNum>
  <w:abstractNum w15:restartNumberingAfterBreak="0" w:abstractNumId="4">
    <w:nsid w:val="FFFFFF7E"/>
    <w:multiLevelType w:val="singleLevel"/>
    <w:tmpl w:val="5B4A8ACE"/>
    <w:lvl w:ilvl="0">
      <w:start w:val="1"/>
      <w:numFmt w:val="decimal"/>
      <w:lvlText w:val="%1."/>
      <w:lvlJc w:val="left"/>
      <w:pPr>
        <w:tabs>
          <w:tab w:pos="926" w:val="num"/>
        </w:tabs>
        <w:ind w:hanging="360" w:left="926"/>
      </w:pPr>
    </w:lvl>
  </w:abstractNum>
  <w:abstractNum w15:restartNumberingAfterBreak="0" w:abstractNumId="5">
    <w:nsid w:val="FFFFFF7F"/>
    <w:multiLevelType w:val="singleLevel"/>
    <w:tmpl w:val="4AEE18D0"/>
    <w:lvl w:ilvl="0">
      <w:start w:val="1"/>
      <w:numFmt w:val="decimal"/>
      <w:lvlText w:val="%1."/>
      <w:lvlJc w:val="left"/>
      <w:pPr>
        <w:tabs>
          <w:tab w:pos="643" w:val="num"/>
        </w:tabs>
        <w:ind w:hanging="360" w:left="643"/>
      </w:pPr>
    </w:lvl>
  </w:abstractNum>
  <w:abstractNum w15:restartNumberingAfterBreak="0" w:abstractNumId="6">
    <w:nsid w:val="FFFFFF80"/>
    <w:multiLevelType w:val="singleLevel"/>
    <w:tmpl w:val="7482188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7">
    <w:nsid w:val="FFFFFF81"/>
    <w:multiLevelType w:val="singleLevel"/>
    <w:tmpl w:val="344832C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8">
    <w:nsid w:val="FFFFFF82"/>
    <w:multiLevelType w:val="singleLevel"/>
    <w:tmpl w:val="787CA444"/>
    <w:lvl w:ilvl="0">
      <w:start w:val="1"/>
      <w:numFmt w:val="bullet"/>
      <w:lvlText w:val=""/>
      <w:lvlJc w:val="left"/>
      <w:pPr>
        <w:tabs>
          <w:tab w:pos="926" w:val="num"/>
        </w:tabs>
        <w:ind w:hanging="360" w:left="926"/>
      </w:pPr>
      <w:rPr>
        <w:rFonts w:ascii="Symbol" w:hAnsi="Symbol" w:hint="default"/>
      </w:rPr>
    </w:lvl>
  </w:abstractNum>
  <w:abstractNum w15:restartNumberingAfterBreak="0" w:abstractNumId="9">
    <w:nsid w:val="FFFFFF83"/>
    <w:multiLevelType w:val="singleLevel"/>
    <w:tmpl w:val="9A02B4B8"/>
    <w:lvl w:ilvl="0">
      <w:start w:val="1"/>
      <w:numFmt w:val="bullet"/>
      <w:lvlText w:val=""/>
      <w:lvlJc w:val="left"/>
      <w:pPr>
        <w:tabs>
          <w:tab w:pos="643" w:val="num"/>
        </w:tabs>
        <w:ind w:hanging="360" w:left="643"/>
      </w:pPr>
      <w:rPr>
        <w:rFonts w:ascii="Symbol" w:hAnsi="Symbol" w:hint="default"/>
      </w:rPr>
    </w:lvl>
  </w:abstractNum>
  <w:abstractNum w15:restartNumberingAfterBreak="0" w:abstractNumId="10">
    <w:nsid w:val="FFFFFF88"/>
    <w:multiLevelType w:val="singleLevel"/>
    <w:tmpl w:val="EBDE3728"/>
    <w:lvl w:ilvl="0">
      <w:start w:val="1"/>
      <w:numFmt w:val="decimal"/>
      <w:lvlText w:val="%1."/>
      <w:lvlJc w:val="left"/>
      <w:pPr>
        <w:tabs>
          <w:tab w:pos="360" w:val="num"/>
        </w:tabs>
        <w:ind w:hanging="360" w:left="360"/>
      </w:pPr>
    </w:lvl>
  </w:abstractNum>
  <w:abstractNum w15:restartNumberingAfterBreak="0" w:abstractNumId="11">
    <w:nsid w:val="086A7FFC"/>
    <w:multiLevelType w:val="hybridMultilevel"/>
    <w:tmpl w:val="576EA22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2">
    <w:nsid w:val="0A40680E"/>
    <w:multiLevelType w:val="multilevel"/>
    <w:tmpl w:val="08090023"/>
    <w:lvl w:ilvl="0">
      <w:start w:val="1"/>
      <w:numFmt w:val="upperRoman"/>
      <w:lvlText w:val="Article %1."/>
      <w:lvlJc w:val="left"/>
      <w:pPr>
        <w:tabs>
          <w:tab w:pos="1440" w:val="num"/>
        </w:tabs>
        <w:ind w:firstLine="0" w:left="0"/>
      </w:pPr>
    </w:lvl>
    <w:lvl w:ilvl="1">
      <w:start w:val="1"/>
      <w:numFmt w:val="decimalZero"/>
      <w:isLgl/>
      <w:lvlText w:val="Section %1.%2"/>
      <w:lvlJc w:val="left"/>
      <w:pPr>
        <w:tabs>
          <w:tab w:pos="1080" w:val="num"/>
        </w:tabs>
        <w:ind w:firstLine="0" w:left="0"/>
      </w:pPr>
    </w:lvl>
    <w:lvl w:ilvl="2">
      <w:start w:val="1"/>
      <w:numFmt w:val="lowerLetter"/>
      <w:lvlText w:val="(%3)"/>
      <w:lvlJc w:val="left"/>
      <w:pPr>
        <w:tabs>
          <w:tab w:pos="720" w:val="num"/>
        </w:tabs>
        <w:ind w:hanging="432" w:left="720"/>
      </w:pPr>
    </w:lvl>
    <w:lvl w:ilvl="3">
      <w:start w:val="1"/>
      <w:numFmt w:val="lowerRoman"/>
      <w:lvlText w:val="(%4)"/>
      <w:lvlJc w:val="right"/>
      <w:pPr>
        <w:tabs>
          <w:tab w:pos="864" w:val="num"/>
        </w:tabs>
        <w:ind w:hanging="144" w:left="864"/>
      </w:pPr>
    </w:lvl>
    <w:lvl w:ilvl="4">
      <w:start w:val="1"/>
      <w:numFmt w:val="decimal"/>
      <w:lvlText w:val="%5)"/>
      <w:lvlJc w:val="left"/>
      <w:pPr>
        <w:tabs>
          <w:tab w:pos="1008" w:val="num"/>
        </w:tabs>
        <w:ind w:hanging="432" w:left="1008"/>
      </w:pPr>
    </w:lvl>
    <w:lvl w:ilvl="5">
      <w:start w:val="1"/>
      <w:numFmt w:val="lowerLetter"/>
      <w:lvlText w:val="%6)"/>
      <w:lvlJc w:val="left"/>
      <w:pPr>
        <w:tabs>
          <w:tab w:pos="1152" w:val="num"/>
        </w:tabs>
        <w:ind w:hanging="432" w:left="1152"/>
      </w:pPr>
    </w:lvl>
    <w:lvl w:ilvl="6">
      <w:start w:val="1"/>
      <w:numFmt w:val="lowerRoman"/>
      <w:lvlText w:val="%7)"/>
      <w:lvlJc w:val="right"/>
      <w:pPr>
        <w:tabs>
          <w:tab w:pos="1296" w:val="num"/>
        </w:tabs>
        <w:ind w:hanging="288" w:left="1296"/>
      </w:pPr>
    </w:lvl>
    <w:lvl w:ilvl="7">
      <w:start w:val="1"/>
      <w:numFmt w:val="lowerLetter"/>
      <w:lvlText w:val="%8."/>
      <w:lvlJc w:val="left"/>
      <w:pPr>
        <w:tabs>
          <w:tab w:pos="1440" w:val="num"/>
        </w:tabs>
        <w:ind w:hanging="432" w:left="1440"/>
      </w:pPr>
    </w:lvl>
    <w:lvl w:ilvl="8">
      <w:start w:val="1"/>
      <w:numFmt w:val="lowerRoman"/>
      <w:lvlText w:val="%9."/>
      <w:lvlJc w:val="right"/>
      <w:pPr>
        <w:tabs>
          <w:tab w:pos="1584" w:val="num"/>
        </w:tabs>
        <w:ind w:hanging="144" w:left="1584"/>
      </w:pPr>
    </w:lvl>
  </w:abstractNum>
  <w:abstractNum w15:restartNumberingAfterBreak="0" w:abstractNumId="13">
    <w:nsid w:val="0A42345C"/>
    <w:multiLevelType w:val="hybridMultilevel"/>
    <w:tmpl w:val="C6FA137C"/>
    <w:lvl w:ilvl="0" w:tplc="C03C3B94">
      <w:start w:val="1"/>
      <w:numFmt w:val="decimal"/>
      <w:lvlText w:val="Annex %1"/>
      <w:lvlJc w:val="left"/>
      <w:pPr>
        <w:tabs>
          <w:tab w:pos="86" w:val="num"/>
        </w:tabs>
        <w:ind w:hanging="720" w:left="86"/>
      </w:pPr>
      <w:rPr>
        <w:rFonts w:ascii="Futura Md BT" w:hAnsi="Futura Md BT" w:hint="default"/>
        <w:b/>
        <w:i w:val="0"/>
        <w:spacing w:val="10"/>
        <w:w w:val="100"/>
        <w:position w:val="0"/>
        <w:sz w:val="22"/>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4">
    <w:nsid w:val="0B2F471D"/>
    <w:multiLevelType w:val="hybridMultilevel"/>
    <w:tmpl w:val="AB44F452"/>
    <w:lvl w:ilvl="0" w:tplc="04090001">
      <w:start w:val="1"/>
      <w:numFmt w:val="bullet"/>
      <w:lvlText w:val=""/>
      <w:lvlJc w:val="left"/>
      <w:pPr>
        <w:ind w:hanging="360" w:left="780"/>
      </w:pPr>
      <w:rPr>
        <w:rFonts w:ascii="Symbol" w:hAnsi="Symbol" w:hint="default"/>
      </w:rPr>
    </w:lvl>
    <w:lvl w:ilvl="1" w:tentative="1" w:tplc="04090003">
      <w:start w:val="1"/>
      <w:numFmt w:val="bullet"/>
      <w:lvlText w:val="o"/>
      <w:lvlJc w:val="left"/>
      <w:pPr>
        <w:ind w:hanging="360" w:left="1500"/>
      </w:pPr>
      <w:rPr>
        <w:rFonts w:ascii="Courier New" w:cs="Courier New" w:hAnsi="Courier New" w:hint="default"/>
      </w:rPr>
    </w:lvl>
    <w:lvl w:ilvl="2" w:tentative="1" w:tplc="04090005">
      <w:start w:val="1"/>
      <w:numFmt w:val="bullet"/>
      <w:lvlText w:val=""/>
      <w:lvlJc w:val="left"/>
      <w:pPr>
        <w:ind w:hanging="360" w:left="2220"/>
      </w:pPr>
      <w:rPr>
        <w:rFonts w:ascii="Wingdings" w:hAnsi="Wingdings" w:hint="default"/>
      </w:rPr>
    </w:lvl>
    <w:lvl w:ilvl="3" w:tentative="1" w:tplc="04090001">
      <w:start w:val="1"/>
      <w:numFmt w:val="bullet"/>
      <w:lvlText w:val=""/>
      <w:lvlJc w:val="left"/>
      <w:pPr>
        <w:ind w:hanging="360" w:left="2940"/>
      </w:pPr>
      <w:rPr>
        <w:rFonts w:ascii="Symbol" w:hAnsi="Symbol" w:hint="default"/>
      </w:rPr>
    </w:lvl>
    <w:lvl w:ilvl="4" w:tentative="1" w:tplc="04090003">
      <w:start w:val="1"/>
      <w:numFmt w:val="bullet"/>
      <w:lvlText w:val="o"/>
      <w:lvlJc w:val="left"/>
      <w:pPr>
        <w:ind w:hanging="360" w:left="3660"/>
      </w:pPr>
      <w:rPr>
        <w:rFonts w:ascii="Courier New" w:cs="Courier New" w:hAnsi="Courier New" w:hint="default"/>
      </w:rPr>
    </w:lvl>
    <w:lvl w:ilvl="5" w:tentative="1" w:tplc="04090005">
      <w:start w:val="1"/>
      <w:numFmt w:val="bullet"/>
      <w:lvlText w:val=""/>
      <w:lvlJc w:val="left"/>
      <w:pPr>
        <w:ind w:hanging="360" w:left="4380"/>
      </w:pPr>
      <w:rPr>
        <w:rFonts w:ascii="Wingdings" w:hAnsi="Wingdings" w:hint="default"/>
      </w:rPr>
    </w:lvl>
    <w:lvl w:ilvl="6" w:tentative="1" w:tplc="04090001">
      <w:start w:val="1"/>
      <w:numFmt w:val="bullet"/>
      <w:lvlText w:val=""/>
      <w:lvlJc w:val="left"/>
      <w:pPr>
        <w:ind w:hanging="360" w:left="5100"/>
      </w:pPr>
      <w:rPr>
        <w:rFonts w:ascii="Symbol" w:hAnsi="Symbol" w:hint="default"/>
      </w:rPr>
    </w:lvl>
    <w:lvl w:ilvl="7" w:tentative="1" w:tplc="04090003">
      <w:start w:val="1"/>
      <w:numFmt w:val="bullet"/>
      <w:lvlText w:val="o"/>
      <w:lvlJc w:val="left"/>
      <w:pPr>
        <w:ind w:hanging="360" w:left="5820"/>
      </w:pPr>
      <w:rPr>
        <w:rFonts w:ascii="Courier New" w:cs="Courier New" w:hAnsi="Courier New" w:hint="default"/>
      </w:rPr>
    </w:lvl>
    <w:lvl w:ilvl="8" w:tentative="1" w:tplc="04090005">
      <w:start w:val="1"/>
      <w:numFmt w:val="bullet"/>
      <w:lvlText w:val=""/>
      <w:lvlJc w:val="left"/>
      <w:pPr>
        <w:ind w:hanging="360" w:left="6540"/>
      </w:pPr>
      <w:rPr>
        <w:rFonts w:ascii="Wingdings" w:hAnsi="Wingdings" w:hint="default"/>
      </w:rPr>
    </w:lvl>
  </w:abstractNum>
  <w:abstractNum w15:restartNumberingAfterBreak="0" w:abstractNumId="15">
    <w:nsid w:val="0B9A4A69"/>
    <w:multiLevelType w:val="multilevel"/>
    <w:tmpl w:val="3E603240"/>
    <w:lvl w:ilvl="0">
      <w:start w:val="1"/>
      <w:numFmt w:val="lowerLetter"/>
      <w:pStyle w:val="List3"/>
      <w:lvlText w:val="%1 )"/>
      <w:lvlJc w:val="left"/>
      <w:pPr>
        <w:tabs>
          <w:tab w:pos="648" w:val="num"/>
        </w:tabs>
        <w:ind w:hanging="360" w:left="648"/>
      </w:pPr>
      <w:rPr>
        <w:rFonts w:hint="default"/>
      </w:rPr>
    </w:lvl>
    <w:lvl w:ilvl="1">
      <w:start w:val="1"/>
      <w:numFmt w:val="lowerRoman"/>
      <w:lvlText w:val="%2 )"/>
      <w:lvlJc w:val="left"/>
      <w:pPr>
        <w:tabs>
          <w:tab w:pos="1008" w:val="num"/>
        </w:tabs>
        <w:ind w:hanging="360" w:left="1008"/>
      </w:pPr>
      <w:rPr>
        <w:rFonts w:hint="default"/>
      </w:rPr>
    </w:lvl>
    <w:lvl w:ilvl="2">
      <w:start w:val="1"/>
      <w:numFmt w:val="decimal"/>
      <w:lvlText w:val="%3 )"/>
      <w:lvlJc w:val="left"/>
      <w:pPr>
        <w:tabs>
          <w:tab w:pos="1440" w:val="num"/>
        </w:tabs>
        <w:ind w:hanging="432" w:left="1440"/>
      </w:pPr>
      <w:rPr>
        <w:rFonts w:hint="default"/>
      </w:rPr>
    </w:lvl>
    <w:lvl w:ilvl="3">
      <w:start w:val="1"/>
      <w:numFmt w:val="decimal"/>
      <w:lvlText w:val="(%4)"/>
      <w:lvlJc w:val="left"/>
      <w:pPr>
        <w:tabs>
          <w:tab w:pos="2006" w:val="num"/>
        </w:tabs>
        <w:ind w:hanging="360" w:left="2006"/>
      </w:pPr>
      <w:rPr>
        <w:rFonts w:hint="default"/>
      </w:rPr>
    </w:lvl>
    <w:lvl w:ilvl="4">
      <w:start w:val="1"/>
      <w:numFmt w:val="lowerLetter"/>
      <w:lvlText w:val="(%5)"/>
      <w:lvlJc w:val="left"/>
      <w:pPr>
        <w:tabs>
          <w:tab w:pos="2366" w:val="num"/>
        </w:tabs>
        <w:ind w:hanging="360" w:left="2366"/>
      </w:pPr>
      <w:rPr>
        <w:rFonts w:hint="default"/>
      </w:rPr>
    </w:lvl>
    <w:lvl w:ilvl="5">
      <w:start w:val="1"/>
      <w:numFmt w:val="lowerRoman"/>
      <w:lvlText w:val="(%6)"/>
      <w:lvlJc w:val="left"/>
      <w:pPr>
        <w:tabs>
          <w:tab w:pos="2726" w:val="num"/>
        </w:tabs>
        <w:ind w:hanging="360" w:left="2726"/>
      </w:pPr>
      <w:rPr>
        <w:rFonts w:hint="default"/>
      </w:rPr>
    </w:lvl>
    <w:lvl w:ilvl="6">
      <w:start w:val="1"/>
      <w:numFmt w:val="decimal"/>
      <w:lvlText w:val="%7."/>
      <w:lvlJc w:val="left"/>
      <w:pPr>
        <w:tabs>
          <w:tab w:pos="3086" w:val="num"/>
        </w:tabs>
        <w:ind w:hanging="360" w:left="3086"/>
      </w:pPr>
      <w:rPr>
        <w:rFonts w:hint="default"/>
      </w:rPr>
    </w:lvl>
    <w:lvl w:ilvl="7">
      <w:start w:val="1"/>
      <w:numFmt w:val="lowerLetter"/>
      <w:lvlText w:val="%8."/>
      <w:lvlJc w:val="left"/>
      <w:pPr>
        <w:tabs>
          <w:tab w:pos="3446" w:val="num"/>
        </w:tabs>
        <w:ind w:hanging="360" w:left="3446"/>
      </w:pPr>
      <w:rPr>
        <w:rFonts w:hint="default"/>
      </w:rPr>
    </w:lvl>
    <w:lvl w:ilvl="8">
      <w:start w:val="1"/>
      <w:numFmt w:val="lowerRoman"/>
      <w:lvlText w:val="%9."/>
      <w:lvlJc w:val="left"/>
      <w:pPr>
        <w:tabs>
          <w:tab w:pos="3806" w:val="num"/>
        </w:tabs>
        <w:ind w:hanging="360" w:left="3806"/>
      </w:pPr>
      <w:rPr>
        <w:rFonts w:hint="default"/>
      </w:rPr>
    </w:lvl>
  </w:abstractNum>
  <w:abstractNum w15:restartNumberingAfterBreak="0" w:abstractNumId="16">
    <w:nsid w:val="0C7C1A97"/>
    <w:multiLevelType w:val="multilevel"/>
    <w:tmpl w:val="08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7">
    <w:nsid w:val="0CE96724"/>
    <w:multiLevelType w:val="multilevel"/>
    <w:tmpl w:val="0809001F"/>
    <w:lvl w:ilvl="0">
      <w:start w:val="1"/>
      <w:numFmt w:val="decimal"/>
      <w:lvlText w:val="%1."/>
      <w:lvlJc w:val="left"/>
      <w:pPr>
        <w:tabs>
          <w:tab w:pos="360" w:val="num"/>
        </w:tabs>
        <w:ind w:hanging="360" w:left="360"/>
      </w:pPr>
    </w:lvl>
    <w:lvl w:ilvl="1">
      <w:start w:val="1"/>
      <w:numFmt w:val="decimal"/>
      <w:lvlText w:val="%1.%2."/>
      <w:lvlJc w:val="left"/>
      <w:pPr>
        <w:tabs>
          <w:tab w:pos="792" w:val="num"/>
        </w:tabs>
        <w:ind w:hanging="432" w:left="792"/>
      </w:pPr>
    </w:lvl>
    <w:lvl w:ilvl="2">
      <w:start w:val="1"/>
      <w:numFmt w:val="decimal"/>
      <w:lvlText w:val="%1.%2.%3."/>
      <w:lvlJc w:val="left"/>
      <w:pPr>
        <w:tabs>
          <w:tab w:pos="1224" w:val="num"/>
        </w:tabs>
        <w:ind w:hanging="504" w:left="1224"/>
      </w:pPr>
    </w:lvl>
    <w:lvl w:ilvl="3">
      <w:start w:val="1"/>
      <w:numFmt w:val="decimal"/>
      <w:lvlText w:val="%1.%2.%3.%4."/>
      <w:lvlJc w:val="left"/>
      <w:pPr>
        <w:tabs>
          <w:tab w:pos="1728" w:val="num"/>
        </w:tabs>
        <w:ind w:hanging="648" w:left="1728"/>
      </w:pPr>
    </w:lvl>
    <w:lvl w:ilvl="4">
      <w:start w:val="1"/>
      <w:numFmt w:val="decimal"/>
      <w:lvlText w:val="%1.%2.%3.%4.%5."/>
      <w:lvlJc w:val="left"/>
      <w:pPr>
        <w:tabs>
          <w:tab w:pos="2232" w:val="num"/>
        </w:tabs>
        <w:ind w:hanging="792" w:left="2232"/>
      </w:pPr>
    </w:lvl>
    <w:lvl w:ilvl="5">
      <w:start w:val="1"/>
      <w:numFmt w:val="decimal"/>
      <w:lvlText w:val="%1.%2.%3.%4.%5.%6."/>
      <w:lvlJc w:val="left"/>
      <w:pPr>
        <w:tabs>
          <w:tab w:pos="2736" w:val="num"/>
        </w:tabs>
        <w:ind w:hanging="936" w:left="2736"/>
      </w:pPr>
    </w:lvl>
    <w:lvl w:ilvl="6">
      <w:start w:val="1"/>
      <w:numFmt w:val="decimal"/>
      <w:lvlText w:val="%1.%2.%3.%4.%5.%6.%7."/>
      <w:lvlJc w:val="left"/>
      <w:pPr>
        <w:tabs>
          <w:tab w:pos="3240" w:val="num"/>
        </w:tabs>
        <w:ind w:hanging="1080" w:left="3240"/>
      </w:pPr>
    </w:lvl>
    <w:lvl w:ilvl="7">
      <w:start w:val="1"/>
      <w:numFmt w:val="decimal"/>
      <w:lvlText w:val="%1.%2.%3.%4.%5.%6.%7.%8."/>
      <w:lvlJc w:val="left"/>
      <w:pPr>
        <w:tabs>
          <w:tab w:pos="3744" w:val="num"/>
        </w:tabs>
        <w:ind w:hanging="1224" w:left="3744"/>
      </w:pPr>
    </w:lvl>
    <w:lvl w:ilvl="8">
      <w:start w:val="1"/>
      <w:numFmt w:val="decimal"/>
      <w:lvlText w:val="%1.%2.%3.%4.%5.%6.%7.%8.%9."/>
      <w:lvlJc w:val="left"/>
      <w:pPr>
        <w:tabs>
          <w:tab w:pos="4320" w:val="num"/>
        </w:tabs>
        <w:ind w:hanging="1440" w:left="4320"/>
      </w:pPr>
    </w:lvl>
  </w:abstractNum>
  <w:abstractNum w15:restartNumberingAfterBreak="0" w:abstractNumId="18">
    <w:nsid w:val="0DEB12EA"/>
    <w:multiLevelType w:val="hybridMultilevel"/>
    <w:tmpl w:val="93246D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11800043"/>
    <w:multiLevelType w:val="multilevel"/>
    <w:tmpl w:val="560A4F96"/>
    <w:lvl w:ilvl="0">
      <w:start w:val="1"/>
      <w:numFmt w:val="decimal"/>
      <w:pStyle w:val="Heading1"/>
      <w:lvlText w:val="%1"/>
      <w:lvlJc w:val="left"/>
      <w:pPr>
        <w:tabs>
          <w:tab w:pos="0" w:val="num"/>
        </w:tabs>
        <w:ind w:hanging="634" w:left="0"/>
      </w:pPr>
      <w:rPr>
        <w:rFonts w:ascii="Calibri" w:hAnsi="Calibri" w:hint="default"/>
        <w:b/>
        <w:i w:val="0"/>
        <w:color w:val="0B3363"/>
        <w:spacing w:val="10"/>
        <w:sz w:val="40"/>
      </w:rPr>
    </w:lvl>
    <w:lvl w:ilvl="1">
      <w:start w:val="1"/>
      <w:numFmt w:val="decimal"/>
      <w:pStyle w:val="Heading2"/>
      <w:lvlText w:val="%1.%2"/>
      <w:lvlJc w:val="left"/>
      <w:pPr>
        <w:tabs>
          <w:tab w:pos="0" w:val="num"/>
        </w:tabs>
        <w:ind w:hanging="634" w:left="0"/>
      </w:pPr>
      <w:rPr>
        <w:rFonts w:ascii="Calibri" w:hAnsi="Calibri" w:hint="default"/>
        <w:b/>
        <w:i w:val="0"/>
        <w:color w:val="0B3363"/>
        <w:spacing w:val="10"/>
        <w:sz w:val="24"/>
      </w:rPr>
    </w:lvl>
    <w:lvl w:ilvl="2">
      <w:start w:val="1"/>
      <w:numFmt w:val="decimal"/>
      <w:pStyle w:val="Heading3"/>
      <w:lvlText w:val="%1.%2.%3"/>
      <w:lvlJc w:val="left"/>
      <w:pPr>
        <w:tabs>
          <w:tab w:pos="0" w:val="num"/>
        </w:tabs>
        <w:ind w:firstLine="0" w:left="0"/>
      </w:pPr>
      <w:rPr>
        <w:rFonts w:ascii="Calibri" w:hAnsi="Calibri" w:hint="default"/>
        <w:b/>
        <w:i w:val="0"/>
        <w:color w:val="77C2C8"/>
        <w:spacing w:val="10"/>
        <w:sz w:val="24"/>
      </w:rPr>
    </w:lvl>
    <w:lvl w:ilvl="3">
      <w:start w:val="1"/>
      <w:numFmt w:val="decimal"/>
      <w:pStyle w:val="Heading4"/>
      <w:lvlText w:val="%1.%2.%3.%4"/>
      <w:lvlJc w:val="left"/>
      <w:pPr>
        <w:tabs>
          <w:tab w:pos="144" w:val="num"/>
        </w:tabs>
        <w:ind w:firstLine="0" w:left="0"/>
      </w:pPr>
      <w:rPr>
        <w:rFonts w:ascii="Futura Md BT" w:hAnsi="Futura Md BT" w:hint="default"/>
        <w:b/>
        <w:i w:val="0"/>
        <w:color w:val="auto"/>
        <w:spacing w:val="6"/>
        <w:sz w:val="16"/>
      </w:rPr>
    </w:lvl>
    <w:lvl w:ilvl="4">
      <w:start w:val="1"/>
      <w:numFmt w:val="decimal"/>
      <w:pStyle w:val="Heading5"/>
      <w:lvlText w:val="%1.%2.%3.%4.%5"/>
      <w:lvlJc w:val="left"/>
      <w:pPr>
        <w:tabs>
          <w:tab w:pos="288" w:val="num"/>
        </w:tabs>
        <w:ind w:firstLine="0" w:left="0"/>
      </w:pPr>
      <w:rPr>
        <w:rFonts w:ascii="Futura Md BT" w:hAnsi="Futura Md BT" w:hint="default"/>
        <w:b/>
        <w:i w:val="0"/>
        <w:spacing w:val="6"/>
        <w:sz w:val="16"/>
      </w:rPr>
    </w:lvl>
    <w:lvl w:ilvl="5">
      <w:start w:val="1"/>
      <w:numFmt w:val="decimal"/>
      <w:lvlText w:val="%1.%2.%3.%4.%5.%6"/>
      <w:lvlJc w:val="left"/>
      <w:pPr>
        <w:tabs>
          <w:tab w:pos="518" w:val="num"/>
        </w:tabs>
        <w:ind w:hanging="1152" w:left="518"/>
      </w:pPr>
      <w:rPr>
        <w:rFonts w:hint="default"/>
      </w:rPr>
    </w:lvl>
    <w:lvl w:ilvl="6">
      <w:start w:val="1"/>
      <w:numFmt w:val="decimal"/>
      <w:lvlText w:val="%1.%2.%3.%4.%5.%6.%7"/>
      <w:lvlJc w:val="left"/>
      <w:pPr>
        <w:tabs>
          <w:tab w:pos="662" w:val="num"/>
        </w:tabs>
        <w:ind w:hanging="1296" w:left="662"/>
      </w:pPr>
      <w:rPr>
        <w:rFonts w:hint="default"/>
      </w:rPr>
    </w:lvl>
    <w:lvl w:ilvl="7">
      <w:start w:val="1"/>
      <w:numFmt w:val="decimal"/>
      <w:lvlText w:val="%1.%2.%3.%4.%5.%6.%7.%8"/>
      <w:lvlJc w:val="left"/>
      <w:pPr>
        <w:tabs>
          <w:tab w:pos="806" w:val="num"/>
        </w:tabs>
        <w:ind w:hanging="1440" w:left="806"/>
      </w:pPr>
      <w:rPr>
        <w:rFonts w:hint="default"/>
      </w:rPr>
    </w:lvl>
    <w:lvl w:ilvl="8">
      <w:start w:val="1"/>
      <w:numFmt w:val="decimal"/>
      <w:lvlText w:val="%1.%2.%3.%4.%5.%6.%7.%8.%9"/>
      <w:lvlJc w:val="left"/>
      <w:pPr>
        <w:tabs>
          <w:tab w:pos="950" w:val="num"/>
        </w:tabs>
        <w:ind w:hanging="1584" w:left="950"/>
      </w:pPr>
      <w:rPr>
        <w:rFonts w:hint="default"/>
      </w:rPr>
    </w:lvl>
  </w:abstractNum>
  <w:abstractNum w15:restartNumberingAfterBreak="0" w:abstractNumId="20">
    <w:nsid w:val="13654A10"/>
    <w:multiLevelType w:val="multilevel"/>
    <w:tmpl w:val="08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21">
    <w:nsid w:val="147E4DA6"/>
    <w:multiLevelType w:val="hybridMultilevel"/>
    <w:tmpl w:val="18B0982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1BA30369"/>
    <w:multiLevelType w:val="multilevel"/>
    <w:tmpl w:val="08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23">
    <w:nsid w:val="1CA50B38"/>
    <w:multiLevelType w:val="multilevel"/>
    <w:tmpl w:val="D932F2F0"/>
    <w:lvl w:ilvl="0">
      <w:start w:val="1"/>
      <w:numFmt w:val="decimal"/>
      <w:lvlText w:val="%1 )"/>
      <w:lvlJc w:val="left"/>
      <w:pPr>
        <w:tabs>
          <w:tab w:pos="648" w:val="num"/>
        </w:tabs>
        <w:ind w:hanging="360" w:left="648"/>
      </w:pPr>
      <w:rPr>
        <w:rFonts w:hint="default"/>
      </w:rPr>
    </w:lvl>
    <w:lvl w:ilvl="1">
      <w:start w:val="1"/>
      <w:numFmt w:val="decimal"/>
      <w:lvlText w:val="%1.%2 )"/>
      <w:lvlJc w:val="left"/>
      <w:pPr>
        <w:tabs>
          <w:tab w:pos="1224" w:val="num"/>
        </w:tabs>
        <w:ind w:hanging="576" w:left="1224"/>
      </w:pPr>
      <w:rPr>
        <w:rFonts w:hint="default"/>
      </w:rPr>
    </w:lvl>
    <w:lvl w:ilvl="2">
      <w:start w:val="1"/>
      <w:numFmt w:val="decimal"/>
      <w:lvlText w:val="%1.%2.%3 )"/>
      <w:lvlJc w:val="left"/>
      <w:pPr>
        <w:tabs>
          <w:tab w:pos="1872" w:val="num"/>
        </w:tabs>
        <w:ind w:hanging="648" w:left="1872"/>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736" w:val="num"/>
        </w:tabs>
        <w:ind w:hanging="936" w:left="2736"/>
      </w:pPr>
      <w:rPr>
        <w:rFonts w:hint="default"/>
      </w:rPr>
    </w:lvl>
    <w:lvl w:ilvl="6">
      <w:start w:val="1"/>
      <w:numFmt w:val="decimal"/>
      <w:lvlText w:val="%1.%2.%3.%4.%5.%6.%7."/>
      <w:lvlJc w:val="left"/>
      <w:pPr>
        <w:tabs>
          <w:tab w:pos="3240" w:val="num"/>
        </w:tabs>
        <w:ind w:hanging="1080" w:left="3240"/>
      </w:pPr>
      <w:rPr>
        <w:rFonts w:hint="default"/>
      </w:rPr>
    </w:lvl>
    <w:lvl w:ilvl="7">
      <w:start w:val="1"/>
      <w:numFmt w:val="decimal"/>
      <w:lvlText w:val="%1.%2.%3.%4.%5.%6.%7.%8."/>
      <w:lvlJc w:val="left"/>
      <w:pPr>
        <w:tabs>
          <w:tab w:pos="3744"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15:restartNumberingAfterBreak="0" w:abstractNumId="24">
    <w:nsid w:val="1D1F587B"/>
    <w:multiLevelType w:val="multilevel"/>
    <w:tmpl w:val="08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25">
    <w:nsid w:val="23216A15"/>
    <w:multiLevelType w:val="hybridMultilevel"/>
    <w:tmpl w:val="C9C880C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2C24218A"/>
    <w:multiLevelType w:val="multilevel"/>
    <w:tmpl w:val="1B9CA468"/>
    <w:lvl w:ilvl="0">
      <w:start w:val="1"/>
      <w:numFmt w:val="lowerRoman"/>
      <w:lvlText w:val="%1 )"/>
      <w:lvlJc w:val="left"/>
      <w:pPr>
        <w:tabs>
          <w:tab w:pos="792" w:val="num"/>
        </w:tabs>
        <w:ind w:hanging="509" w:left="792"/>
      </w:pPr>
      <w:rPr>
        <w:rFonts w:hint="default"/>
      </w:rPr>
    </w:lvl>
    <w:lvl w:ilvl="1">
      <w:start w:val="1"/>
      <w:numFmt w:val="upperLetter"/>
      <w:lvlText w:val="%2 )"/>
      <w:lvlJc w:val="left"/>
      <w:pPr>
        <w:tabs>
          <w:tab w:pos="1224" w:val="num"/>
        </w:tabs>
        <w:ind w:hanging="581" w:left="1224"/>
      </w:pPr>
      <w:rPr>
        <w:rFonts w:hint="default"/>
      </w:rPr>
    </w:lvl>
    <w:lvl w:ilvl="2">
      <w:start w:val="1"/>
      <w:numFmt w:val="decimal"/>
      <w:lvlText w:val="%3 )"/>
      <w:lvlJc w:val="left"/>
      <w:pPr>
        <w:tabs>
          <w:tab w:pos="1584" w:val="num"/>
        </w:tabs>
        <w:ind w:hanging="360" w:left="1584"/>
      </w:pPr>
      <w:rPr>
        <w:rFonts w:hint="default"/>
      </w:rPr>
    </w:lvl>
    <w:lvl w:ilvl="3">
      <w:start w:val="1"/>
      <w:numFmt w:val="bullet"/>
      <w:lvlText w:val=""/>
      <w:lvlJc w:val="left"/>
      <w:pPr>
        <w:tabs>
          <w:tab w:pos="1723" w:val="num"/>
        </w:tabs>
        <w:ind w:hanging="360" w:left="1723"/>
      </w:pPr>
      <w:rPr>
        <w:rFonts w:ascii="Symbol" w:hAnsi="Symbol" w:hint="default"/>
      </w:rPr>
    </w:lvl>
    <w:lvl w:ilvl="4">
      <w:start w:val="1"/>
      <w:numFmt w:val="bullet"/>
      <w:lvlText w:val=""/>
      <w:lvlJc w:val="left"/>
      <w:pPr>
        <w:tabs>
          <w:tab w:pos="2083" w:val="num"/>
        </w:tabs>
        <w:ind w:hanging="360" w:left="2083"/>
      </w:pPr>
      <w:rPr>
        <w:rFonts w:ascii="Symbol" w:hAnsi="Symbol" w:hint="default"/>
      </w:rPr>
    </w:lvl>
    <w:lvl w:ilvl="5">
      <w:start w:val="1"/>
      <w:numFmt w:val="bullet"/>
      <w:lvlText w:val=""/>
      <w:lvlJc w:val="left"/>
      <w:pPr>
        <w:tabs>
          <w:tab w:pos="2443" w:val="num"/>
        </w:tabs>
        <w:ind w:hanging="360" w:left="2443"/>
      </w:pPr>
      <w:rPr>
        <w:rFonts w:ascii="Wingdings" w:hAnsi="Wingdings" w:hint="default"/>
      </w:rPr>
    </w:lvl>
    <w:lvl w:ilvl="6">
      <w:start w:val="1"/>
      <w:numFmt w:val="bullet"/>
      <w:lvlText w:val=""/>
      <w:lvlJc w:val="left"/>
      <w:pPr>
        <w:tabs>
          <w:tab w:pos="2803" w:val="num"/>
        </w:tabs>
        <w:ind w:hanging="360" w:left="2803"/>
      </w:pPr>
      <w:rPr>
        <w:rFonts w:ascii="Wingdings" w:hAnsi="Wingdings" w:hint="default"/>
      </w:rPr>
    </w:lvl>
    <w:lvl w:ilvl="7">
      <w:start w:val="1"/>
      <w:numFmt w:val="bullet"/>
      <w:lvlText w:val=""/>
      <w:lvlJc w:val="left"/>
      <w:pPr>
        <w:tabs>
          <w:tab w:pos="3163" w:val="num"/>
        </w:tabs>
        <w:ind w:hanging="360" w:left="3163"/>
      </w:pPr>
      <w:rPr>
        <w:rFonts w:ascii="Symbol" w:hAnsi="Symbol" w:hint="default"/>
      </w:rPr>
    </w:lvl>
    <w:lvl w:ilvl="8">
      <w:start w:val="1"/>
      <w:numFmt w:val="bullet"/>
      <w:lvlText w:val=""/>
      <w:lvlJc w:val="left"/>
      <w:pPr>
        <w:tabs>
          <w:tab w:pos="3523" w:val="num"/>
        </w:tabs>
        <w:ind w:hanging="360" w:left="3523"/>
      </w:pPr>
      <w:rPr>
        <w:rFonts w:ascii="Symbol" w:hAnsi="Symbol" w:hint="default"/>
      </w:rPr>
    </w:lvl>
  </w:abstractNum>
  <w:abstractNum w15:restartNumberingAfterBreak="0" w:abstractNumId="27">
    <w:nsid w:val="311D660F"/>
    <w:multiLevelType w:val="hybridMultilevel"/>
    <w:tmpl w:val="0EA29CC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8">
    <w:nsid w:val="34544B4D"/>
    <w:multiLevelType w:val="multilevel"/>
    <w:tmpl w:val="D932F2F0"/>
    <w:lvl w:ilvl="0">
      <w:start w:val="1"/>
      <w:numFmt w:val="decimal"/>
      <w:lvlText w:val="%1 )"/>
      <w:lvlJc w:val="left"/>
      <w:pPr>
        <w:tabs>
          <w:tab w:pos="648" w:val="num"/>
        </w:tabs>
        <w:ind w:hanging="360" w:left="648"/>
      </w:pPr>
      <w:rPr>
        <w:rFonts w:hint="default"/>
      </w:rPr>
    </w:lvl>
    <w:lvl w:ilvl="1">
      <w:start w:val="1"/>
      <w:numFmt w:val="decimal"/>
      <w:lvlText w:val="%1.%2 )"/>
      <w:lvlJc w:val="left"/>
      <w:pPr>
        <w:tabs>
          <w:tab w:pos="1224" w:val="num"/>
        </w:tabs>
        <w:ind w:hanging="576" w:left="1224"/>
      </w:pPr>
      <w:rPr>
        <w:rFonts w:hint="default"/>
      </w:rPr>
    </w:lvl>
    <w:lvl w:ilvl="2">
      <w:start w:val="1"/>
      <w:numFmt w:val="decimal"/>
      <w:lvlText w:val="%1.%2.%3 )"/>
      <w:lvlJc w:val="left"/>
      <w:pPr>
        <w:tabs>
          <w:tab w:pos="1872" w:val="num"/>
        </w:tabs>
        <w:ind w:hanging="648" w:left="1872"/>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736" w:val="num"/>
        </w:tabs>
        <w:ind w:hanging="936" w:left="2736"/>
      </w:pPr>
      <w:rPr>
        <w:rFonts w:hint="default"/>
      </w:rPr>
    </w:lvl>
    <w:lvl w:ilvl="6">
      <w:start w:val="1"/>
      <w:numFmt w:val="decimal"/>
      <w:lvlText w:val="%1.%2.%3.%4.%5.%6.%7."/>
      <w:lvlJc w:val="left"/>
      <w:pPr>
        <w:tabs>
          <w:tab w:pos="3240" w:val="num"/>
        </w:tabs>
        <w:ind w:hanging="1080" w:left="3240"/>
      </w:pPr>
      <w:rPr>
        <w:rFonts w:hint="default"/>
      </w:rPr>
    </w:lvl>
    <w:lvl w:ilvl="7">
      <w:start w:val="1"/>
      <w:numFmt w:val="decimal"/>
      <w:lvlText w:val="%1.%2.%3.%4.%5.%6.%7.%8."/>
      <w:lvlJc w:val="left"/>
      <w:pPr>
        <w:tabs>
          <w:tab w:pos="3744"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15:restartNumberingAfterBreak="0" w:abstractNumId="29">
    <w:nsid w:val="37E93378"/>
    <w:multiLevelType w:val="multilevel"/>
    <w:tmpl w:val="C66472EE"/>
    <w:lvl w:ilvl="0">
      <w:start w:val="1"/>
      <w:numFmt w:val="lowerRoman"/>
      <w:lvlText w:val="%1 )"/>
      <w:lvlJc w:val="left"/>
      <w:pPr>
        <w:tabs>
          <w:tab w:pos="792" w:val="num"/>
        </w:tabs>
        <w:ind w:hanging="509" w:left="792"/>
      </w:pPr>
      <w:rPr>
        <w:rFonts w:hint="default"/>
      </w:rPr>
    </w:lvl>
    <w:lvl w:ilvl="1">
      <w:start w:val="1"/>
      <w:numFmt w:val="upperLetter"/>
      <w:lvlText w:val="%2 )"/>
      <w:lvlJc w:val="left"/>
      <w:pPr>
        <w:tabs>
          <w:tab w:pos="1224" w:val="num"/>
        </w:tabs>
        <w:ind w:hanging="432" w:left="1224"/>
      </w:pPr>
      <w:rPr>
        <w:rFonts w:hint="default"/>
      </w:rPr>
    </w:lvl>
    <w:lvl w:ilvl="2">
      <w:start w:val="1"/>
      <w:numFmt w:val="decimal"/>
      <w:lvlText w:val="%3 )"/>
      <w:lvlJc w:val="left"/>
      <w:pPr>
        <w:tabs>
          <w:tab w:pos="1584" w:val="num"/>
        </w:tabs>
        <w:ind w:hanging="360" w:left="1584"/>
      </w:pPr>
      <w:rPr>
        <w:rFonts w:hint="default"/>
      </w:rPr>
    </w:lvl>
    <w:lvl w:ilvl="3">
      <w:start w:val="1"/>
      <w:numFmt w:val="bullet"/>
      <w:lvlText w:val=""/>
      <w:lvlJc w:val="left"/>
      <w:pPr>
        <w:tabs>
          <w:tab w:pos="1723" w:val="num"/>
        </w:tabs>
        <w:ind w:hanging="360" w:left="1723"/>
      </w:pPr>
      <w:rPr>
        <w:rFonts w:ascii="Symbol" w:hAnsi="Symbol" w:hint="default"/>
      </w:rPr>
    </w:lvl>
    <w:lvl w:ilvl="4">
      <w:start w:val="1"/>
      <w:numFmt w:val="bullet"/>
      <w:lvlText w:val=""/>
      <w:lvlJc w:val="left"/>
      <w:pPr>
        <w:tabs>
          <w:tab w:pos="2083" w:val="num"/>
        </w:tabs>
        <w:ind w:hanging="360" w:left="2083"/>
      </w:pPr>
      <w:rPr>
        <w:rFonts w:ascii="Symbol" w:hAnsi="Symbol" w:hint="default"/>
      </w:rPr>
    </w:lvl>
    <w:lvl w:ilvl="5">
      <w:start w:val="1"/>
      <w:numFmt w:val="bullet"/>
      <w:lvlText w:val=""/>
      <w:lvlJc w:val="left"/>
      <w:pPr>
        <w:tabs>
          <w:tab w:pos="2443" w:val="num"/>
        </w:tabs>
        <w:ind w:hanging="360" w:left="2443"/>
      </w:pPr>
      <w:rPr>
        <w:rFonts w:ascii="Wingdings" w:hAnsi="Wingdings" w:hint="default"/>
      </w:rPr>
    </w:lvl>
    <w:lvl w:ilvl="6">
      <w:start w:val="1"/>
      <w:numFmt w:val="bullet"/>
      <w:lvlText w:val=""/>
      <w:lvlJc w:val="left"/>
      <w:pPr>
        <w:tabs>
          <w:tab w:pos="2803" w:val="num"/>
        </w:tabs>
        <w:ind w:hanging="360" w:left="2803"/>
      </w:pPr>
      <w:rPr>
        <w:rFonts w:ascii="Wingdings" w:hAnsi="Wingdings" w:hint="default"/>
      </w:rPr>
    </w:lvl>
    <w:lvl w:ilvl="7">
      <w:start w:val="1"/>
      <w:numFmt w:val="bullet"/>
      <w:lvlText w:val=""/>
      <w:lvlJc w:val="left"/>
      <w:pPr>
        <w:tabs>
          <w:tab w:pos="3163" w:val="num"/>
        </w:tabs>
        <w:ind w:hanging="360" w:left="3163"/>
      </w:pPr>
      <w:rPr>
        <w:rFonts w:ascii="Symbol" w:hAnsi="Symbol" w:hint="default"/>
      </w:rPr>
    </w:lvl>
    <w:lvl w:ilvl="8">
      <w:start w:val="1"/>
      <w:numFmt w:val="bullet"/>
      <w:lvlText w:val=""/>
      <w:lvlJc w:val="left"/>
      <w:pPr>
        <w:tabs>
          <w:tab w:pos="3523" w:val="num"/>
        </w:tabs>
        <w:ind w:hanging="360" w:left="3523"/>
      </w:pPr>
      <w:rPr>
        <w:rFonts w:ascii="Symbol" w:hAnsi="Symbol" w:hint="default"/>
      </w:rPr>
    </w:lvl>
  </w:abstractNum>
  <w:abstractNum w15:restartNumberingAfterBreak="0" w:abstractNumId="30">
    <w:nsid w:val="45563D82"/>
    <w:multiLevelType w:val="multilevel"/>
    <w:tmpl w:val="D932F2F0"/>
    <w:lvl w:ilvl="0">
      <w:start w:val="1"/>
      <w:numFmt w:val="decimal"/>
      <w:pStyle w:val="List"/>
      <w:lvlText w:val="%1 )"/>
      <w:lvlJc w:val="left"/>
      <w:pPr>
        <w:tabs>
          <w:tab w:pos="648" w:val="num"/>
        </w:tabs>
        <w:ind w:hanging="360" w:left="648"/>
      </w:pPr>
      <w:rPr>
        <w:rFonts w:hint="default"/>
      </w:rPr>
    </w:lvl>
    <w:lvl w:ilvl="1">
      <w:start w:val="1"/>
      <w:numFmt w:val="decimal"/>
      <w:lvlText w:val="%1.%2 )"/>
      <w:lvlJc w:val="left"/>
      <w:pPr>
        <w:tabs>
          <w:tab w:pos="1224" w:val="num"/>
        </w:tabs>
        <w:ind w:hanging="576" w:left="1224"/>
      </w:pPr>
      <w:rPr>
        <w:rFonts w:hint="default"/>
      </w:rPr>
    </w:lvl>
    <w:lvl w:ilvl="2">
      <w:start w:val="1"/>
      <w:numFmt w:val="decimal"/>
      <w:lvlText w:val="%1.%2.%3 )"/>
      <w:lvlJc w:val="left"/>
      <w:pPr>
        <w:tabs>
          <w:tab w:pos="1872" w:val="num"/>
        </w:tabs>
        <w:ind w:hanging="648" w:left="1872"/>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736" w:val="num"/>
        </w:tabs>
        <w:ind w:hanging="936" w:left="2736"/>
      </w:pPr>
      <w:rPr>
        <w:rFonts w:hint="default"/>
      </w:rPr>
    </w:lvl>
    <w:lvl w:ilvl="6">
      <w:start w:val="1"/>
      <w:numFmt w:val="decimal"/>
      <w:lvlText w:val="%1.%2.%3.%4.%5.%6.%7."/>
      <w:lvlJc w:val="left"/>
      <w:pPr>
        <w:tabs>
          <w:tab w:pos="3240" w:val="num"/>
        </w:tabs>
        <w:ind w:hanging="1080" w:left="3240"/>
      </w:pPr>
      <w:rPr>
        <w:rFonts w:hint="default"/>
      </w:rPr>
    </w:lvl>
    <w:lvl w:ilvl="7">
      <w:start w:val="1"/>
      <w:numFmt w:val="decimal"/>
      <w:lvlText w:val="%1.%2.%3.%4.%5.%6.%7.%8."/>
      <w:lvlJc w:val="left"/>
      <w:pPr>
        <w:tabs>
          <w:tab w:pos="3744"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15:restartNumberingAfterBreak="0" w:abstractNumId="31">
    <w:nsid w:val="4A37594C"/>
    <w:multiLevelType w:val="multilevel"/>
    <w:tmpl w:val="5F0A9484"/>
    <w:lvl w:ilvl="0">
      <w:start w:val="1"/>
      <w:numFmt w:val="lowerRoman"/>
      <w:pStyle w:val="List2"/>
      <w:lvlText w:val="%1 )"/>
      <w:lvlJc w:val="left"/>
      <w:pPr>
        <w:tabs>
          <w:tab w:pos="797" w:val="num"/>
        </w:tabs>
        <w:ind w:hanging="509" w:left="797"/>
      </w:pPr>
      <w:rPr>
        <w:rFonts w:hint="default"/>
      </w:rPr>
    </w:lvl>
    <w:lvl w:ilvl="1">
      <w:start w:val="1"/>
      <w:numFmt w:val="upperLetter"/>
      <w:lvlText w:val="%2 )"/>
      <w:lvlJc w:val="left"/>
      <w:pPr>
        <w:tabs>
          <w:tab w:pos="1229" w:val="num"/>
        </w:tabs>
        <w:ind w:hanging="432" w:left="1229"/>
      </w:pPr>
      <w:rPr>
        <w:rFonts w:hint="default"/>
      </w:rPr>
    </w:lvl>
    <w:lvl w:ilvl="2">
      <w:start w:val="1"/>
      <w:numFmt w:val="decimal"/>
      <w:lvlText w:val="%3 )"/>
      <w:lvlJc w:val="left"/>
      <w:pPr>
        <w:tabs>
          <w:tab w:pos="1589" w:val="num"/>
        </w:tabs>
        <w:ind w:hanging="360" w:left="1589"/>
      </w:pPr>
      <w:rPr>
        <w:rFonts w:hint="default"/>
      </w:rPr>
    </w:lvl>
    <w:lvl w:ilvl="3">
      <w:start w:val="1"/>
      <w:numFmt w:val="bullet"/>
      <w:lvlText w:val=""/>
      <w:lvlJc w:val="left"/>
      <w:pPr>
        <w:tabs>
          <w:tab w:pos="1728" w:val="num"/>
        </w:tabs>
        <w:ind w:hanging="360" w:left="1728"/>
      </w:pPr>
      <w:rPr>
        <w:rFonts w:ascii="Symbol" w:hAnsi="Symbol" w:hint="default"/>
      </w:rPr>
    </w:lvl>
    <w:lvl w:ilvl="4">
      <w:start w:val="1"/>
      <w:numFmt w:val="bullet"/>
      <w:lvlText w:val=""/>
      <w:lvlJc w:val="left"/>
      <w:pPr>
        <w:tabs>
          <w:tab w:pos="2088" w:val="num"/>
        </w:tabs>
        <w:ind w:hanging="360" w:left="2088"/>
      </w:pPr>
      <w:rPr>
        <w:rFonts w:ascii="Symbol" w:hAnsi="Symbol" w:hint="default"/>
      </w:rPr>
    </w:lvl>
    <w:lvl w:ilvl="5">
      <w:start w:val="1"/>
      <w:numFmt w:val="bullet"/>
      <w:lvlText w:val=""/>
      <w:lvlJc w:val="left"/>
      <w:pPr>
        <w:tabs>
          <w:tab w:pos="2448" w:val="num"/>
        </w:tabs>
        <w:ind w:hanging="360" w:left="2448"/>
      </w:pPr>
      <w:rPr>
        <w:rFonts w:ascii="Wingdings" w:hAnsi="Wingdings" w:hint="default"/>
      </w:rPr>
    </w:lvl>
    <w:lvl w:ilvl="6">
      <w:start w:val="1"/>
      <w:numFmt w:val="bullet"/>
      <w:lvlText w:val=""/>
      <w:lvlJc w:val="left"/>
      <w:pPr>
        <w:tabs>
          <w:tab w:pos="2808" w:val="num"/>
        </w:tabs>
        <w:ind w:hanging="360" w:left="2808"/>
      </w:pPr>
      <w:rPr>
        <w:rFonts w:ascii="Wingdings" w:hAnsi="Wingdings" w:hint="default"/>
      </w:rPr>
    </w:lvl>
    <w:lvl w:ilvl="7">
      <w:start w:val="1"/>
      <w:numFmt w:val="bullet"/>
      <w:lvlText w:val=""/>
      <w:lvlJc w:val="left"/>
      <w:pPr>
        <w:tabs>
          <w:tab w:pos="3168" w:val="num"/>
        </w:tabs>
        <w:ind w:hanging="360" w:left="3168"/>
      </w:pPr>
      <w:rPr>
        <w:rFonts w:ascii="Symbol" w:hAnsi="Symbol" w:hint="default"/>
      </w:rPr>
    </w:lvl>
    <w:lvl w:ilvl="8">
      <w:start w:val="1"/>
      <w:numFmt w:val="bullet"/>
      <w:lvlText w:val=""/>
      <w:lvlJc w:val="left"/>
      <w:pPr>
        <w:tabs>
          <w:tab w:pos="3528" w:val="num"/>
        </w:tabs>
        <w:ind w:hanging="360" w:left="3528"/>
      </w:pPr>
      <w:rPr>
        <w:rFonts w:ascii="Symbol" w:hAnsi="Symbol" w:hint="default"/>
      </w:rPr>
    </w:lvl>
  </w:abstractNum>
  <w:abstractNum w15:restartNumberingAfterBreak="0" w:abstractNumId="32">
    <w:nsid w:val="57A50EDB"/>
    <w:multiLevelType w:val="multilevel"/>
    <w:tmpl w:val="08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33">
    <w:nsid w:val="5EB6328C"/>
    <w:multiLevelType w:val="hybridMultilevel"/>
    <w:tmpl w:val="BB96066C"/>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plc="08090005">
      <w:start w:val="1"/>
      <w:numFmt w:val="bullet"/>
      <w:lvlText w:val=""/>
      <w:lvlJc w:val="left"/>
      <w:pPr>
        <w:ind w:hanging="360" w:left="4320"/>
      </w:pPr>
      <w:rPr>
        <w:rFonts w:ascii="Wingdings" w:hAnsi="Wingdings" w:hint="default"/>
      </w:rPr>
    </w:lvl>
    <w:lvl w:ilvl="6" w:tplc="08090001">
      <w:start w:val="1"/>
      <w:numFmt w:val="bullet"/>
      <w:lvlText w:val=""/>
      <w:lvlJc w:val="left"/>
      <w:pPr>
        <w:ind w:hanging="360" w:left="5040"/>
      </w:pPr>
      <w:rPr>
        <w:rFonts w:ascii="Symbol" w:hAnsi="Symbol" w:hint="default"/>
      </w:rPr>
    </w:lvl>
    <w:lvl w:ilvl="7" w:tplc="08090003">
      <w:start w:val="1"/>
      <w:numFmt w:val="bullet"/>
      <w:lvlText w:val="o"/>
      <w:lvlJc w:val="left"/>
      <w:pPr>
        <w:ind w:hanging="360" w:left="5760"/>
      </w:pPr>
      <w:rPr>
        <w:rFonts w:ascii="Courier New" w:cs="Courier New" w:hAnsi="Courier New" w:hint="default"/>
      </w:rPr>
    </w:lvl>
    <w:lvl w:ilvl="8" w:tplc="08090005">
      <w:start w:val="1"/>
      <w:numFmt w:val="bullet"/>
      <w:lvlText w:val=""/>
      <w:lvlJc w:val="left"/>
      <w:pPr>
        <w:ind w:hanging="360" w:left="6480"/>
      </w:pPr>
      <w:rPr>
        <w:rFonts w:ascii="Wingdings" w:hAnsi="Wingdings" w:hint="default"/>
      </w:rPr>
    </w:lvl>
  </w:abstractNum>
  <w:abstractNum w15:restartNumberingAfterBreak="0" w:abstractNumId="34">
    <w:nsid w:val="664F3C9C"/>
    <w:multiLevelType w:val="multilevel"/>
    <w:tmpl w:val="EEAA8906"/>
    <w:lvl w:ilvl="0">
      <w:start w:val="1"/>
      <w:numFmt w:val="bullet"/>
      <w:pStyle w:val="ListBullet"/>
      <w:lvlText w:val=""/>
      <w:lvlJc w:val="left"/>
      <w:pPr>
        <w:tabs>
          <w:tab w:pos="648" w:val="num"/>
        </w:tabs>
        <w:ind w:hanging="360" w:left="648"/>
      </w:pPr>
      <w:rPr>
        <w:rFonts w:ascii="Symbol" w:hAnsi="Symbol" w:hint="default"/>
      </w:rPr>
    </w:lvl>
    <w:lvl w:ilvl="1">
      <w:start w:val="1"/>
      <w:numFmt w:val="bullet"/>
      <w:lvlText w:val=""/>
      <w:lvlJc w:val="left"/>
      <w:pPr>
        <w:tabs>
          <w:tab w:pos="1008" w:val="num"/>
        </w:tabs>
        <w:ind w:hanging="360" w:left="1008"/>
      </w:pPr>
      <w:rPr>
        <w:rFonts w:ascii="Symbol" w:hAnsi="Symbol" w:hint="default"/>
      </w:rPr>
    </w:lvl>
    <w:lvl w:ilvl="2">
      <w:start w:val="1"/>
      <w:numFmt w:val="bullet"/>
      <w:lvlText w:val=""/>
      <w:lvlJc w:val="left"/>
      <w:pPr>
        <w:tabs>
          <w:tab w:pos="1440" w:val="num"/>
        </w:tabs>
        <w:ind w:hanging="432" w:left="1440"/>
      </w:pPr>
      <w:rPr>
        <w:rFonts w:ascii="Wingdings" w:hAnsi="Wingdings" w:hint="default"/>
      </w:rPr>
    </w:lvl>
    <w:lvl w:ilvl="3">
      <w:start w:val="1"/>
      <w:numFmt w:val="bullet"/>
      <w:lvlText w:val=""/>
      <w:lvlJc w:val="left"/>
      <w:pPr>
        <w:tabs>
          <w:tab w:pos="1728" w:val="num"/>
        </w:tabs>
        <w:ind w:hanging="360" w:left="1728"/>
      </w:pPr>
      <w:rPr>
        <w:rFonts w:ascii="Symbol" w:hAnsi="Symbol" w:hint="default"/>
      </w:rPr>
    </w:lvl>
    <w:lvl w:ilvl="4">
      <w:start w:val="1"/>
      <w:numFmt w:val="bullet"/>
      <w:lvlText w:val=""/>
      <w:lvlJc w:val="left"/>
      <w:pPr>
        <w:tabs>
          <w:tab w:pos="2088" w:val="num"/>
        </w:tabs>
        <w:ind w:hanging="360" w:left="2088"/>
      </w:pPr>
      <w:rPr>
        <w:rFonts w:ascii="Symbol" w:hAnsi="Symbol" w:hint="default"/>
      </w:rPr>
    </w:lvl>
    <w:lvl w:ilvl="5">
      <w:start w:val="1"/>
      <w:numFmt w:val="bullet"/>
      <w:lvlText w:val=""/>
      <w:lvlJc w:val="left"/>
      <w:pPr>
        <w:tabs>
          <w:tab w:pos="2448" w:val="num"/>
        </w:tabs>
        <w:ind w:hanging="360" w:left="2448"/>
      </w:pPr>
      <w:rPr>
        <w:rFonts w:ascii="Wingdings" w:hAnsi="Wingdings" w:hint="default"/>
      </w:rPr>
    </w:lvl>
    <w:lvl w:ilvl="6">
      <w:start w:val="1"/>
      <w:numFmt w:val="bullet"/>
      <w:lvlText w:val=""/>
      <w:lvlJc w:val="left"/>
      <w:pPr>
        <w:tabs>
          <w:tab w:pos="2808" w:val="num"/>
        </w:tabs>
        <w:ind w:hanging="360" w:left="2808"/>
      </w:pPr>
      <w:rPr>
        <w:rFonts w:ascii="Wingdings" w:hAnsi="Wingdings" w:hint="default"/>
      </w:rPr>
    </w:lvl>
    <w:lvl w:ilvl="7">
      <w:start w:val="1"/>
      <w:numFmt w:val="bullet"/>
      <w:lvlText w:val=""/>
      <w:lvlJc w:val="left"/>
      <w:pPr>
        <w:tabs>
          <w:tab w:pos="3168" w:val="num"/>
        </w:tabs>
        <w:ind w:hanging="360" w:left="3168"/>
      </w:pPr>
      <w:rPr>
        <w:rFonts w:ascii="Symbol" w:hAnsi="Symbol" w:hint="default"/>
      </w:rPr>
    </w:lvl>
    <w:lvl w:ilvl="8">
      <w:start w:val="1"/>
      <w:numFmt w:val="bullet"/>
      <w:lvlText w:val=""/>
      <w:lvlJc w:val="left"/>
      <w:pPr>
        <w:tabs>
          <w:tab w:pos="3528" w:val="num"/>
        </w:tabs>
        <w:ind w:hanging="360" w:left="3528"/>
      </w:pPr>
      <w:rPr>
        <w:rFonts w:ascii="Symbol" w:hAnsi="Symbol" w:hint="default"/>
      </w:rPr>
    </w:lvl>
  </w:abstractNum>
  <w:abstractNum w15:restartNumberingAfterBreak="0" w:abstractNumId="35">
    <w:nsid w:val="73025547"/>
    <w:multiLevelType w:val="multilevel"/>
    <w:tmpl w:val="08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36">
    <w:nsid w:val="77571F78"/>
    <w:multiLevelType w:val="multilevel"/>
    <w:tmpl w:val="6D06E146"/>
    <w:lvl w:ilvl="0">
      <w:start w:val="1"/>
      <w:numFmt w:val="bullet"/>
      <w:lvlText w:val=""/>
      <w:lvlJc w:val="left"/>
      <w:pPr>
        <w:tabs>
          <w:tab w:pos="648" w:val="num"/>
        </w:tabs>
        <w:ind w:hanging="360" w:left="648"/>
      </w:pPr>
      <w:rPr>
        <w:rFonts w:ascii="Symbol" w:hAnsi="Symbol" w:hint="default"/>
      </w:rPr>
    </w:lvl>
    <w:lvl w:ilvl="1">
      <w:start w:val="1"/>
      <w:numFmt w:val="bullet"/>
      <w:lvlText w:val=""/>
      <w:lvlJc w:val="left"/>
      <w:pPr>
        <w:tabs>
          <w:tab w:pos="1008" w:val="num"/>
        </w:tabs>
        <w:ind w:hanging="360" w:left="1008"/>
      </w:pPr>
      <w:rPr>
        <w:rFonts w:ascii="Symbol" w:hAnsi="Symbol" w:hint="default"/>
      </w:rPr>
    </w:lvl>
    <w:lvl w:ilvl="2">
      <w:start w:val="1"/>
      <w:numFmt w:val="bullet"/>
      <w:lvlText w:val=""/>
      <w:lvlJc w:val="left"/>
      <w:pPr>
        <w:tabs>
          <w:tab w:pos="1584" w:val="num"/>
        </w:tabs>
        <w:ind w:hanging="576" w:left="1584"/>
      </w:pPr>
      <w:rPr>
        <w:rFonts w:ascii="Wingdings" w:hAnsi="Wingdings" w:hint="default"/>
      </w:rPr>
    </w:lvl>
    <w:lvl w:ilvl="3">
      <w:start w:val="1"/>
      <w:numFmt w:val="bullet"/>
      <w:lvlText w:val=""/>
      <w:lvlJc w:val="left"/>
      <w:pPr>
        <w:tabs>
          <w:tab w:pos="1728" w:val="num"/>
        </w:tabs>
        <w:ind w:hanging="360" w:left="1728"/>
      </w:pPr>
      <w:rPr>
        <w:rFonts w:ascii="Symbol" w:hAnsi="Symbol" w:hint="default"/>
      </w:rPr>
    </w:lvl>
    <w:lvl w:ilvl="4">
      <w:start w:val="1"/>
      <w:numFmt w:val="bullet"/>
      <w:lvlText w:val=""/>
      <w:lvlJc w:val="left"/>
      <w:pPr>
        <w:tabs>
          <w:tab w:pos="2088" w:val="num"/>
        </w:tabs>
        <w:ind w:hanging="360" w:left="2088"/>
      </w:pPr>
      <w:rPr>
        <w:rFonts w:ascii="Symbol" w:hAnsi="Symbol" w:hint="default"/>
      </w:rPr>
    </w:lvl>
    <w:lvl w:ilvl="5">
      <w:start w:val="1"/>
      <w:numFmt w:val="bullet"/>
      <w:lvlText w:val=""/>
      <w:lvlJc w:val="left"/>
      <w:pPr>
        <w:tabs>
          <w:tab w:pos="2448" w:val="num"/>
        </w:tabs>
        <w:ind w:hanging="360" w:left="2448"/>
      </w:pPr>
      <w:rPr>
        <w:rFonts w:ascii="Wingdings" w:hAnsi="Wingdings" w:hint="default"/>
      </w:rPr>
    </w:lvl>
    <w:lvl w:ilvl="6">
      <w:start w:val="1"/>
      <w:numFmt w:val="bullet"/>
      <w:lvlText w:val=""/>
      <w:lvlJc w:val="left"/>
      <w:pPr>
        <w:tabs>
          <w:tab w:pos="2808" w:val="num"/>
        </w:tabs>
        <w:ind w:hanging="360" w:left="2808"/>
      </w:pPr>
      <w:rPr>
        <w:rFonts w:ascii="Wingdings" w:hAnsi="Wingdings" w:hint="default"/>
      </w:rPr>
    </w:lvl>
    <w:lvl w:ilvl="7">
      <w:start w:val="1"/>
      <w:numFmt w:val="bullet"/>
      <w:lvlText w:val=""/>
      <w:lvlJc w:val="left"/>
      <w:pPr>
        <w:tabs>
          <w:tab w:pos="3168" w:val="num"/>
        </w:tabs>
        <w:ind w:hanging="360" w:left="3168"/>
      </w:pPr>
      <w:rPr>
        <w:rFonts w:ascii="Symbol" w:hAnsi="Symbol" w:hint="default"/>
      </w:rPr>
    </w:lvl>
    <w:lvl w:ilvl="8">
      <w:start w:val="1"/>
      <w:numFmt w:val="bullet"/>
      <w:lvlText w:val=""/>
      <w:lvlJc w:val="left"/>
      <w:pPr>
        <w:tabs>
          <w:tab w:pos="3528" w:val="num"/>
        </w:tabs>
        <w:ind w:hanging="360" w:left="3528"/>
      </w:pPr>
      <w:rPr>
        <w:rFonts w:ascii="Symbol" w:hAnsi="Symbol" w:hint="default"/>
      </w:rPr>
    </w:lvl>
  </w:abstractNum>
  <w:abstractNum w15:restartNumberingAfterBreak="0" w:abstractNumId="37">
    <w:nsid w:val="78E75604"/>
    <w:multiLevelType w:val="multilevel"/>
    <w:tmpl w:val="34BA1DF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38">
    <w:nsid w:val="79947FE1"/>
    <w:multiLevelType w:val="hybridMultilevel"/>
    <w:tmpl w:val="D6D43D2A"/>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9">
    <w:nsid w:val="7EA55E49"/>
    <w:multiLevelType w:val="multilevel"/>
    <w:tmpl w:val="08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34"/>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30"/>
  </w:num>
  <w:num w:numId="12">
    <w:abstractNumId w:val="31"/>
  </w:num>
  <w:num w:numId="13">
    <w:abstractNumId w:val="28"/>
  </w:num>
  <w:num w:numId="14">
    <w:abstractNumId w:val="26"/>
  </w:num>
  <w:num w:numId="15">
    <w:abstractNumId w:val="15"/>
  </w:num>
  <w:num w:numId="16">
    <w:abstractNumId w:val="24"/>
  </w:num>
  <w:num w:numId="17">
    <w:abstractNumId w:val="12"/>
  </w:num>
  <w:num w:numId="18">
    <w:abstractNumId w:val="17"/>
  </w:num>
  <w:num w:numId="19">
    <w:abstractNumId w:val="36"/>
  </w:num>
  <w:num w:numId="20">
    <w:abstractNumId w:val="29"/>
  </w:num>
  <w:num w:numId="21">
    <w:abstractNumId w:val="13"/>
  </w:num>
  <w:num w:numId="22">
    <w:abstractNumId w:val="23"/>
  </w:num>
  <w:num w:numId="23">
    <w:abstractNumId w:val="32"/>
  </w:num>
  <w:num w:numId="24">
    <w:abstractNumId w:val="19"/>
  </w:num>
  <w:num w:numId="25">
    <w:abstractNumId w:val="22"/>
  </w:num>
  <w:num w:numId="26">
    <w:abstractNumId w:val="39"/>
  </w:num>
  <w:num w:numId="27">
    <w:abstractNumId w:val="20"/>
  </w:num>
  <w:num w:numId="28">
    <w:abstractNumId w:val="16"/>
  </w:num>
  <w:num w:numId="29">
    <w:abstractNumId w:val="35"/>
  </w:num>
  <w:num w:numId="30">
    <w:abstractNumId w:val="19"/>
  </w:num>
  <w:num w:numId="31">
    <w:abstractNumId w:val="19"/>
  </w:num>
  <w:num w:numId="32">
    <w:abstractNumId w:val="19"/>
  </w:num>
  <w:num w:numId="33">
    <w:abstractNumId w:val="19"/>
  </w:num>
  <w:num w:numId="34">
    <w:abstractNumId w:val="19"/>
  </w:num>
  <w:num w:numId="35">
    <w:abstractNumId w:val="19"/>
  </w:num>
  <w:num w:numId="36">
    <w:abstractNumId w:val="19"/>
  </w:num>
  <w:num w:numId="37">
    <w:abstractNumId w:val="33"/>
  </w:num>
  <w:num w:numId="38">
    <w:abstractNumId w:val="1"/>
  </w:num>
  <w:num w:numId="39">
    <w:abstractNumId w:val="27"/>
  </w:num>
  <w:num w:numId="40">
    <w:abstractNumId w:val="21"/>
  </w:num>
  <w:num w:numId="41">
    <w:abstractNumId w:val="38"/>
  </w:num>
  <w:num w:numId="42">
    <w:abstractNumId w:val="25"/>
  </w:num>
  <w:num w:numId="43">
    <w:abstractNumId w:val="18"/>
  </w:num>
  <w:num w:numId="44">
    <w:abstractNumId w:val="14"/>
  </w:num>
  <w:num w:numId="45">
    <w:abstractNumId w:val="11"/>
  </w:num>
  <w:num w:numId="46">
    <w:abstractNumId w:val="0"/>
  </w:num>
  <w:num w:numId="47">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defaultTabStop w:val="720"/>
  <w:autoHyphenation/>
  <w:consecutiveHyphenLimit w:val="2"/>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Calibri" w:cs="Times New Roman" w:eastAsia="Times New Roman" w:hAnsi="Calibri"/>
        <w:color w:val="0D5489"/>
        <w:sz w:val="24"/>
        <w:szCs w:val="24"/>
        <w:lang w:bidi="ar-SA" w:eastAsia="en-GB"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Preformatted" w:uiPriority="99"/>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E0FCC"/>
    <w:pPr>
      <w:spacing w:after="120" w:line="300" w:lineRule="auto"/>
      <w:jc w:val="both"/>
    </w:pPr>
  </w:style>
  <w:style w:styleId="Heading1" w:type="paragraph">
    <w:name w:val="heading 1"/>
    <w:next w:val="Normal"/>
    <w:qFormat/>
    <w:rsid w:val="00D85FEF"/>
    <w:pPr>
      <w:keepNext/>
      <w:pageBreakBefore/>
      <w:numPr>
        <w:numId w:val="36"/>
      </w:numPr>
      <w:pBdr>
        <w:bottom w:color="808080" w:space="1" w:sz="2" w:val="single"/>
      </w:pBdr>
      <w:spacing w:after="240" w:before="240"/>
      <w:ind w:hanging="635"/>
      <w:outlineLvl w:val="0"/>
    </w:pPr>
    <w:rPr>
      <w:rFonts w:cs="Arial"/>
      <w:b/>
      <w:bCs/>
      <w:color w:val="0B3363"/>
      <w:spacing w:val="10"/>
      <w:kern w:val="32"/>
      <w:sz w:val="40"/>
      <w:szCs w:val="32"/>
      <w:lang w:eastAsia="en-US"/>
    </w:rPr>
  </w:style>
  <w:style w:styleId="Heading2" w:type="paragraph">
    <w:name w:val="heading 2"/>
    <w:basedOn w:val="Heading1"/>
    <w:next w:val="Normal"/>
    <w:qFormat/>
    <w:rsid w:val="00D85FEF"/>
    <w:pPr>
      <w:pageBreakBefore w:val="0"/>
      <w:numPr>
        <w:ilvl w:val="1"/>
      </w:numPr>
      <w:pBdr>
        <w:bottom w:color="auto" w:space="0" w:sz="0" w:val="none"/>
      </w:pBdr>
      <w:spacing w:after="120"/>
      <w:ind w:hanging="635"/>
      <w:outlineLvl w:val="1"/>
    </w:pPr>
    <w:rPr>
      <w:bCs w:val="0"/>
      <w:iCs/>
      <w:sz w:val="28"/>
      <w:szCs w:val="28"/>
    </w:rPr>
  </w:style>
  <w:style w:styleId="Heading3" w:type="paragraph">
    <w:name w:val="heading 3"/>
    <w:basedOn w:val="Heading1"/>
    <w:next w:val="Normal"/>
    <w:qFormat/>
    <w:rsid w:val="008E7756"/>
    <w:pPr>
      <w:pageBreakBefore w:val="0"/>
      <w:numPr>
        <w:ilvl w:val="2"/>
      </w:numPr>
      <w:pBdr>
        <w:bottom w:color="auto" w:space="0" w:sz="0" w:val="none"/>
      </w:pBdr>
      <w:spacing w:after="120"/>
      <w:outlineLvl w:val="2"/>
    </w:pPr>
    <w:rPr>
      <w:bCs w:val="0"/>
      <w:color w:val="77C2C8"/>
      <w:sz w:val="24"/>
      <w:szCs w:val="26"/>
    </w:rPr>
  </w:style>
  <w:style w:styleId="Heading4" w:type="paragraph">
    <w:name w:val="heading 4"/>
    <w:basedOn w:val="Heading1"/>
    <w:next w:val="Normal"/>
    <w:rsid w:val="000052A6"/>
    <w:pPr>
      <w:numPr>
        <w:ilvl w:val="3"/>
      </w:numPr>
      <w:pBdr>
        <w:bottom w:color="auto" w:space="0" w:sz="0" w:val="none"/>
      </w:pBdr>
      <w:spacing w:after="120"/>
      <w:outlineLvl w:val="3"/>
    </w:pPr>
    <w:rPr>
      <w:bCs w:val="0"/>
      <w:spacing w:val="6"/>
      <w:sz w:val="16"/>
      <w:szCs w:val="28"/>
    </w:rPr>
  </w:style>
  <w:style w:styleId="Heading5" w:type="paragraph">
    <w:name w:val="heading 5"/>
    <w:basedOn w:val="Heading1"/>
    <w:next w:val="Normal"/>
    <w:rsid w:val="00AA79BA"/>
    <w:pPr>
      <w:keepNext w:val="0"/>
      <w:widowControl w:val="0"/>
      <w:numPr>
        <w:ilvl w:val="4"/>
      </w:numPr>
      <w:pBdr>
        <w:bottom w:color="auto" w:space="0" w:sz="0" w:val="none"/>
      </w:pBdr>
      <w:tabs>
        <w:tab w:pos="1008" w:val="left"/>
      </w:tabs>
      <w:spacing w:after="120"/>
      <w:outlineLvl w:val="4"/>
    </w:pPr>
    <w:rPr>
      <w:bCs w:val="0"/>
      <w:iCs/>
      <w:color w:themeColor="background1" w:val="FFFFFF"/>
      <w:spacing w:val="6"/>
      <w:sz w:val="16"/>
      <w:szCs w:val="26"/>
    </w:rPr>
  </w:style>
  <w:style w:styleId="Heading6" w:type="paragraph">
    <w:name w:val="heading 6"/>
    <w:basedOn w:val="Normal"/>
    <w:next w:val="Normal"/>
    <w:rsid w:val="005F1BD4"/>
    <w:pPr>
      <w:spacing w:before="240"/>
      <w:outlineLvl w:val="5"/>
    </w:pPr>
    <w:rPr>
      <w:b/>
      <w:bCs/>
      <w:sz w:val="22"/>
      <w:szCs w:val="22"/>
    </w:rPr>
  </w:style>
  <w:style w:styleId="Heading7" w:type="paragraph">
    <w:name w:val="heading 7"/>
    <w:basedOn w:val="Normal"/>
    <w:next w:val="Normal"/>
    <w:rsid w:val="00D618D0"/>
    <w:pPr>
      <w:spacing w:after="60" w:before="240"/>
      <w:outlineLvl w:val="6"/>
    </w:pPr>
  </w:style>
  <w:style w:styleId="Heading8" w:type="paragraph">
    <w:name w:val="heading 8"/>
    <w:basedOn w:val="Normal"/>
    <w:next w:val="Normal"/>
    <w:rsid w:val="00D618D0"/>
    <w:pPr>
      <w:spacing w:after="60" w:before="240"/>
      <w:outlineLvl w:val="7"/>
    </w:pPr>
    <w:rPr>
      <w:i/>
      <w:iCs/>
    </w:rPr>
  </w:style>
  <w:style w:styleId="Heading9" w:type="paragraph">
    <w:name w:val="heading 9"/>
    <w:basedOn w:val="Normal"/>
    <w:next w:val="Normal"/>
    <w:rsid w:val="00D618D0"/>
    <w:pPr>
      <w:spacing w:after="60" w:before="240"/>
      <w:outlineLvl w:val="8"/>
    </w:pPr>
    <w:rPr>
      <w:rFonts w:ascii="Arial" w:cs="Arial"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 w:type="paragraph">
    <w:name w:val="List"/>
    <w:rsid w:val="00E40CEE"/>
    <w:pPr>
      <w:numPr>
        <w:numId w:val="11"/>
      </w:numPr>
      <w:spacing w:after="60" w:before="60"/>
      <w:ind w:right="288"/>
      <w:jc w:val="both"/>
    </w:pPr>
    <w:rPr>
      <w:rFonts w:ascii="Palatino Linotype" w:hAnsi="Palatino Linotype"/>
    </w:rPr>
  </w:style>
  <w:style w:styleId="List2" w:type="paragraph">
    <w:name w:val="List 2"/>
    <w:rsid w:val="00E40CEE"/>
    <w:pPr>
      <w:numPr>
        <w:numId w:val="12"/>
      </w:numPr>
      <w:spacing w:after="60" w:before="60"/>
      <w:ind w:hanging="504" w:left="792" w:right="288"/>
      <w:jc w:val="both"/>
    </w:pPr>
    <w:rPr>
      <w:rFonts w:ascii="Palatino Linotype" w:hAnsi="Palatino Linotype"/>
      <w:lang w:eastAsia="en-US"/>
    </w:rPr>
  </w:style>
  <w:style w:styleId="List3" w:type="paragraph">
    <w:name w:val="List 3"/>
    <w:rsid w:val="00E40CEE"/>
    <w:pPr>
      <w:numPr>
        <w:numId w:val="15"/>
      </w:numPr>
      <w:spacing w:after="60" w:before="60"/>
      <w:ind w:right="288"/>
      <w:jc w:val="both"/>
    </w:pPr>
    <w:rPr>
      <w:rFonts w:ascii="Palatino Linotype" w:hAnsi="Palatino Linotype"/>
      <w:lang w:eastAsia="en-US"/>
    </w:rPr>
  </w:style>
  <w:style w:styleId="ListBullet" w:type="paragraph">
    <w:name w:val="List Bullet"/>
    <w:rsid w:val="00E40CEE"/>
    <w:pPr>
      <w:numPr>
        <w:numId w:val="1"/>
      </w:numPr>
      <w:spacing w:after="60" w:before="60"/>
      <w:ind w:right="288"/>
      <w:jc w:val="both"/>
    </w:pPr>
    <w:rPr>
      <w:rFonts w:ascii="Palatino Linotype" w:hAnsi="Palatino Linotype"/>
      <w:lang w:eastAsia="en-US"/>
    </w:rPr>
  </w:style>
  <w:style w:styleId="List4" w:type="paragraph">
    <w:name w:val="List 4"/>
    <w:basedOn w:val="Normal"/>
    <w:rsid w:val="00330C50"/>
    <w:pPr>
      <w:ind w:hanging="283" w:left="1132"/>
    </w:pPr>
  </w:style>
  <w:style w:styleId="Header" w:type="paragraph">
    <w:name w:val="header"/>
    <w:rsid w:val="000052A6"/>
    <w:pPr>
      <w:tabs>
        <w:tab w:pos="7560" w:val="left"/>
      </w:tabs>
      <w:ind w:left="-720" w:right="-1152"/>
    </w:pPr>
    <w:rPr>
      <w:rFonts w:ascii="Futura Md BT" w:hAnsi="Futura Md BT"/>
      <w:sz w:val="16"/>
      <w:lang w:eastAsia="en-US"/>
    </w:rPr>
  </w:style>
  <w:style w:styleId="Footer" w:type="paragraph">
    <w:name w:val="footer"/>
    <w:basedOn w:val="Normal"/>
    <w:link w:val="FooterChar"/>
    <w:uiPriority w:val="99"/>
    <w:rsid w:val="00D90847"/>
    <w:pPr>
      <w:tabs>
        <w:tab w:pos="4153" w:val="center"/>
        <w:tab w:pos="8306" w:val="right"/>
      </w:tabs>
    </w:pPr>
  </w:style>
  <w:style w:styleId="PageNumber" w:type="character">
    <w:name w:val="page number"/>
    <w:rsid w:val="00435F87"/>
    <w:rPr>
      <w:rFonts w:ascii="Futura Md BT" w:hAnsi="Futura Md BT"/>
      <w:sz w:val="16"/>
    </w:rPr>
  </w:style>
  <w:style w:customStyle="1" w:styleId="Equations" w:type="paragraph">
    <w:name w:val="Equations"/>
    <w:next w:val="Normal"/>
    <w:rsid w:val="000052A6"/>
    <w:pPr>
      <w:tabs>
        <w:tab w:pos="7416" w:val="right"/>
      </w:tabs>
      <w:ind w:left="288"/>
    </w:pPr>
    <w:rPr>
      <w:rFonts w:ascii="Palatino Linotype" w:hAnsi="Palatino Linotype"/>
      <w:lang w:eastAsia="en-US"/>
    </w:rPr>
  </w:style>
  <w:style w:customStyle="1" w:styleId="Front1" w:type="paragraph">
    <w:name w:val="Front1"/>
    <w:basedOn w:val="Normal"/>
    <w:next w:val="Front2"/>
    <w:rsid w:val="000052A6"/>
    <w:pPr>
      <w:spacing w:after="0"/>
      <w:jc w:val="left"/>
    </w:pPr>
    <w:rPr>
      <w:b/>
      <w:sz w:val="28"/>
      <w:szCs w:val="28"/>
    </w:rPr>
  </w:style>
  <w:style w:customStyle="1" w:styleId="Front2" w:type="paragraph">
    <w:name w:val="Front2"/>
    <w:basedOn w:val="Front1"/>
    <w:rsid w:val="000052A6"/>
    <w:pPr>
      <w:spacing w:before="240"/>
    </w:pPr>
    <w:rPr>
      <w:b w:val="0"/>
      <w:sz w:val="20"/>
    </w:rPr>
  </w:style>
  <w:style w:customStyle="1" w:styleId="Front3" w:type="paragraph">
    <w:name w:val="Front3"/>
    <w:basedOn w:val="Front1"/>
    <w:rsid w:val="000052A6"/>
    <w:rPr>
      <w:b w:val="0"/>
      <w:sz w:val="20"/>
    </w:rPr>
  </w:style>
  <w:style w:customStyle="1" w:styleId="Front4" w:type="paragraph">
    <w:name w:val="Front4"/>
    <w:basedOn w:val="Front1"/>
    <w:rsid w:val="000052A6"/>
    <w:pPr>
      <w:spacing w:after="240"/>
    </w:pPr>
    <w:rPr>
      <w:b w:val="0"/>
      <w:sz w:val="20"/>
    </w:rPr>
  </w:style>
  <w:style w:customStyle="1" w:styleId="Hheading1" w:type="paragraph">
    <w:name w:val="Hheading 1"/>
    <w:next w:val="Normal"/>
    <w:qFormat/>
    <w:rsid w:val="005242A6"/>
    <w:pPr>
      <w:keepNext/>
      <w:pBdr>
        <w:bottom w:color="0B3363" w:space="1" w:sz="4" w:val="single"/>
      </w:pBdr>
      <w:spacing w:after="240" w:before="240"/>
      <w:ind w:hanging="634"/>
    </w:pPr>
    <w:rPr>
      <w:rFonts w:cs="Arial"/>
      <w:b/>
      <w:bCs/>
      <w:color w:val="0B3363"/>
      <w:spacing w:val="22"/>
      <w:kern w:val="32"/>
      <w:sz w:val="40"/>
      <w:szCs w:val="22"/>
      <w:lang w:eastAsia="en-US"/>
    </w:rPr>
  </w:style>
  <w:style w:customStyle="1" w:styleId="Hheading2" w:type="paragraph">
    <w:name w:val="Hheading 2"/>
    <w:next w:val="Normal"/>
    <w:qFormat/>
    <w:rsid w:val="008063DD"/>
    <w:pPr>
      <w:keepNext/>
      <w:spacing w:after="120" w:before="240"/>
    </w:pPr>
    <w:rPr>
      <w:rFonts w:cs="Arial"/>
      <w:b/>
      <w:bCs/>
      <w:color w:val="0B3363"/>
      <w:spacing w:val="10"/>
      <w:kern w:val="32"/>
      <w:sz w:val="28"/>
      <w:lang w:eastAsia="en-US"/>
    </w:rPr>
  </w:style>
  <w:style w:customStyle="1" w:styleId="Hheading3" w:type="paragraph">
    <w:name w:val="Hheading 3"/>
    <w:next w:val="Normal"/>
    <w:qFormat/>
    <w:rsid w:val="001A3A90"/>
    <w:pPr>
      <w:keepNext/>
      <w:spacing w:after="120" w:before="240"/>
    </w:pPr>
    <w:rPr>
      <w:rFonts w:cs="Arial"/>
      <w:b/>
      <w:bCs/>
      <w:color w:val="77C2C8"/>
      <w:spacing w:val="6"/>
      <w:kern w:val="32"/>
      <w:szCs w:val="18"/>
      <w:lang w:eastAsia="en-US"/>
    </w:rPr>
  </w:style>
  <w:style w:customStyle="1" w:styleId="IllustrationCaption" w:type="paragraph">
    <w:name w:val="Illustration Caption"/>
    <w:basedOn w:val="Normal"/>
    <w:next w:val="Normal"/>
    <w:rsid w:val="000052A6"/>
    <w:pPr>
      <w:keepLines/>
      <w:spacing w:after="240" w:before="240"/>
    </w:pPr>
    <w:rPr>
      <w:b/>
      <w:sz w:val="17"/>
      <w:szCs w:val="18"/>
    </w:rPr>
  </w:style>
  <w:style w:styleId="Caption" w:type="paragraph">
    <w:name w:val="caption"/>
    <w:basedOn w:val="Normal"/>
    <w:next w:val="Normal"/>
    <w:qFormat/>
    <w:rsid w:val="00AA491D"/>
    <w:pPr>
      <w:spacing w:line="240" w:lineRule="auto"/>
    </w:pPr>
    <w:rPr>
      <w:bCs/>
      <w:i/>
      <w:sz w:val="20"/>
    </w:rPr>
  </w:style>
  <w:style w:customStyle="1" w:styleId="Illustration1" w:type="paragraph">
    <w:name w:val="Illustration1"/>
    <w:next w:val="IllustrationCaption"/>
    <w:rsid w:val="00D00E66"/>
    <w:pPr>
      <w:keepNext/>
      <w:keepLines/>
      <w:spacing w:after="240" w:before="240"/>
      <w:jc w:val="center"/>
    </w:pPr>
    <w:rPr>
      <w:rFonts w:ascii="Palatino Linotype" w:hAnsi="Palatino Linotype"/>
      <w:sz w:val="16"/>
      <w:szCs w:val="16"/>
      <w:lang w:eastAsia="en-US"/>
    </w:rPr>
  </w:style>
  <w:style w:customStyle="1" w:styleId="Reference" w:type="paragraph">
    <w:name w:val="Reference"/>
    <w:basedOn w:val="Normal"/>
    <w:rsid w:val="00140CE8"/>
    <w:pPr>
      <w:spacing w:after="0"/>
      <w:ind w:hanging="360" w:left="360"/>
    </w:pPr>
    <w:rPr>
      <w:sz w:val="18"/>
    </w:rPr>
  </w:style>
  <w:style w:customStyle="1" w:styleId="table" w:type="paragraph">
    <w:name w:val="table"/>
    <w:rsid w:val="00140CE8"/>
    <w:pPr>
      <w:spacing w:after="30" w:before="30"/>
    </w:pPr>
    <w:rPr>
      <w:rFonts w:ascii="Palatino Linotype" w:hAnsi="Palatino Linotype"/>
      <w:noProof/>
      <w:sz w:val="17"/>
      <w:lang w:eastAsia="en-US"/>
    </w:rPr>
  </w:style>
  <w:style w:customStyle="1" w:styleId="TableCaption" w:type="paragraph">
    <w:name w:val="Table Caption"/>
    <w:basedOn w:val="Normal"/>
    <w:next w:val="Normal"/>
    <w:rsid w:val="000052A6"/>
    <w:pPr>
      <w:keepNext/>
      <w:keepLines/>
      <w:spacing w:after="240" w:before="240"/>
    </w:pPr>
    <w:rPr>
      <w:b/>
      <w:sz w:val="17"/>
      <w:szCs w:val="18"/>
    </w:rPr>
  </w:style>
  <w:style w:styleId="TableGrid" w:type="table">
    <w:name w:val="Table Grid"/>
    <w:basedOn w:val="TableNormal"/>
    <w:rsid w:val="00140CE8"/>
    <w:pPr>
      <w:spacing w:after="30" w:before="30"/>
    </w:pPr>
    <w:rPr>
      <w:rFonts w:ascii="Palatino Linotype" w:hAnsi="Palatino Linotype"/>
      <w:sz w:val="16"/>
    </w:rPr>
    <w:tblPr>
      <w:tblStyleRowBandSize w:val="1"/>
      <w:tblStyleColBandSize w:val="1"/>
      <w:tblInd w:type="dxa" w:w="288"/>
      <w:tblBorders>
        <w:top w:color="808080" w:space="0" w:sz="4" w:val="single"/>
        <w:bottom w:color="808080" w:space="0" w:sz="4" w:val="single"/>
        <w:insideH w:color="808080" w:space="0" w:sz="4" w:val="single"/>
      </w:tblBorders>
    </w:tblPr>
    <w:tblStylePr w:type="firstRow">
      <w:pPr>
        <w:wordWrap/>
        <w:spacing w:after="30" w:afterAutospacing="0" w:afterLines="0" w:before="30" w:beforeAutospacing="0" w:beforeLines="0" w:line="240" w:lineRule="auto"/>
        <w:ind w:firstLine="0" w:firstLineChars="0" w:left="0" w:leftChars="0" w:right="0" w:rightChars="0"/>
        <w:jc w:val="left"/>
        <w:outlineLvl w:val="9"/>
      </w:pPr>
      <w:rPr>
        <w:rFonts w:ascii="Calibri" w:hAnsi="Calibri"/>
        <w:b/>
        <w:i w:val="0"/>
        <w:caps w:val="0"/>
        <w:smallCaps/>
        <w:color w:val="auto"/>
        <w:spacing w:val="10"/>
        <w:w w:val="100"/>
        <w:kern w:val="15"/>
        <w:position w:val="0"/>
        <w:sz w:val="15"/>
        <w:u w:val="none"/>
      </w:rPr>
      <w:tblPr/>
      <w:tcPr>
        <w:tcBorders>
          <w:top w:color="auto" w:space="0" w:sz="4" w:val="single"/>
          <w:left w:val="nil"/>
          <w:bottom w:color="auto" w:space="0" w:sz="4" w:val="single"/>
          <w:right w:val="nil"/>
          <w:insideH w:val="nil"/>
          <w:insideV w:val="nil"/>
          <w:tl2br w:val="nil"/>
          <w:tr2bl w:val="nil"/>
        </w:tcBorders>
      </w:tcPr>
    </w:tblStylePr>
    <w:tblStylePr w:type="lastRow">
      <w:pPr>
        <w:keepNext w:val="0"/>
        <w:keepLines w:val="0"/>
        <w:pageBreakBefore w:val="0"/>
        <w:widowControl w:val="0"/>
        <w:suppressLineNumbers w:val="0"/>
        <w:suppressAutoHyphens w:val="0"/>
        <w:wordWrap/>
        <w:spacing w:after="30" w:afterAutospacing="0" w:afterLines="30" w:before="30" w:beforeAutospacing="0" w:beforeLines="30" w:line="240" w:lineRule="auto"/>
        <w:ind w:left="0" w:leftChars="0" w:right="0" w:rightChars="0"/>
        <w:jc w:val="left"/>
        <w:outlineLvl w:val="9"/>
      </w:pPr>
      <w:rPr>
        <w:rFonts w:ascii="Corbel" w:hAnsi="Corbel"/>
        <w:b w:val="0"/>
        <w:i w:val="0"/>
        <w:color w:val="auto"/>
        <w:spacing w:val="0"/>
        <w:w w:val="100"/>
        <w:kern w:val="16"/>
        <w:position w:val="0"/>
        <w:sz w:val="16"/>
        <w:u w:val="none"/>
      </w:rPr>
      <w:tblPr/>
      <w:tcPr>
        <w:tcBorders>
          <w:top w:color="808080" w:space="0" w:sz="4" w:val="single"/>
          <w:left w:val="nil"/>
          <w:bottom w:color="auto" w:space="0" w:sz="4" w:val="single"/>
          <w:right w:val="nil"/>
          <w:insideH w:val="nil"/>
          <w:insideV w:val="nil"/>
          <w:tl2br w:val="nil"/>
          <w:tr2bl w:val="nil"/>
        </w:tcBorders>
      </w:tcPr>
    </w:tblStylePr>
    <w:tblStylePr w:type="firstCol">
      <w:pPr>
        <w:keepNext w:val="0"/>
        <w:keepLines w:val="0"/>
        <w:pageBreakBefore w:val="0"/>
        <w:widowControl w:val="0"/>
        <w:suppressLineNumbers w:val="0"/>
        <w:suppressAutoHyphens w:val="0"/>
        <w:wordWrap/>
        <w:spacing w:after="30" w:afterAutospacing="0" w:afterLines="0" w:before="30" w:beforeAutospacing="0" w:beforeLines="0" w:line="240" w:lineRule="auto"/>
        <w:ind w:firstLine="0" w:firstLineChars="0" w:left="0" w:leftChars="0" w:right="0" w:rightChars="0"/>
        <w:jc w:val="left"/>
        <w:outlineLvl w:val="9"/>
      </w:pPr>
      <w:rPr>
        <w:rFonts w:ascii="Corbel" w:hAnsi="Corbel"/>
        <w:b w:val="0"/>
        <w:i w:val="0"/>
        <w:color w:val="auto"/>
        <w:spacing w:val="0"/>
        <w:w w:val="100"/>
        <w:kern w:val="16"/>
        <w:position w:val="0"/>
        <w:sz w:val="16"/>
        <w:u w:val="none"/>
      </w:rPr>
      <w:tblPr/>
      <w:tcPr>
        <w:tcBorders>
          <w:top w:color="808080" w:space="0" w:sz="4" w:val="single"/>
          <w:left w:val="nil"/>
          <w:bottom w:color="808080" w:space="0" w:sz="4" w:val="single"/>
          <w:right w:val="nil"/>
          <w:insideH w:val="nil"/>
          <w:insideV w:val="nil"/>
          <w:tl2br w:val="nil"/>
          <w:tr2bl w:val="nil"/>
        </w:tcBorders>
      </w:tcPr>
    </w:tblStylePr>
    <w:tblStylePr w:type="lastCol">
      <w:pPr>
        <w:keepNext w:val="0"/>
        <w:keepLines w:val="0"/>
        <w:pageBreakBefore w:val="0"/>
        <w:widowControl w:val="0"/>
        <w:suppressLineNumbers w:val="0"/>
        <w:suppressAutoHyphens w:val="0"/>
        <w:wordWrap/>
        <w:spacing w:after="30" w:afterAutospacing="0" w:afterLines="0" w:before="30" w:beforeAutospacing="0" w:beforeLines="0" w:line="240" w:lineRule="auto"/>
        <w:ind w:firstLine="0" w:firstLineChars="0" w:left="0" w:leftChars="0" w:right="0" w:rightChars="0"/>
        <w:jc w:val="left"/>
        <w:outlineLvl w:val="9"/>
      </w:pPr>
      <w:rPr>
        <w:rFonts w:ascii="Corbel" w:hAnsi="Corbel"/>
        <w:b w:val="0"/>
        <w:i w:val="0"/>
        <w:color w:val="auto"/>
        <w:spacing w:val="0"/>
        <w:w w:val="100"/>
        <w:kern w:val="16"/>
        <w:position w:val="0"/>
        <w:sz w:val="16"/>
        <w:u w:val="none"/>
      </w:rPr>
      <w:tblPr/>
      <w:tcPr>
        <w:tcBorders>
          <w:top w:color="808080" w:space="0" w:sz="4" w:val="single"/>
          <w:left w:val="nil"/>
          <w:bottom w:color="808080" w:space="0" w:sz="4" w:val="single"/>
          <w:right w:val="nil"/>
          <w:insideH w:val="nil"/>
          <w:insideV w:val="nil"/>
          <w:tl2br w:val="nil"/>
          <w:tr2bl w:val="nil"/>
        </w:tcBorders>
      </w:tcPr>
    </w:tblStylePr>
    <w:tblStylePr w:type="band1Vert">
      <w:pPr>
        <w:keepNext w:val="0"/>
        <w:keepLines w:val="0"/>
        <w:pageBreakBefore w:val="0"/>
        <w:widowControl w:val="0"/>
        <w:suppressLineNumbers w:val="0"/>
        <w:suppressAutoHyphens w:val="0"/>
        <w:wordWrap/>
        <w:spacing w:after="30" w:afterAutospacing="0" w:afterLines="0" w:before="30" w:beforeAutospacing="0" w:beforeLines="0" w:line="240" w:lineRule="auto"/>
        <w:ind w:firstLine="0" w:firstLineChars="0" w:left="0" w:leftChars="0" w:right="0" w:rightChars="0"/>
        <w:jc w:val="left"/>
        <w:outlineLvl w:val="9"/>
      </w:pPr>
      <w:rPr>
        <w:rFonts w:ascii="Corbel" w:hAnsi="Corbel"/>
        <w:b w:val="0"/>
        <w:i w:val="0"/>
        <w:color w:val="auto"/>
        <w:spacing w:val="0"/>
        <w:w w:val="100"/>
        <w:kern w:val="16"/>
        <w:position w:val="0"/>
        <w:sz w:val="16"/>
        <w:u w:val="none"/>
      </w:rPr>
      <w:tblPr/>
      <w:tcPr>
        <w:tcBorders>
          <w:top w:color="808080" w:space="0" w:sz="4" w:val="single"/>
          <w:left w:val="nil"/>
          <w:bottom w:color="808080" w:space="0" w:sz="4" w:val="single"/>
          <w:right w:val="nil"/>
          <w:insideH w:val="nil"/>
          <w:insideV w:val="nil"/>
          <w:tl2br w:val="nil"/>
          <w:tr2bl w:val="nil"/>
        </w:tcBorders>
      </w:tcPr>
    </w:tblStylePr>
    <w:tblStylePr w:type="band2Vert">
      <w:pPr>
        <w:wordWrap/>
        <w:spacing w:after="30" w:afterAutospacing="0" w:afterLines="0" w:before="30" w:beforeAutospacing="0" w:beforeLines="0" w:line="240" w:lineRule="auto"/>
        <w:ind w:firstLine="0" w:firstLineChars="0" w:left="0" w:leftChars="0" w:right="0" w:rightChars="0"/>
        <w:jc w:val="left"/>
      </w:pPr>
      <w:rPr>
        <w:rFonts w:ascii="Corbel" w:hAnsi="Corbel"/>
        <w:b w:val="0"/>
        <w:i w:val="0"/>
        <w:color w:val="auto"/>
        <w:spacing w:val="0"/>
        <w:w w:val="100"/>
        <w:kern w:val="16"/>
        <w:position w:val="0"/>
        <w:sz w:val="16"/>
        <w:u w:val="none"/>
      </w:rPr>
      <w:tblPr/>
      <w:tcPr>
        <w:tcBorders>
          <w:top w:color="808080" w:space="0" w:sz="4" w:val="single"/>
          <w:left w:val="nil"/>
          <w:bottom w:color="808080" w:space="0" w:sz="4" w:val="single"/>
          <w:right w:val="nil"/>
          <w:insideH w:val="nil"/>
          <w:insideV w:val="nil"/>
          <w:tl2br w:val="nil"/>
          <w:tr2bl w:val="nil"/>
        </w:tcBorders>
      </w:tcPr>
    </w:tblStylePr>
    <w:tblStylePr w:type="band1Horz">
      <w:pPr>
        <w:keepNext w:val="0"/>
        <w:keepLines w:val="0"/>
        <w:pageBreakBefore w:val="0"/>
        <w:widowControl w:val="0"/>
        <w:suppressLineNumbers w:val="0"/>
        <w:suppressAutoHyphens w:val="0"/>
        <w:wordWrap/>
        <w:spacing w:after="30" w:afterAutospacing="0" w:afterLines="0" w:before="30" w:beforeAutospacing="0" w:beforeLines="0" w:line="240" w:lineRule="auto"/>
        <w:ind w:firstLine="0" w:firstLineChars="0" w:left="0" w:leftChars="0" w:right="0" w:rightChars="0"/>
        <w:jc w:val="left"/>
      </w:pPr>
      <w:rPr>
        <w:rFonts w:ascii="Corbel" w:hAnsi="Corbel"/>
        <w:b w:val="0"/>
        <w:i w:val="0"/>
        <w:color w:val="auto"/>
        <w:spacing w:val="0"/>
        <w:w w:val="100"/>
        <w:kern w:val="16"/>
        <w:position w:val="0"/>
        <w:sz w:val="16"/>
        <w:u w:val="none"/>
      </w:rPr>
      <w:tblPr/>
      <w:tcPr>
        <w:tcBorders>
          <w:top w:color="808080" w:space="0" w:sz="4" w:val="single"/>
          <w:left w:val="nil"/>
          <w:bottom w:color="808080" w:space="0" w:sz="4" w:val="single"/>
          <w:right w:val="nil"/>
          <w:insideH w:val="nil"/>
          <w:insideV w:val="nil"/>
          <w:tl2br w:val="nil"/>
          <w:tr2bl w:val="nil"/>
        </w:tcBorders>
      </w:tcPr>
    </w:tblStylePr>
    <w:tblStylePr w:type="band2Horz">
      <w:pPr>
        <w:keepNext w:val="0"/>
        <w:keepLines w:val="0"/>
        <w:pageBreakBefore w:val="0"/>
        <w:widowControl w:val="0"/>
        <w:suppressLineNumbers w:val="0"/>
        <w:suppressAutoHyphens w:val="0"/>
        <w:wordWrap/>
        <w:spacing w:after="30" w:afterAutospacing="0" w:afterLines="0" w:before="30" w:beforeAutospacing="0" w:beforeLines="0" w:line="240" w:lineRule="auto"/>
        <w:ind w:firstLine="0" w:firstLineChars="0" w:left="0" w:leftChars="0" w:right="0" w:rightChars="0"/>
        <w:jc w:val="left"/>
        <w:outlineLvl w:val="9"/>
      </w:pPr>
      <w:rPr>
        <w:rFonts w:ascii="Corbel" w:hAnsi="Corbel"/>
        <w:b w:val="0"/>
        <w:i w:val="0"/>
        <w:color w:val="auto"/>
        <w:spacing w:val="0"/>
        <w:w w:val="100"/>
        <w:kern w:val="16"/>
        <w:position w:val="0"/>
        <w:sz w:val="16"/>
        <w:u w:val="none"/>
      </w:rPr>
      <w:tblPr/>
      <w:tcPr>
        <w:tcBorders>
          <w:top w:color="808080" w:space="0" w:sz="4" w:val="single"/>
          <w:left w:val="nil"/>
          <w:bottom w:color="808080" w:space="0" w:sz="4" w:val="single"/>
          <w:right w:val="nil"/>
          <w:insideH w:val="nil"/>
          <w:insideV w:val="nil"/>
          <w:tl2br w:val="nil"/>
          <w:tr2bl w:val="nil"/>
        </w:tcBorders>
      </w:tcPr>
    </w:tblStylePr>
  </w:style>
  <w:style w:customStyle="1" w:styleId="TableNotes" w:type="paragraph">
    <w:name w:val="Table Notes"/>
    <w:basedOn w:val="Normal"/>
    <w:rsid w:val="002F24EA"/>
    <w:pPr>
      <w:spacing w:after="60" w:before="60"/>
    </w:pPr>
    <w:rPr>
      <w:b/>
      <w:sz w:val="16"/>
      <w:szCs w:val="16"/>
    </w:rPr>
  </w:style>
  <w:style w:customStyle="1" w:styleId="TableTop" w:type="paragraph">
    <w:name w:val="Table Top"/>
    <w:basedOn w:val="table"/>
    <w:rsid w:val="00526715"/>
    <w:pPr>
      <w:keepNext/>
      <w:jc w:val="center"/>
    </w:pPr>
    <w:rPr>
      <w:rFonts w:ascii="Futura Md BT" w:hAnsi="Futura Md BT"/>
      <w:b/>
      <w:bCs/>
      <w:smallCaps/>
      <w:spacing w:val="6"/>
      <w:sz w:val="15"/>
      <w:szCs w:val="15"/>
    </w:rPr>
  </w:style>
  <w:style w:styleId="PlaceholderText" w:type="character">
    <w:name w:val="Placeholder Text"/>
    <w:basedOn w:val="DefaultParagraphFont"/>
    <w:uiPriority w:val="99"/>
    <w:semiHidden/>
    <w:rsid w:val="00471C55"/>
    <w:rPr>
      <w:color w:val="808080"/>
    </w:rPr>
  </w:style>
  <w:style w:customStyle="1" w:styleId="Title1" w:type="paragraph">
    <w:name w:val="Title1"/>
    <w:basedOn w:val="Normal"/>
    <w:rsid w:val="00A12E3E"/>
    <w:pPr>
      <w:jc w:val="center"/>
    </w:pPr>
    <w:rPr>
      <w:color w:val="9BCBD4"/>
      <w:sz w:val="56"/>
      <w:szCs w:val="56"/>
    </w:rPr>
  </w:style>
  <w:style w:customStyle="1" w:styleId="Title2" w:type="paragraph">
    <w:name w:val="Title2"/>
    <w:basedOn w:val="Normal"/>
    <w:next w:val="Normal"/>
    <w:rsid w:val="00A12E3E"/>
    <w:rPr>
      <w:sz w:val="58"/>
      <w:szCs w:val="58"/>
    </w:rPr>
  </w:style>
  <w:style w:customStyle="1" w:styleId="Title3" w:type="paragraph">
    <w:name w:val="Title3"/>
    <w:basedOn w:val="Normal"/>
    <w:rsid w:val="00A12E3E"/>
    <w:rPr>
      <w:sz w:val="32"/>
      <w:szCs w:val="32"/>
    </w:rPr>
  </w:style>
  <w:style w:customStyle="1" w:styleId="Title4" w:type="paragraph">
    <w:name w:val="Title4"/>
    <w:basedOn w:val="Footer"/>
    <w:rsid w:val="00A12E3E"/>
    <w:rPr>
      <w:sz w:val="28"/>
      <w:szCs w:val="28"/>
    </w:rPr>
  </w:style>
  <w:style w:customStyle="1" w:styleId="HeadinginTOC" w:type="paragraph">
    <w:name w:val="Heading in TOC"/>
    <w:next w:val="Normal"/>
    <w:rsid w:val="000052A6"/>
    <w:pPr>
      <w:keepNext/>
      <w:pBdr>
        <w:bottom w:color="808080" w:space="1" w:sz="4" w:val="single"/>
      </w:pBdr>
      <w:spacing w:after="240" w:before="240"/>
      <w:ind w:hanging="634"/>
      <w:outlineLvl w:val="0"/>
    </w:pPr>
    <w:rPr>
      <w:rFonts w:ascii="Futura Md BT" w:cs="Arial" w:hAnsi="Futura Md BT"/>
      <w:b/>
      <w:bCs/>
      <w:spacing w:val="10"/>
      <w:kern w:val="32"/>
      <w:sz w:val="22"/>
      <w:szCs w:val="22"/>
      <w:lang w:eastAsia="en-US"/>
    </w:rPr>
  </w:style>
  <w:style w:styleId="TOC1" w:type="paragraph">
    <w:name w:val="toc 1"/>
    <w:basedOn w:val="Normal"/>
    <w:next w:val="Normal"/>
    <w:uiPriority w:val="39"/>
    <w:rsid w:val="009749EA"/>
    <w:pPr>
      <w:tabs>
        <w:tab w:leader="dot" w:pos="7575" w:val="right"/>
      </w:tabs>
      <w:spacing w:after="80" w:before="200"/>
      <w:ind w:hanging="432" w:left="432" w:right="720"/>
    </w:pPr>
    <w:rPr>
      <w:b/>
      <w:noProof/>
      <w:lang w:val="en-US"/>
    </w:rPr>
  </w:style>
  <w:style w:styleId="TOC2" w:type="paragraph">
    <w:name w:val="toc 2"/>
    <w:basedOn w:val="Normal"/>
    <w:next w:val="Normal"/>
    <w:uiPriority w:val="39"/>
    <w:rsid w:val="00CC433C"/>
    <w:pPr>
      <w:tabs>
        <w:tab w:leader="dot" w:pos="7576" w:val="right"/>
      </w:tabs>
      <w:spacing w:after="60" w:before="80"/>
      <w:ind w:hanging="504" w:left="936" w:right="720"/>
    </w:pPr>
  </w:style>
  <w:style w:styleId="TOC3" w:type="paragraph">
    <w:name w:val="toc 3"/>
    <w:basedOn w:val="Normal"/>
    <w:next w:val="Normal"/>
    <w:uiPriority w:val="39"/>
    <w:rsid w:val="00CC433C"/>
    <w:pPr>
      <w:tabs>
        <w:tab w:leader="dot" w:pos="7574" w:val="right"/>
      </w:tabs>
      <w:spacing w:after="0" w:before="20"/>
      <w:ind w:hanging="576" w:left="1584" w:right="720"/>
    </w:pPr>
  </w:style>
  <w:style w:styleId="Hyperlink" w:type="character">
    <w:name w:val="Hyperlink"/>
    <w:uiPriority w:val="99"/>
    <w:rsid w:val="00CC433C"/>
    <w:rPr>
      <w:color w:val="0000FF"/>
      <w:u w:val="single"/>
    </w:rPr>
  </w:style>
  <w:style w:customStyle="1" w:styleId="Authors" w:type="paragraph">
    <w:name w:val="Authors"/>
    <w:basedOn w:val="Normal"/>
    <w:next w:val="Normal"/>
    <w:rsid w:val="000052A6"/>
    <w:pPr>
      <w:spacing w:after="240" w:before="240"/>
      <w:jc w:val="left"/>
    </w:pPr>
    <w:rPr>
      <w:b/>
      <w:sz w:val="21"/>
    </w:rPr>
  </w:style>
  <w:style w:customStyle="1" w:styleId="Title5" w:type="paragraph">
    <w:name w:val="Title5"/>
    <w:basedOn w:val="Title4"/>
    <w:rsid w:val="000052A6"/>
    <w:pPr>
      <w:spacing w:after="0" w:before="1440"/>
    </w:pPr>
    <w:rPr>
      <w:smallCaps/>
    </w:rPr>
  </w:style>
  <w:style w:styleId="ListParagraph" w:type="paragraph">
    <w:name w:val="List Paragraph"/>
    <w:basedOn w:val="Normal"/>
    <w:uiPriority w:val="34"/>
    <w:qFormat/>
    <w:rsid w:val="00441EC7"/>
    <w:pPr>
      <w:ind w:left="720"/>
      <w:contextualSpacing/>
    </w:pPr>
  </w:style>
  <w:style w:styleId="TOCHeading" w:type="paragraph">
    <w:name w:val="TOC Heading"/>
    <w:basedOn w:val="Heading1"/>
    <w:next w:val="Normal"/>
    <w:uiPriority w:val="39"/>
    <w:unhideWhenUsed/>
    <w:qFormat/>
    <w:rsid w:val="009A3464"/>
    <w:pPr>
      <w:keepLines/>
      <w:numPr>
        <w:numId w:val="0"/>
      </w:numPr>
      <w:pBdr>
        <w:bottom w:color="auto" w:space="0" w:sz="0" w:val="none"/>
      </w:pBdr>
      <w:spacing w:after="0" w:line="259" w:lineRule="auto"/>
      <w:outlineLvl w:val="9"/>
    </w:pPr>
    <w:rPr>
      <w:rFonts w:asciiTheme="majorHAnsi" w:cstheme="majorBidi" w:eastAsiaTheme="majorEastAsia" w:hAnsiTheme="majorHAnsi"/>
      <w:b w:val="0"/>
      <w:bCs w:val="0"/>
      <w:color w:themeColor="accent1" w:themeShade="BF" w:val="2E74B5"/>
      <w:spacing w:val="0"/>
      <w:kern w:val="0"/>
      <w:sz w:val="32"/>
      <w:lang w:val="en-US"/>
    </w:rPr>
  </w:style>
  <w:style w:styleId="TOC4" w:type="paragraph">
    <w:name w:val="toc 4"/>
    <w:basedOn w:val="Normal"/>
    <w:next w:val="Normal"/>
    <w:autoRedefine/>
    <w:uiPriority w:val="39"/>
    <w:unhideWhenUsed/>
    <w:rsid w:val="001545B1"/>
    <w:pPr>
      <w:spacing w:after="100" w:line="259" w:lineRule="auto"/>
      <w:ind w:left="660"/>
      <w:jc w:val="left"/>
    </w:pPr>
    <w:rPr>
      <w:rFonts w:cstheme="minorBidi" w:eastAsiaTheme="minorEastAsia"/>
      <w:sz w:val="22"/>
      <w:szCs w:val="22"/>
    </w:rPr>
  </w:style>
  <w:style w:styleId="TOC5" w:type="paragraph">
    <w:name w:val="toc 5"/>
    <w:basedOn w:val="Normal"/>
    <w:next w:val="Normal"/>
    <w:autoRedefine/>
    <w:uiPriority w:val="39"/>
    <w:unhideWhenUsed/>
    <w:rsid w:val="001545B1"/>
    <w:pPr>
      <w:spacing w:after="100" w:line="259" w:lineRule="auto"/>
      <w:ind w:left="880"/>
      <w:jc w:val="left"/>
    </w:pPr>
    <w:rPr>
      <w:rFonts w:cstheme="minorBidi" w:eastAsiaTheme="minorEastAsia"/>
      <w:sz w:val="22"/>
      <w:szCs w:val="22"/>
    </w:rPr>
  </w:style>
  <w:style w:styleId="TOC6" w:type="paragraph">
    <w:name w:val="toc 6"/>
    <w:basedOn w:val="Normal"/>
    <w:next w:val="Normal"/>
    <w:autoRedefine/>
    <w:uiPriority w:val="39"/>
    <w:unhideWhenUsed/>
    <w:rsid w:val="001545B1"/>
    <w:pPr>
      <w:spacing w:after="100" w:line="259" w:lineRule="auto"/>
      <w:ind w:left="1100"/>
      <w:jc w:val="left"/>
    </w:pPr>
    <w:rPr>
      <w:rFonts w:cstheme="minorBidi" w:eastAsiaTheme="minorEastAsia"/>
      <w:sz w:val="22"/>
      <w:szCs w:val="22"/>
    </w:rPr>
  </w:style>
  <w:style w:styleId="TOC7" w:type="paragraph">
    <w:name w:val="toc 7"/>
    <w:basedOn w:val="Normal"/>
    <w:next w:val="Normal"/>
    <w:autoRedefine/>
    <w:uiPriority w:val="39"/>
    <w:unhideWhenUsed/>
    <w:rsid w:val="001545B1"/>
    <w:pPr>
      <w:spacing w:after="100" w:line="259" w:lineRule="auto"/>
      <w:ind w:left="1320"/>
      <w:jc w:val="left"/>
    </w:pPr>
    <w:rPr>
      <w:rFonts w:cstheme="minorBidi" w:eastAsiaTheme="minorEastAsia"/>
      <w:sz w:val="22"/>
      <w:szCs w:val="22"/>
    </w:rPr>
  </w:style>
  <w:style w:styleId="TOC8" w:type="paragraph">
    <w:name w:val="toc 8"/>
    <w:basedOn w:val="Normal"/>
    <w:next w:val="Normal"/>
    <w:autoRedefine/>
    <w:uiPriority w:val="39"/>
    <w:unhideWhenUsed/>
    <w:rsid w:val="001545B1"/>
    <w:pPr>
      <w:spacing w:after="100" w:line="259" w:lineRule="auto"/>
      <w:ind w:left="1540"/>
      <w:jc w:val="left"/>
    </w:pPr>
    <w:rPr>
      <w:rFonts w:cstheme="minorBidi" w:eastAsiaTheme="minorEastAsia"/>
      <w:sz w:val="22"/>
      <w:szCs w:val="22"/>
    </w:rPr>
  </w:style>
  <w:style w:styleId="TOC9" w:type="paragraph">
    <w:name w:val="toc 9"/>
    <w:basedOn w:val="Normal"/>
    <w:next w:val="Normal"/>
    <w:autoRedefine/>
    <w:uiPriority w:val="39"/>
    <w:unhideWhenUsed/>
    <w:rsid w:val="001545B1"/>
    <w:pPr>
      <w:spacing w:after="100" w:line="259" w:lineRule="auto"/>
      <w:ind w:left="1760"/>
      <w:jc w:val="left"/>
    </w:pPr>
    <w:rPr>
      <w:rFonts w:cstheme="minorBidi" w:eastAsiaTheme="minorEastAsia"/>
      <w:sz w:val="22"/>
      <w:szCs w:val="22"/>
    </w:rPr>
  </w:style>
  <w:style w:customStyle="1" w:styleId="EndNoteBibliographyTitle" w:type="paragraph">
    <w:name w:val="EndNote Bibliography Title"/>
    <w:basedOn w:val="Normal"/>
    <w:link w:val="EndNoteBibliographyTitleChar"/>
    <w:rsid w:val="0059546E"/>
    <w:pPr>
      <w:spacing w:after="0"/>
      <w:jc w:val="center"/>
    </w:pPr>
    <w:rPr>
      <w:rFonts w:ascii="Palatino Linotype" w:hAnsi="Palatino Linotype"/>
      <w:noProof/>
      <w:sz w:val="20"/>
      <w:lang w:val="en-US"/>
    </w:rPr>
  </w:style>
  <w:style w:customStyle="1" w:styleId="EndNoteBibliographyTitleChar" w:type="character">
    <w:name w:val="EndNote Bibliography Title Char"/>
    <w:basedOn w:val="DefaultParagraphFont"/>
    <w:link w:val="EndNoteBibliographyTitle"/>
    <w:rsid w:val="0059546E"/>
    <w:rPr>
      <w:rFonts w:ascii="Palatino Linotype" w:hAnsi="Palatino Linotype"/>
      <w:noProof/>
      <w:sz w:val="20"/>
      <w:lang w:val="en-US"/>
    </w:rPr>
  </w:style>
  <w:style w:customStyle="1" w:styleId="EndNoteBibliography" w:type="paragraph">
    <w:name w:val="EndNote Bibliography"/>
    <w:basedOn w:val="Normal"/>
    <w:link w:val="EndNoteBibliographyChar"/>
    <w:rsid w:val="0059546E"/>
    <w:pPr>
      <w:spacing w:line="240" w:lineRule="auto"/>
    </w:pPr>
    <w:rPr>
      <w:rFonts w:ascii="Palatino Linotype" w:hAnsi="Palatino Linotype"/>
      <w:noProof/>
      <w:sz w:val="20"/>
      <w:lang w:val="en-US"/>
    </w:rPr>
  </w:style>
  <w:style w:customStyle="1" w:styleId="EndNoteBibliographyChar" w:type="character">
    <w:name w:val="EndNote Bibliography Char"/>
    <w:basedOn w:val="DefaultParagraphFont"/>
    <w:link w:val="EndNoteBibliography"/>
    <w:rsid w:val="0059546E"/>
    <w:rPr>
      <w:rFonts w:ascii="Palatino Linotype" w:hAnsi="Palatino Linotype"/>
      <w:noProof/>
      <w:sz w:val="20"/>
      <w:lang w:val="en-US"/>
    </w:rPr>
  </w:style>
  <w:style w:customStyle="1" w:styleId="FooterChar" w:type="character">
    <w:name w:val="Footer Char"/>
    <w:basedOn w:val="DefaultParagraphFont"/>
    <w:link w:val="Footer"/>
    <w:uiPriority w:val="99"/>
    <w:rsid w:val="00665D2B"/>
    <w:rPr>
      <w:rFonts w:ascii="Palatino Linotype" w:hAnsi="Palatino Linotype"/>
      <w:lang w:eastAsia="en-US"/>
    </w:rPr>
  </w:style>
  <w:style w:styleId="Strong" w:type="character">
    <w:name w:val="Strong"/>
    <w:basedOn w:val="DefaultParagraphFont"/>
    <w:qFormat/>
    <w:rsid w:val="00CA38FA"/>
    <w:rPr>
      <w:rFonts w:ascii="Calibri" w:hAnsi="Calibri"/>
      <w:b/>
      <w:bCs/>
      <w:sz w:val="24"/>
    </w:rPr>
  </w:style>
  <w:style w:customStyle="1" w:styleId="Normalcompressed" w:type="paragraph">
    <w:name w:val="Normal compressed"/>
    <w:basedOn w:val="Normal"/>
    <w:link w:val="NormalcompressedChar"/>
    <w:qFormat/>
    <w:rsid w:val="00857B20"/>
    <w:pPr>
      <w:spacing w:after="0"/>
    </w:pPr>
  </w:style>
  <w:style w:customStyle="1" w:styleId="NormalcompressedChar" w:type="character">
    <w:name w:val="Normal compressed Char"/>
    <w:basedOn w:val="DefaultParagraphFont"/>
    <w:link w:val="Normalcompressed"/>
    <w:rsid w:val="00857B20"/>
    <w:rPr>
      <w:rFonts w:asciiTheme="minorHAnsi" w:hAnsiTheme="minorHAnsi"/>
      <w:color w:val="0D5489"/>
      <w:sz w:val="24"/>
      <w:lang w:eastAsia="en-US"/>
    </w:rPr>
  </w:style>
  <w:style w:styleId="CommentText" w:type="paragraph">
    <w:name w:val="annotation text"/>
    <w:basedOn w:val="Normal"/>
    <w:link w:val="CommentTextChar"/>
    <w:rsid w:val="00940C05"/>
    <w:pPr>
      <w:spacing w:line="240" w:lineRule="auto"/>
    </w:pPr>
    <w:rPr>
      <w:sz w:val="20"/>
    </w:rPr>
  </w:style>
  <w:style w:customStyle="1" w:styleId="CommentTextChar" w:type="character">
    <w:name w:val="Comment Text Char"/>
    <w:basedOn w:val="DefaultParagraphFont"/>
    <w:link w:val="CommentText"/>
    <w:rsid w:val="00940C05"/>
    <w:rPr>
      <w:rFonts w:asciiTheme="minorHAnsi" w:hAnsiTheme="minorHAnsi"/>
      <w:color w:val="0D5489"/>
      <w:lang w:eastAsia="en-US"/>
    </w:rPr>
  </w:style>
  <w:style w:styleId="CommentSubject" w:type="paragraph">
    <w:name w:val="annotation subject"/>
    <w:basedOn w:val="CommentText"/>
    <w:next w:val="CommentText"/>
    <w:link w:val="CommentSubjectChar"/>
    <w:rsid w:val="00940C05"/>
    <w:rPr>
      <w:b/>
      <w:bCs/>
    </w:rPr>
  </w:style>
  <w:style w:customStyle="1" w:styleId="CommentSubjectChar" w:type="character">
    <w:name w:val="Comment Subject Char"/>
    <w:basedOn w:val="CommentTextChar"/>
    <w:link w:val="CommentSubject"/>
    <w:rsid w:val="00940C05"/>
    <w:rPr>
      <w:rFonts w:asciiTheme="minorHAnsi" w:hAnsiTheme="minorHAnsi"/>
      <w:b/>
      <w:bCs/>
      <w:color w:val="0D5489"/>
      <w:lang w:eastAsia="en-US"/>
    </w:rPr>
  </w:style>
  <w:style w:customStyle="1" w:styleId="1NormaalPFA" w:type="paragraph">
    <w:name w:val="1. Normaal PFA"/>
    <w:basedOn w:val="Normal"/>
    <w:link w:val="1NormaalPFAChar"/>
    <w:autoRedefine/>
    <w:qFormat/>
    <w:rsid w:val="008369B6"/>
    <w:pPr>
      <w:widowControl w:val="0"/>
      <w:suppressAutoHyphens/>
      <w:autoSpaceDE w:val="0"/>
    </w:pPr>
    <w:rPr>
      <w:rFonts w:asciiTheme="minorHAnsi" w:eastAsia="Calibri" w:hAnsiTheme="minorHAnsi"/>
      <w:color w:val="004577"/>
      <w:kern w:val="1"/>
      <w:lang w:bidi="hi-IN" w:eastAsia="hi-IN" w:val="nl-NL"/>
    </w:rPr>
  </w:style>
  <w:style w:customStyle="1" w:styleId="2KoptekstPFA" w:type="paragraph">
    <w:name w:val="2. Koptekst PFA"/>
    <w:basedOn w:val="Heading2"/>
    <w:next w:val="1NormaalPFA"/>
    <w:autoRedefine/>
    <w:qFormat/>
    <w:rsid w:val="008369B6"/>
    <w:pPr>
      <w:keepLines/>
      <w:widowControl w:val="0"/>
      <w:numPr>
        <w:ilvl w:val="0"/>
        <w:numId w:val="0"/>
      </w:numPr>
      <w:suppressAutoHyphens/>
      <w:autoSpaceDE w:val="0"/>
    </w:pPr>
    <w:rPr>
      <w:rFonts w:cs="Calibri" w:eastAsia="Calibri"/>
      <w:bCs/>
      <w:iCs w:val="0"/>
      <w:color w:val="77C2C8"/>
      <w:spacing w:val="0"/>
      <w:kern w:val="1"/>
      <w:sz w:val="24"/>
      <w:szCs w:val="24"/>
      <w:lang w:bidi="hi-IN" w:eastAsia="hi-IN" w:val="nl-NL"/>
    </w:rPr>
  </w:style>
  <w:style w:customStyle="1" w:styleId="1NormaalPFAChar" w:type="character">
    <w:name w:val="1. Normaal PFA Char"/>
    <w:basedOn w:val="DefaultParagraphFont"/>
    <w:link w:val="1NormaalPFA"/>
    <w:rsid w:val="008369B6"/>
    <w:rPr>
      <w:rFonts w:asciiTheme="minorHAnsi" w:eastAsia="Calibri" w:hAnsiTheme="minorHAnsi"/>
      <w:color w:val="004577"/>
      <w:kern w:val="1"/>
      <w:lang w:bidi="hi-IN" w:eastAsia="hi-IN" w:val="nl-NL"/>
    </w:rPr>
  </w:style>
  <w:style w:styleId="HTMLPreformatted" w:type="paragraph">
    <w:name w:val="HTML Preformatted"/>
    <w:basedOn w:val="Normal"/>
    <w:link w:val="HTMLPreformattedChar"/>
    <w:uiPriority w:val="99"/>
    <w:unhideWhenUsed/>
    <w:rsid w:val="0006758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after="0" w:line="240" w:lineRule="auto"/>
      <w:jc w:val="left"/>
    </w:pPr>
    <w:rPr>
      <w:rFonts w:ascii="Courier New" w:cs="Courier New" w:hAnsi="Courier New"/>
      <w:color w:val="auto"/>
      <w:sz w:val="20"/>
      <w:lang w:eastAsia="en-US" w:val="en-US"/>
    </w:rPr>
  </w:style>
  <w:style w:customStyle="1" w:styleId="HTMLPreformattedChar" w:type="character">
    <w:name w:val="HTML Preformatted Char"/>
    <w:basedOn w:val="DefaultParagraphFont"/>
    <w:link w:val="HTMLPreformatted"/>
    <w:uiPriority w:val="99"/>
    <w:rsid w:val="0006758B"/>
    <w:rPr>
      <w:rFonts w:ascii="Courier New" w:cs="Courier New" w:hAnsi="Courier New"/>
      <w:color w:val="auto"/>
      <w:sz w:val="20"/>
      <w:lang w:eastAsia="en-US" w:val="en-US"/>
    </w:rPr>
  </w:style>
  <w:style w:customStyle="1" w:styleId="gghfmyibcpb" w:type="character">
    <w:name w:val="gghfmyibcpb"/>
    <w:basedOn w:val="DefaultParagraphFont"/>
    <w:rsid w:val="000657F9"/>
  </w:style>
  <w:style w:customStyle="1" w:styleId="gghfmyibcob" w:type="character">
    <w:name w:val="gghfmyibcob"/>
    <w:basedOn w:val="DefaultParagraphFont"/>
    <w:rsid w:val="000657F9"/>
  </w:style>
  <w:style w:styleId="BalloonText" w:type="paragraph">
    <w:name w:val="Balloon Text"/>
    <w:basedOn w:val="Normal"/>
    <w:link w:val="BalloonTextChar"/>
    <w:rsid w:val="008847AB"/>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rsid w:val="008847AB"/>
    <w:rPr>
      <w:rFonts w:ascii="Segoe UI" w:cs="Segoe UI" w:hAnsi="Segoe UI"/>
      <w:sz w:val="18"/>
      <w:szCs w:val="18"/>
    </w:rPr>
  </w:style>
  <w:style w:styleId="FootnoteText" w:type="paragraph">
    <w:name w:val="footnote text"/>
    <w:basedOn w:val="Normal"/>
    <w:link w:val="FootnoteTextChar"/>
    <w:rsid w:val="00D3036A"/>
    <w:pPr>
      <w:spacing w:after="0" w:line="240" w:lineRule="auto"/>
    </w:pPr>
    <w:rPr>
      <w:sz w:val="20"/>
    </w:rPr>
  </w:style>
  <w:style w:customStyle="1" w:styleId="FootnoteTextChar" w:type="character">
    <w:name w:val="Footnote Text Char"/>
    <w:basedOn w:val="DefaultParagraphFont"/>
    <w:link w:val="FootnoteText"/>
    <w:rsid w:val="00D3036A"/>
    <w:rPr>
      <w:sz w:val="20"/>
    </w:rPr>
  </w:style>
  <w:style w:styleId="FootnoteReference" w:type="character">
    <w:name w:val="footnote reference"/>
    <w:basedOn w:val="DefaultParagraphFont"/>
    <w:rsid w:val="00D3036A"/>
    <w:rPr>
      <w:vertAlign w:val="superscript"/>
    </w:rPr>
  </w:style>
  <w:style w:customStyle="1" w:styleId="SourceCode" w:type="paragraph">
    <w:name w:val="Source Code"/>
    <w:basedOn w:val="Normal"/>
    <w:qFormat/>
    <w:rsid w:val="008C5E8A"/>
    <w:pPr>
      <w:jc w:val="left"/>
    </w:pPr>
    <w:rPr>
      <w:rFonts w:ascii="Courier New" w:hAnsi="Courier New"/>
      <w:sz w:val="12"/>
    </w:r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096281">
      <w:bodyDiv w:val="1"/>
      <w:marLeft w:val="0"/>
      <w:marRight w:val="0"/>
      <w:marTop w:val="0"/>
      <w:marBottom w:val="0"/>
      <w:divBdr>
        <w:top w:val="none" w:sz="0" w:space="0" w:color="auto"/>
        <w:left w:val="none" w:sz="0" w:space="0" w:color="auto"/>
        <w:bottom w:val="none" w:sz="0" w:space="0" w:color="auto"/>
        <w:right w:val="none" w:sz="0" w:space="0" w:color="auto"/>
      </w:divBdr>
    </w:div>
    <w:div w:id="263659582">
      <w:bodyDiv w:val="1"/>
      <w:marLeft w:val="0"/>
      <w:marRight w:val="0"/>
      <w:marTop w:val="0"/>
      <w:marBottom w:val="0"/>
      <w:divBdr>
        <w:top w:val="none" w:sz="0" w:space="0" w:color="auto"/>
        <w:left w:val="none" w:sz="0" w:space="0" w:color="auto"/>
        <w:bottom w:val="none" w:sz="0" w:space="0" w:color="auto"/>
        <w:right w:val="none" w:sz="0" w:space="0" w:color="auto"/>
      </w:divBdr>
    </w:div>
    <w:div w:id="692264320">
      <w:bodyDiv w:val="1"/>
      <w:marLeft w:val="0"/>
      <w:marRight w:val="0"/>
      <w:marTop w:val="0"/>
      <w:marBottom w:val="0"/>
      <w:divBdr>
        <w:top w:val="none" w:sz="0" w:space="0" w:color="auto"/>
        <w:left w:val="none" w:sz="0" w:space="0" w:color="auto"/>
        <w:bottom w:val="none" w:sz="0" w:space="0" w:color="auto"/>
        <w:right w:val="none" w:sz="0" w:space="0" w:color="auto"/>
      </w:divBdr>
    </w:div>
    <w:div w:id="798376354">
      <w:bodyDiv w:val="1"/>
      <w:marLeft w:val="0"/>
      <w:marRight w:val="0"/>
      <w:marTop w:val="0"/>
      <w:marBottom w:val="0"/>
      <w:divBdr>
        <w:top w:val="none" w:sz="0" w:space="0" w:color="auto"/>
        <w:left w:val="none" w:sz="0" w:space="0" w:color="auto"/>
        <w:bottom w:val="none" w:sz="0" w:space="0" w:color="auto"/>
        <w:right w:val="none" w:sz="0" w:space="0" w:color="auto"/>
      </w:divBdr>
    </w:div>
    <w:div w:id="1209143011">
      <w:bodyDiv w:val="1"/>
      <w:marLeft w:val="0"/>
      <w:marRight w:val="0"/>
      <w:marTop w:val="0"/>
      <w:marBottom w:val="0"/>
      <w:divBdr>
        <w:top w:val="none" w:sz="0" w:space="0" w:color="auto"/>
        <w:left w:val="none" w:sz="0" w:space="0" w:color="auto"/>
        <w:bottom w:val="none" w:sz="0" w:space="0" w:color="auto"/>
        <w:right w:val="none" w:sz="0" w:space="0" w:color="auto"/>
      </w:divBdr>
    </w:div>
    <w:div w:id="194611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25" Target="https://viewer.openearth.nl/compendium-greater-north-sea/" TargetMode="External" /><Relationship Type="http://schemas.openxmlformats.org/officeDocument/2006/relationships/hyperlink" Id="rId24" Target="https://viewer.openearth.nl/ihm-viewer" TargetMode="External" /></Relationships>
</file>

<file path=word/_rels/footnotes.xml.rels><?xml version="1.0" encoding="UTF-8"?><Relationships xmlns="http://schemas.openxmlformats.org/package/2006/relationships"><Relationship Type="http://schemas.openxmlformats.org/officeDocument/2006/relationships/hyperlink" Id="rId25" Target="https://viewer.openearth.nl/compendium-greater-north-sea/" TargetMode="External" /><Relationship Type="http://schemas.openxmlformats.org/officeDocument/2006/relationships/hyperlink" Id="rId24" Target="https://viewer.openearth.nl/ihm-view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PFA_report_template_v1.9.dotx</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2025-01-24T10:03:10Z</dcterms:created>
  <dcterms:modified xsi:type="dcterms:W3CDTF">2025-01-24T10:03:10Z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