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Vergelijking</w:t>
      </w:r>
      <w:r>
        <w:t xml:space="preserve"> </w:t>
      </w:r>
      <w:r>
        <w:t xml:space="preserve">aanvoer,</w:t>
      </w:r>
      <w:r>
        <w:t xml:space="preserve"> </w:t>
      </w:r>
      <w:r>
        <w:t xml:space="preserve">import</w:t>
      </w:r>
      <w:r>
        <w:t xml:space="preserve"> </w:t>
      </w:r>
      <w:r>
        <w:t xml:space="preserve">en</w:t>
      </w:r>
      <w:r>
        <w:t xml:space="preserve"> </w:t>
      </w:r>
      <w:r>
        <w:t xml:space="preserve">export</w:t>
      </w:r>
      <w:r>
        <w:t xml:space="preserve"> </w:t>
      </w:r>
      <w:r>
        <w:t xml:space="preserve">per</w:t>
      </w:r>
      <w:r>
        <w:t xml:space="preserve"> </w:t>
      </w:r>
      <w:r>
        <w:t xml:space="preserve">soort</w:t>
      </w:r>
    </w:p>
    <w:p>
      <w:pPr>
        <w:pStyle w:val="Subtitle"/>
      </w:pPr>
      <w:r>
        <w:t xml:space="preserve">AER</w:t>
      </w:r>
      <w:r>
        <w:t xml:space="preserve"> </w:t>
      </w:r>
      <w:r>
        <w:t xml:space="preserve">(STECF)</w:t>
      </w:r>
      <w:r>
        <w:t xml:space="preserve"> </w:t>
      </w:r>
      <w:r>
        <w:t xml:space="preserve">aanvoer</w:t>
      </w:r>
      <w:r>
        <w:t xml:space="preserve"> </w:t>
      </w:r>
      <w:r>
        <w:t xml:space="preserve">versus</w:t>
      </w:r>
      <w:r>
        <w:t xml:space="preserve"> </w:t>
      </w:r>
      <w:r>
        <w:t xml:space="preserve">Visfederatie</w:t>
      </w:r>
      <w:r>
        <w:t xml:space="preserve"> </w:t>
      </w:r>
      <w:r>
        <w:t xml:space="preserve">Markttool</w:t>
      </w:r>
      <w:r>
        <w:t xml:space="preserve"> </w:t>
      </w:r>
      <w:r>
        <w:t xml:space="preserve">import/export</w:t>
      </w:r>
    </w:p>
    <w:p>
      <w:pPr>
        <w:pStyle w:val="Date"/>
      </w:pPr>
      <w:r>
        <w:t xml:space="preserve">10</w:t>
      </w:r>
      <w:r>
        <w:t xml:space="preserve"> </w:t>
      </w:r>
      <w:r>
        <w:t xml:space="preserve">August</w:t>
      </w:r>
      <w:r>
        <w:t xml:space="preserve"> </w:t>
      </w:r>
      <w:r>
        <w:t xml:space="preserve">2026</w:t>
      </w:r>
    </w:p>
    <w:bookmarkStart w:id="20" w:name="inleiding"/>
    <w:p>
      <w:pPr>
        <w:pStyle w:val="Heading1"/>
      </w:pPr>
      <w:r>
        <w:t xml:space="preserve">Inleiding</w:t>
      </w:r>
    </w:p>
    <w:p>
      <w:pPr>
        <w:pStyle w:val="FirstParagraph"/>
      </w:pPr>
      <w:r>
        <w:t xml:space="preserve">Dit document combineert drie databronnen om kweek, aanvoer, import en export per soort</w:t>
      </w:r>
      <w:r>
        <w:t xml:space="preserve"> </w:t>
      </w:r>
      <w:r>
        <w:t xml:space="preserve">te vergelijken: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Kweek</w:t>
      </w:r>
      <w:r>
        <w:t xml:space="preserve">: Agrimatie-data — het gewicht dat Nederlandse mosselkweek (levend gewicht, alle gebieden), ongeacht waar het</w:t>
      </w:r>
      <w:r>
        <w:t xml:space="preserve"> </w:t>
      </w:r>
      <w:r>
        <w:t xml:space="preserve">vervolgens verkocht wordt.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Aanvoer</w:t>
      </w:r>
      <w:r>
        <w:t xml:space="preserve">: STECF AER-data — het gewicht dat Nederlandse vissersschepen</w:t>
      </w:r>
      <w:r>
        <w:t xml:space="preserve"> </w:t>
      </w:r>
      <w:r>
        <w:t xml:space="preserve">daadwerkelijk aanlanden (levend gewicht, alle gebieden), ongeacht waar het</w:t>
      </w:r>
      <w:r>
        <w:t xml:space="preserve"> </w:t>
      </w:r>
      <w:r>
        <w:t xml:space="preserve">vervolgens verkocht wordt.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Import/export</w:t>
      </w:r>
      <w:r>
        <w:t xml:space="preserve">: Visfederatie Markttool — de handelsstromen die de</w:t>
      </w:r>
      <w:r>
        <w:t xml:space="preserve"> </w:t>
      </w:r>
      <w:r>
        <w:t xml:space="preserve">Nederlandse grens over gaan, ongeacht wie de vis heeft gevangen of gekweekt.</w:t>
      </w:r>
    </w:p>
    <w:p>
      <w:pPr>
        <w:pStyle w:val="FirstParagraph"/>
      </w:pPr>
      <w:r>
        <w:rPr>
          <w:bCs/>
          <w:b/>
        </w:rPr>
        <w:t xml:space="preserve">Twee belangrijke kanttekeningen: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Alleen gewicht, geen waarde.</w:t>
      </w:r>
      <w:r>
        <w:t xml:space="preserve"> </w:t>
      </w:r>
      <w:r>
        <w:t xml:space="preserve">De Markttool-download bevat een gewicht in</w:t>
      </w:r>
      <w:r>
        <w:t xml:space="preserve"> </w:t>
      </w:r>
      <w:r>
        <w:rPr>
          <w:iCs/>
          <w:i/>
        </w:rPr>
        <w:t xml:space="preserve">WFE</w:t>
      </w:r>
      <w:r>
        <w:t xml:space="preserve"> </w:t>
      </w:r>
      <w:r>
        <w:t xml:space="preserve">(Whole Fish Equivalent, kg) maar geen geldbedrag. AER heeft wel een</w:t>
      </w:r>
      <w:r>
        <w:t xml:space="preserve"> </w:t>
      </w:r>
      <w:r>
        <w:t xml:space="preserve">waarde in euro’s, maar om appels met appels te vergelijken gebruiken we</w:t>
      </w:r>
      <w:r>
        <w:t xml:space="preserve"> </w:t>
      </w:r>
      <w:r>
        <w:t xml:space="preserve">hier voor alle drie de stromen het</w:t>
      </w:r>
      <w:r>
        <w:t xml:space="preserve"> </w:t>
      </w:r>
      <w:r>
        <w:rPr>
          <w:bCs/>
          <w:b/>
        </w:rPr>
        <w:t xml:space="preserve">gewicht</w:t>
      </w:r>
      <w:r>
        <w:t xml:space="preserve"> </w:t>
      </w:r>
      <w:r>
        <w:t xml:space="preserve">(in ton).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Soortkoppeling is een heuristiek.</w:t>
      </w:r>
      <w:r>
        <w:t xml:space="preserve"> </w:t>
      </w:r>
      <w:r>
        <w:t xml:space="preserve">De Markttool levert geen soortcode,</w:t>
      </w:r>
      <w:r>
        <w:t xml:space="preserve"> </w:t>
      </w:r>
      <w:r>
        <w:t xml:space="preserve">alleen een vrije productomschrijving. Onderstaande code herkent</w:t>
      </w:r>
      <w:r>
        <w:t xml:space="preserve"> </w:t>
      </w:r>
      <w:r>
        <w:t xml:space="preserve">soortnamen via trefwoorden in die omschrijving en koppelt ze aan dezelfde</w:t>
      </w:r>
      <w:r>
        <w:t xml:space="preserve"> </w:t>
      </w:r>
      <w:r>
        <w:t xml:space="preserve">Nederlandse soortnamen als de AER-analyse. Soorten die niet door de</w:t>
      </w:r>
      <w:r>
        <w:t xml:space="preserve"> </w:t>
      </w:r>
      <w:r>
        <w:t xml:space="preserve">Nederlandse vloot worden aangevoerd maar wel veel geïmporteerd worden</w:t>
      </w:r>
      <w:r>
        <w:t xml:space="preserve"> </w:t>
      </w:r>
      <w:r>
        <w:t xml:space="preserve">(zalm, tonijn, pangasius, tilapia, alaska koolvis, …) krijgen daardoor</w:t>
      </w:r>
      <w:r>
        <w:t xml:space="preserve"> </w:t>
      </w:r>
      <w:r>
        <w:t xml:space="preserve">terecht een aanvoer van (bijna) nul.</w:t>
      </w:r>
    </w:p>
    <w:p>
      <w:r>
        <w:br w:type="page"/>
      </w:r>
    </w:p>
    <w:bookmarkEnd w:id="20"/>
    <w:bookmarkStart w:id="28" w:name="Xd1ee12781a13db2d9fc2ad93e61beea3f960f91"/>
    <w:p>
      <w:pPr>
        <w:pStyle w:val="Heading1"/>
      </w:pPr>
      <w:r>
        <w:t xml:space="preserve">Wat blijft er in Nederland (aanvoer + kweek + import − export)?</w:t>
      </w:r>
    </w:p>
    <w:p>
      <w:pPr>
        <w:pStyle w:val="FirstParagraph"/>
      </w:pPr>
      <w:r>
        <w:t xml:space="preserve">Het verschil tussen wat binnenkomt (aanvoer + kweek + import) en wat weer wordt</w:t>
      </w:r>
      <w:r>
        <w:t xml:space="preserve"> </w:t>
      </w:r>
      <w:r>
        <w:t xml:space="preserve">geëxporteerd, is een grove schatting van wat er in Nederland</w:t>
      </w:r>
      <w:r>
        <w:t xml:space="preserve"> </w:t>
      </w:r>
      <w:r>
        <w:t xml:space="preserve">“</w:t>
      </w:r>
      <w:r>
        <w:t xml:space="preserve">blijft</w:t>
      </w:r>
      <w:r>
        <w:t xml:space="preserve">”</w:t>
      </w:r>
      <w:r>
        <w:t xml:space="preserve">:</w:t>
      </w:r>
      <w:r>
        <w:t xml:space="preserve"> </w:t>
      </w:r>
      <w:r>
        <w:t xml:space="preserve">een mix van</w:t>
      </w:r>
      <w:r>
        <w:t xml:space="preserve"> </w:t>
      </w:r>
      <w:r>
        <w:rPr>
          <w:bCs/>
          <w:b/>
        </w:rPr>
        <w:t xml:space="preserve">binnenlandse consumptie</w:t>
      </w:r>
      <w:r>
        <w:t xml:space="preserve">,</w:t>
      </w:r>
      <w:r>
        <w:t xml:space="preserve"> </w:t>
      </w:r>
      <w:r>
        <w:rPr>
          <w:bCs/>
          <w:b/>
        </w:rPr>
        <w:t xml:space="preserve">verwerkings-/snijverlies</w:t>
      </w:r>
      <w:r>
        <w:t xml:space="preserve"> </w:t>
      </w:r>
      <w:r>
        <w:t xml:space="preserve">(bijvoorbeeld filerering, waardoor het WFE-gewicht van het eindproduct lager</w:t>
      </w:r>
      <w:r>
        <w:t xml:space="preserve"> </w:t>
      </w:r>
      <w:r>
        <w:t xml:space="preserve">is dan het gewicht dat als grondstof binnenkomt) en niet-geregistreerde</w:t>
      </w:r>
      <w:r>
        <w:t xml:space="preserve"> </w:t>
      </w:r>
      <w:r>
        <w:t xml:space="preserve">voorraadmutaties. Het is dus geen zuiver consumptiecijfer, maar een</w:t>
      </w:r>
      <w:r>
        <w:t xml:space="preserve"> </w:t>
      </w:r>
      <w:r>
        <w:t xml:space="preserve">massabalans-indicator. Omdat de Markttool-gewichten al in WFE zijn</w:t>
      </w:r>
      <w:r>
        <w:t xml:space="preserve"> </w:t>
      </w:r>
      <w:r>
        <w:t xml:space="preserve">uitgedrukt — precies bedoeld om vergelijkbaar te zijn met aanvoercijfers —</w:t>
      </w:r>
      <w:r>
        <w:t xml:space="preserve"> </w:t>
      </w:r>
      <w:r>
        <w:t xml:space="preserve">is deze optelling inhoudelijk consistent.</w:t>
      </w:r>
    </w:p>
    <w:p>
      <w:pPr>
        <w:pStyle w:val="BodyText"/>
      </w:pPr>
      <w:r>
        <w:t xml:space="preserve">Een negatieve waarde (meer export dan aanbod) kan wijzen op voorraadgebruik</w:t>
      </w:r>
      <w:r>
        <w:t xml:space="preserve"> </w:t>
      </w:r>
      <w:r>
        <w:t xml:space="preserve">uit eerdere jaren, op afwijkingen tussen de AER- en Markttool-periodes, of op</w:t>
      </w:r>
      <w:r>
        <w:t xml:space="preserve"> </w:t>
      </w:r>
      <w:r>
        <w:t xml:space="preserve">onvolledige soortherkenning in één van beide bronnen.</w:t>
      </w:r>
    </w:p>
    <w:p>
      <w:pPr>
        <w:pStyle w:val="BodyText"/>
      </w:pPr>
      <w:r>
        <w:drawing>
          <wp:inline>
            <wp:extent cx="6464300" cy="3591277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markttool_AER_vergelijking-v2_files/markttool_AER_vergelijking-v2_files/figure-docx/plot-kweek-aanvoer-import-vs-expor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4300" cy="3591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BodyText"/>
      </w:pPr>
      <w:r>
        <w:drawing>
          <wp:inline>
            <wp:extent cx="6464300" cy="377084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markttool_AER_vergelijking-v2_files/markttool_AER_vergelijking-v2_files/figure-docx/plot-kweek-aanvoer-import-vs-export-per-soor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4300" cy="37708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27" w:name="X6199eaac87d145527923ce5ebf54f025d10fc09"/>
    <w:p>
      <w:pPr>
        <w:pStyle w:val="Heading2"/>
      </w:pPr>
      <w:r>
        <w:t xml:space="preserve">Tabel: wat blijft er in Nederland, per soort (2020-2024)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00"/>
        <w:gridCol w:w="800"/>
        <w:gridCol w:w="960"/>
        <w:gridCol w:w="880"/>
        <w:gridCol w:w="1440"/>
        <w:gridCol w:w="880"/>
        <w:gridCol w:w="13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Kweek (t)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Aanvoer (t)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Import (t)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Aanbod totaal (t)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Export (t)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Blijft in NL (t)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Overig / onbekend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331.692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1.389.131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1.720.823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1.241.308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479.514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Kabeljauw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1.508.722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1.512.057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908.383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603.674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397.826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485.417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883.243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818.142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65.101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Grijze garnaal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668.883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738.874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520.063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218.812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Blauwe wijting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362.311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309.665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671.976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861.345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-189.369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Makreel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117.556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547.748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665.304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468.243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197.061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Tonijn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653.059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653.059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371.418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281.641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Alaska koolvis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553.841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553.841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400.440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153.401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Zalm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548.274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548.274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646.399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-98.125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Mossel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146.117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101.384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247.502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163.246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84.255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Pangasius / Meerval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226.784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226.784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63.744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Zwarte koolvis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218.660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218.660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156.017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62.643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158.632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181.918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111.216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70.702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Horsmakreel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71.396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160.418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143.081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17.338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72.527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133.572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76.457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57.114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Schelvis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88.849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-1.430</w:t>
            </w:r>
          </w:p>
        </w:tc>
      </w:tr>
    </w:tbl>
    <w:bookmarkEnd w:id="27"/>
    <w:bookmarkEnd w:id="28"/>
    <w:sectPr w:rsidR="00E43431" w:rsidSect="00CC6211">
      <w:pgSz w:h="15840" w:w="12240"/>
      <w:pgMar w:bottom="1418" w:footer="720" w:gutter="0" w:header="720" w:left="1021" w:right="1021" w:top="851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8CA44BB4"/>
    <w:multiLevelType w:val="multilevel"/>
    <w:tmpl w:val="B3ECF96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1">
    <w:nsid w:val="9030D5D9"/>
    <w:multiLevelType w:val="multilevel"/>
    <w:tmpl w:val="C8CE1814"/>
    <w:lvl w:ilvl="0">
      <w:numFmt w:val="bullet"/>
      <w:lvlText w:val="•"/>
      <w:lvlJc w:val="left"/>
      <w:pPr>
        <w:tabs>
          <w:tab w:pos="0" w:val="num"/>
        </w:tabs>
        <w:ind w:hanging="480" w:left="480"/>
      </w:pPr>
    </w:lvl>
    <w:lvl w:ilvl="1">
      <w:numFmt w:val="bullet"/>
      <w:lvlText w:val="–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•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–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•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–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•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2">
    <w:nsid w:val="90BE766A"/>
    <w:multiLevelType w:val="multilevel"/>
    <w:tmpl w:val="012898CA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3">
    <w:nsid w:val="A06BE7E7"/>
    <w:multiLevelType w:val="multilevel"/>
    <w:tmpl w:val="AF1661B8"/>
    <w:lvl w:ilvl="0">
      <w:numFmt w:val="bullet"/>
      <w:lvlText w:val="•"/>
      <w:lvlJc w:val="left"/>
      <w:pPr>
        <w:tabs>
          <w:tab w:pos="0" w:val="num"/>
        </w:tabs>
        <w:ind w:hanging="480" w:left="480"/>
      </w:pPr>
    </w:lvl>
    <w:lvl w:ilvl="1">
      <w:numFmt w:val="bullet"/>
      <w:lvlText w:val="–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•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–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•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–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•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4">
    <w:nsid w:val="C8EAD5E4"/>
    <w:multiLevelType w:val="multilevel"/>
    <w:tmpl w:val="47C25960"/>
    <w:lvl w:ilvl="0">
      <w:numFmt w:val="bullet"/>
      <w:lvlText w:val="•"/>
      <w:lvlJc w:val="left"/>
      <w:pPr>
        <w:tabs>
          <w:tab w:pos="0" w:val="num"/>
        </w:tabs>
        <w:ind w:hanging="480" w:left="480"/>
      </w:pPr>
    </w:lvl>
    <w:lvl w:ilvl="1">
      <w:numFmt w:val="bullet"/>
      <w:lvlText w:val="–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•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–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•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–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•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5">
    <w:nsid w:val="CF1C380D"/>
    <w:multiLevelType w:val="multilevel"/>
    <w:tmpl w:val="72DCC2E4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6">
    <w:nsid w:val="E17F69BA"/>
    <w:multiLevelType w:val="multilevel"/>
    <w:tmpl w:val="4CCECB98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7">
    <w:nsid w:val="EC2F219F"/>
    <w:multiLevelType w:val="multilevel"/>
    <w:tmpl w:val="BBF42D7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8">
    <w:nsid w:val="EEFA3429"/>
    <w:multiLevelType w:val="multilevel"/>
    <w:tmpl w:val="4ECA2DF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9">
    <w:nsid w:val="F68EC264"/>
    <w:multiLevelType w:val="multilevel"/>
    <w:tmpl w:val="C9B606AC"/>
    <w:lvl w:ilvl="0">
      <w:numFmt w:val="bullet"/>
      <w:lvlText w:val="•"/>
      <w:lvlJc w:val="left"/>
      <w:pPr>
        <w:tabs>
          <w:tab w:pos="0" w:val="num"/>
        </w:tabs>
        <w:ind w:hanging="480" w:left="480"/>
      </w:pPr>
    </w:lvl>
    <w:lvl w:ilvl="1">
      <w:numFmt w:val="bullet"/>
      <w:lvlText w:val="–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•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–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•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–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•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10">
    <w:nsid w:val="10AAA4A5"/>
    <w:multiLevelType w:val="multilevel"/>
    <w:tmpl w:val="1D64E50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11">
    <w:nsid w:val="20D7BD7C"/>
    <w:multiLevelType w:val="multilevel"/>
    <w:tmpl w:val="D110F51C"/>
    <w:lvl w:ilvl="0">
      <w:numFmt w:val="bullet"/>
      <w:lvlText w:val="•"/>
      <w:lvlJc w:val="left"/>
      <w:pPr>
        <w:tabs>
          <w:tab w:pos="0" w:val="num"/>
        </w:tabs>
        <w:ind w:hanging="480" w:left="480"/>
      </w:pPr>
    </w:lvl>
    <w:lvl w:ilvl="1">
      <w:numFmt w:val="bullet"/>
      <w:lvlText w:val="–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•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–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•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–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•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12">
    <w:nsid w:val="2A502C17"/>
    <w:multiLevelType w:val="multilevel"/>
    <w:tmpl w:val="25A6D5B4"/>
    <w:lvl w:ilvl="0">
      <w:numFmt w:val="bullet"/>
      <w:lvlText w:val="•"/>
      <w:lvlJc w:val="left"/>
      <w:pPr>
        <w:tabs>
          <w:tab w:pos="0" w:val="num"/>
        </w:tabs>
        <w:ind w:hanging="480" w:left="480"/>
      </w:pPr>
    </w:lvl>
    <w:lvl w:ilvl="1">
      <w:numFmt w:val="bullet"/>
      <w:lvlText w:val="–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•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–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•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–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•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13">
    <w:nsid w:val="2EEBADA2"/>
    <w:multiLevelType w:val="multilevel"/>
    <w:tmpl w:val="7F8822AA"/>
    <w:lvl w:ilvl="0">
      <w:numFmt w:val="bullet"/>
      <w:lvlText w:val="•"/>
      <w:lvlJc w:val="left"/>
      <w:pPr>
        <w:tabs>
          <w:tab w:pos="0" w:val="num"/>
        </w:tabs>
        <w:ind w:hanging="480" w:left="480"/>
      </w:pPr>
    </w:lvl>
    <w:lvl w:ilvl="1">
      <w:numFmt w:val="bullet"/>
      <w:lvlText w:val="–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•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–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•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–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•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14">
    <w:nsid w:val="38F26D2F"/>
    <w:multiLevelType w:val="multilevel"/>
    <w:tmpl w:val="84EE1CB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15">
    <w:nsid w:val="6BEFAAF0"/>
    <w:multiLevelType w:val="multilevel"/>
    <w:tmpl w:val="FCE6C5A0"/>
    <w:lvl w:ilvl="0">
      <w:numFmt w:val="bullet"/>
      <w:lvlText w:val="•"/>
      <w:lvlJc w:val="left"/>
      <w:pPr>
        <w:tabs>
          <w:tab w:pos="0" w:val="num"/>
        </w:tabs>
        <w:ind w:hanging="480" w:left="480"/>
      </w:pPr>
    </w:lvl>
    <w:lvl w:ilvl="1">
      <w:numFmt w:val="bullet"/>
      <w:lvlText w:val="–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•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–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•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–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•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16">
    <w:nsid w:val="7516056B"/>
    <w:multiLevelType w:val="multilevel"/>
    <w:tmpl w:val="532E7574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16cid:durableId="709378782" w:numId="1">
    <w:abstractNumId w:val="6"/>
  </w:num>
  <w:num w16cid:durableId="374082606" w:numId="2">
    <w:abstractNumId w:val="2"/>
  </w:num>
  <w:num w16cid:durableId="497690940" w:numId="3">
    <w:abstractNumId w:val="15"/>
  </w:num>
  <w:num w16cid:durableId="1905986621" w:numId="4">
    <w:abstractNumId w:val="15"/>
  </w:num>
  <w:num w16cid:durableId="1941257078" w:numId="5">
    <w:abstractNumId w:val="5"/>
  </w:num>
  <w:num w16cid:durableId="21371687" w:numId="6">
    <w:abstractNumId w:val="12"/>
  </w:num>
  <w:num w16cid:durableId="1744719970" w:numId="7">
    <w:abstractNumId w:val="7"/>
  </w:num>
  <w:num w16cid:durableId="356933221" w:numId="8">
    <w:abstractNumId w:val="11"/>
  </w:num>
  <w:num w16cid:durableId="1629044985" w:numId="9">
    <w:abstractNumId w:val="14"/>
  </w:num>
  <w:num w16cid:durableId="626356421" w:numId="10">
    <w:abstractNumId w:val="1"/>
  </w:num>
  <w:num w16cid:durableId="1446267774" w:numId="11">
    <w:abstractNumId w:val="8"/>
  </w:num>
  <w:num w16cid:durableId="716440197" w:numId="12">
    <w:abstractNumId w:val="3"/>
  </w:num>
  <w:num w16cid:durableId="2067097828" w:numId="13">
    <w:abstractNumId w:val="16"/>
  </w:num>
  <w:num w16cid:durableId="1427112790" w:numId="14">
    <w:abstractNumId w:val="13"/>
  </w:num>
  <w:num w16cid:durableId="154028065" w:numId="15">
    <w:abstractNumId w:val="10"/>
  </w:num>
  <w:num w16cid:durableId="1733234361" w:numId="16">
    <w:abstractNumId w:val="9"/>
  </w:num>
  <w:num w16cid:durableId="1689481759" w:numId="17">
    <w:abstractNumId w:val="0"/>
  </w:num>
  <w:num w16cid:durableId="593782071" w:numId="18">
    <w:abstractNumId w:val="4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90"/>
  <w:embedSystemFonts/>
  <w:proofState w:grammar="clean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="Times New Roman" w:eastAsiaTheme="minorHAnsi" w:hAnsiTheme="minorHAnsi"/>
        <w:sz w:val="22"/>
        <w:szCs w:val="22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524741"/>
    <w:pPr>
      <w:spacing w:after="120" w:line="276" w:lineRule="auto"/>
    </w:pPr>
    <w:rPr>
      <w:sz w:val="20"/>
      <w:szCs w:val="24"/>
    </w:rPr>
  </w:style>
  <w:style w:styleId="Heading1" w:type="paragraph">
    <w:name w:val="heading 1"/>
    <w:basedOn w:val="Normal"/>
    <w:next w:val="Normal"/>
    <w:link w:val="Heading1Char"/>
    <w:uiPriority w:val="9"/>
    <w:qFormat/>
    <w:rsid w:val="00524741"/>
    <w:pPr>
      <w:keepNext/>
      <w:spacing w:before="120"/>
      <w:outlineLvl w:val="0"/>
    </w:pPr>
    <w:rPr>
      <w:rFonts w:cstheme="majorBidi" w:eastAsiaTheme="majorEastAsia"/>
      <w:b/>
      <w:bCs/>
      <w:kern w:val="32"/>
      <w:sz w:val="36"/>
      <w:szCs w:val="32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524741"/>
    <w:pPr>
      <w:keepNext/>
      <w:spacing w:after="60" w:before="240"/>
      <w:outlineLvl w:val="1"/>
    </w:pPr>
    <w:rPr>
      <w:rFonts w:asciiTheme="majorHAnsi" w:cstheme="majorBidi" w:eastAsiaTheme="majorEastAsia" w:hAnsiTheme="majorHAnsi"/>
      <w:b/>
      <w:bCs/>
      <w:i/>
      <w:iCs/>
      <w:sz w:val="28"/>
      <w:szCs w:val="28"/>
    </w:rPr>
  </w:style>
  <w:style w:styleId="Heading3" w:type="paragraph">
    <w:name w:val="heading 3"/>
    <w:basedOn w:val="Normal"/>
    <w:next w:val="Normal"/>
    <w:link w:val="Heading3Char"/>
    <w:uiPriority w:val="9"/>
    <w:semiHidden/>
    <w:unhideWhenUsed/>
    <w:qFormat/>
    <w:rsid w:val="00524741"/>
    <w:pPr>
      <w:keepNext/>
      <w:spacing w:after="60" w:before="240"/>
      <w:outlineLvl w:val="2"/>
    </w:pPr>
    <w:rPr>
      <w:rFonts w:asciiTheme="majorHAnsi" w:cstheme="majorBidi" w:eastAsiaTheme="majorEastAsia" w:hAnsiTheme="majorHAnsi"/>
      <w:b/>
      <w:bCs/>
      <w:sz w:val="26"/>
      <w:szCs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524741"/>
    <w:pPr>
      <w:keepNext/>
      <w:spacing w:after="60" w:before="240"/>
      <w:outlineLvl w:val="3"/>
    </w:pPr>
    <w:rPr>
      <w:rFonts w:cstheme="majorBidi"/>
      <w:b/>
      <w:bCs/>
      <w:sz w:val="28"/>
      <w:szCs w:val="28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524741"/>
    <w:pPr>
      <w:pageBreakBefore/>
      <w:spacing w:after="0" w:line="240" w:lineRule="auto"/>
      <w:outlineLvl w:val="4"/>
    </w:pPr>
    <w:rPr>
      <w:rFonts w:cstheme="majorBidi"/>
      <w:b/>
      <w:bCs/>
      <w:i/>
      <w:iCs/>
      <w:color w:themeColor="background1" w:val="FFFFFF"/>
      <w:sz w:val="10"/>
      <w:szCs w:val="26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524741"/>
    <w:pPr>
      <w:spacing w:after="60" w:before="240"/>
      <w:outlineLvl w:val="5"/>
    </w:pPr>
    <w:rPr>
      <w:rFonts w:cstheme="majorBidi"/>
      <w:b/>
      <w:bCs/>
      <w:sz w:val="22"/>
      <w:szCs w:val="22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524741"/>
    <w:pPr>
      <w:spacing w:after="60" w:before="240"/>
      <w:outlineLvl w:val="6"/>
    </w:pPr>
    <w:rPr>
      <w:rFonts w:cstheme="majorBidi"/>
      <w:sz w:val="24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524741"/>
    <w:pPr>
      <w:spacing w:after="60" w:before="240"/>
      <w:outlineLvl w:val="7"/>
    </w:pPr>
    <w:rPr>
      <w:rFonts w:cstheme="majorBidi"/>
      <w:i/>
      <w:iCs/>
      <w:sz w:val="24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524741"/>
    <w:pPr>
      <w:spacing w:after="60" w:before="240"/>
      <w:outlineLvl w:val="8"/>
    </w:pPr>
    <w:rPr>
      <w:rFonts w:asciiTheme="majorHAnsi" w:cstheme="majorBidi" w:eastAsiaTheme="majorEastAsia" w:hAnsiTheme="majorHAnsi"/>
      <w:sz w:val="22"/>
      <w:szCs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524741"/>
    <w:rPr>
      <w:rFonts w:cstheme="majorBidi" w:eastAsiaTheme="majorEastAsia"/>
      <w:b/>
      <w:bCs/>
      <w:kern w:val="32"/>
      <w:sz w:val="36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524741"/>
    <w:rPr>
      <w:rFonts w:asciiTheme="majorHAnsi" w:cstheme="majorBidi" w:eastAsiaTheme="majorEastAsia" w:hAnsiTheme="majorHAnsi"/>
      <w:b/>
      <w:bCs/>
      <w:i/>
      <w:iCs/>
      <w:sz w:val="28"/>
      <w:szCs w:val="28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524741"/>
    <w:rPr>
      <w:rFonts w:asciiTheme="majorHAnsi" w:cstheme="majorBidi" w:eastAsiaTheme="majorEastAsia" w:hAnsiTheme="majorHAnsi"/>
      <w:b/>
      <w:bCs/>
      <w:sz w:val="26"/>
      <w:szCs w:val="26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24741"/>
    <w:rPr>
      <w:rFonts w:cstheme="majorBidi"/>
      <w:b/>
      <w:bCs/>
      <w:sz w:val="28"/>
      <w:szCs w:val="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524741"/>
    <w:rPr>
      <w:rFonts w:cstheme="majorBidi"/>
      <w:b/>
      <w:bCs/>
      <w:i/>
      <w:iCs/>
      <w:color w:themeColor="background1" w:val="FFFFFF"/>
      <w:sz w:val="10"/>
      <w:szCs w:val="26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524741"/>
    <w:rPr>
      <w:rFonts w:cstheme="majorBidi"/>
      <w:b/>
      <w:b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524741"/>
    <w:rPr>
      <w:rFonts w:cstheme="majorBidi"/>
      <w:sz w:val="24"/>
      <w:szCs w:val="24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524741"/>
    <w:rPr>
      <w:rFonts w:cstheme="majorBidi"/>
      <w:i/>
      <w:iCs/>
      <w:sz w:val="24"/>
      <w:szCs w:val="24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524741"/>
    <w:rPr>
      <w:rFonts w:asciiTheme="majorHAnsi" w:cstheme="majorBidi" w:eastAsiaTheme="majorEastAsia" w:hAnsiTheme="majorHAnsi"/>
    </w:rPr>
  </w:style>
  <w:style w:styleId="Title" w:type="paragraph">
    <w:name w:val="Title"/>
    <w:basedOn w:val="Normal"/>
    <w:next w:val="Normal"/>
    <w:link w:val="TitleChar"/>
    <w:uiPriority w:val="10"/>
    <w:qFormat/>
    <w:rsid w:val="00524741"/>
    <w:pPr>
      <w:spacing w:after="60" w:before="240"/>
      <w:outlineLvl w:val="0"/>
    </w:pPr>
    <w:rPr>
      <w:rFonts w:asciiTheme="majorHAnsi" w:cstheme="majorBidi" w:eastAsiaTheme="majorEastAsia" w:hAnsiTheme="majorHAnsi"/>
      <w:b/>
      <w:bCs/>
      <w:kern w:val="28"/>
      <w:sz w:val="36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524741"/>
    <w:rPr>
      <w:rFonts w:asciiTheme="majorHAnsi" w:cstheme="majorBidi" w:eastAsiaTheme="majorEastAsia" w:hAnsiTheme="majorHAnsi"/>
      <w:b/>
      <w:bCs/>
      <w:kern w:val="28"/>
      <w:sz w:val="36"/>
      <w:szCs w:val="32"/>
    </w:rPr>
  </w:style>
  <w:style w:styleId="Subtitle" w:type="paragraph">
    <w:name w:val="Subtitle"/>
    <w:basedOn w:val="Normal"/>
    <w:next w:val="Normal"/>
    <w:link w:val="SubtitleChar"/>
    <w:uiPriority w:val="11"/>
    <w:qFormat/>
    <w:rsid w:val="00524741"/>
    <w:pPr>
      <w:spacing w:after="60"/>
      <w:jc w:val="center"/>
      <w:outlineLvl w:val="1"/>
    </w:pPr>
    <w:rPr>
      <w:rFonts w:asciiTheme="majorHAnsi" w:cstheme="majorBidi" w:eastAsiaTheme="majorEastAsia" w:hAnsiTheme="majorHAnsi"/>
      <w:sz w:val="24"/>
    </w:rPr>
  </w:style>
  <w:style w:customStyle="1" w:styleId="SubtitleChar" w:type="character">
    <w:name w:val="Subtitle Char"/>
    <w:basedOn w:val="DefaultParagraphFont"/>
    <w:link w:val="Subtitle"/>
    <w:uiPriority w:val="11"/>
    <w:rsid w:val="00524741"/>
    <w:rPr>
      <w:rFonts w:asciiTheme="majorHAnsi" w:cstheme="majorBidi" w:eastAsiaTheme="majorEastAsia" w:hAnsiTheme="majorHAnsi"/>
      <w:sz w:val="24"/>
      <w:szCs w:val="24"/>
    </w:rPr>
  </w:style>
  <w:style w:styleId="Strong" w:type="character">
    <w:name w:val="Strong"/>
    <w:basedOn w:val="DefaultParagraphFont"/>
    <w:uiPriority w:val="22"/>
    <w:qFormat/>
    <w:rsid w:val="00524741"/>
    <w:rPr>
      <w:b/>
      <w:bCs/>
    </w:rPr>
  </w:style>
  <w:style w:styleId="Emphasis" w:type="character">
    <w:name w:val="Emphasis"/>
    <w:basedOn w:val="DefaultParagraphFont"/>
    <w:uiPriority w:val="20"/>
    <w:qFormat/>
    <w:rsid w:val="00524741"/>
    <w:rPr>
      <w:rFonts w:asciiTheme="minorHAnsi" w:hAnsiTheme="minorHAnsi"/>
      <w:b/>
      <w:i/>
      <w:iCs/>
    </w:rPr>
  </w:style>
  <w:style w:styleId="NoSpacing" w:type="paragraph">
    <w:name w:val="No Spacing"/>
    <w:basedOn w:val="Normal"/>
    <w:uiPriority w:val="1"/>
    <w:qFormat/>
    <w:rsid w:val="00524741"/>
    <w:rPr>
      <w:szCs w:val="32"/>
    </w:rPr>
  </w:style>
  <w:style w:styleId="ListParagraph" w:type="paragraph">
    <w:name w:val="List Paragraph"/>
    <w:basedOn w:val="Normal"/>
    <w:uiPriority w:val="34"/>
    <w:qFormat/>
    <w:rsid w:val="00524741"/>
    <w:pPr>
      <w:ind w:left="720"/>
      <w:contextualSpacing/>
    </w:pPr>
  </w:style>
  <w:style w:styleId="Quote" w:type="paragraph">
    <w:name w:val="Quote"/>
    <w:basedOn w:val="Normal"/>
    <w:next w:val="Normal"/>
    <w:link w:val="QuoteChar"/>
    <w:uiPriority w:val="29"/>
    <w:qFormat/>
    <w:rsid w:val="00524741"/>
    <w:rPr>
      <w:i/>
      <w:sz w:val="24"/>
    </w:rPr>
  </w:style>
  <w:style w:customStyle="1" w:styleId="QuoteChar" w:type="character">
    <w:name w:val="Quote Char"/>
    <w:basedOn w:val="DefaultParagraphFont"/>
    <w:link w:val="Quote"/>
    <w:uiPriority w:val="29"/>
    <w:rsid w:val="00524741"/>
    <w:rPr>
      <w:i/>
      <w:sz w:val="24"/>
      <w:szCs w:val="24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524741"/>
    <w:pPr>
      <w:ind w:left="720" w:right="720"/>
    </w:pPr>
    <w:rPr>
      <w:b/>
      <w:i/>
      <w:sz w:val="24"/>
      <w:szCs w:val="22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524741"/>
    <w:rPr>
      <w:b/>
      <w:i/>
      <w:sz w:val="24"/>
    </w:rPr>
  </w:style>
  <w:style w:styleId="SubtleEmphasis" w:type="character">
    <w:name w:val="Subtle Emphasis"/>
    <w:uiPriority w:val="19"/>
    <w:qFormat/>
    <w:rsid w:val="00524741"/>
    <w:rPr>
      <w:i/>
      <w:color w:themeColor="text1" w:themeTint="A5" w:val="5A5A5A"/>
    </w:rPr>
  </w:style>
  <w:style w:styleId="IntenseEmphasis" w:type="character">
    <w:name w:val="Intense Emphasis"/>
    <w:basedOn w:val="DefaultParagraphFont"/>
    <w:uiPriority w:val="21"/>
    <w:qFormat/>
    <w:rsid w:val="00524741"/>
    <w:rPr>
      <w:b/>
      <w:i/>
      <w:sz w:val="24"/>
      <w:szCs w:val="24"/>
      <w:u w:val="single"/>
    </w:rPr>
  </w:style>
  <w:style w:styleId="SubtleReference" w:type="character">
    <w:name w:val="Subtle Reference"/>
    <w:basedOn w:val="DefaultParagraphFont"/>
    <w:uiPriority w:val="31"/>
    <w:qFormat/>
    <w:rsid w:val="00524741"/>
    <w:rPr>
      <w:sz w:val="24"/>
      <w:szCs w:val="24"/>
      <w:u w:val="single"/>
    </w:rPr>
  </w:style>
  <w:style w:styleId="IntenseReference" w:type="character">
    <w:name w:val="Intense Reference"/>
    <w:basedOn w:val="DefaultParagraphFont"/>
    <w:uiPriority w:val="32"/>
    <w:qFormat/>
    <w:rsid w:val="00524741"/>
    <w:rPr>
      <w:b/>
      <w:sz w:val="24"/>
      <w:u w:val="single"/>
    </w:rPr>
  </w:style>
  <w:style w:styleId="BookTitle" w:type="character">
    <w:name w:val="Book Title"/>
    <w:basedOn w:val="DefaultParagraphFont"/>
    <w:uiPriority w:val="33"/>
    <w:qFormat/>
    <w:rsid w:val="00524741"/>
    <w:rPr>
      <w:rFonts w:asciiTheme="majorHAnsi" w:eastAsiaTheme="majorEastAsia" w:hAnsiTheme="majorHAnsi"/>
      <w:b/>
      <w:i/>
      <w:sz w:val="24"/>
      <w:szCs w:val="24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524741"/>
    <w:pPr>
      <w:outlineLvl w:val="9"/>
    </w:pPr>
  </w:style>
  <w:style w:customStyle="1" w:styleId="SourceCode" w:type="paragraph">
    <w:name w:val="Source Code"/>
    <w:basedOn w:val="Normal"/>
    <w:rsid w:val="00020085"/>
    <w:pPr>
      <w:shd w:color="auto" w:fill="F8F8F8" w:val="clear"/>
      <w:wordWrap w:val="0"/>
      <w:spacing w:line="240" w:lineRule="auto"/>
    </w:pPr>
    <w:rPr>
      <w:rFonts w:ascii="Courier New" w:cs="Courier New" w:hAnsi="Courier New"/>
      <w:sz w:val="16"/>
      <w:szCs w:val="16"/>
    </w:rPr>
  </w:style>
  <w:style w:customStyle="1" w:styleId="KeywordTok" w:type="character">
    <w:name w:val="KeywordTok"/>
    <w:rsid w:val="00116679"/>
    <w:rPr>
      <w:b/>
      <w:color w:val="204A87"/>
      <w:sz w:val="16"/>
      <w:szCs w:val="16"/>
      <w:shd w:color="auto" w:fill="F8F8F8" w:val="clear"/>
    </w:rPr>
  </w:style>
  <w:style w:customStyle="1" w:styleId="DataTypeTok" w:type="character">
    <w:name w:val="DataTypeTok"/>
    <w:rPr>
      <w:color w:val="204A87"/>
      <w:shd w:color="auto" w:fill="F8F8F8" w:val="clear"/>
    </w:rPr>
  </w:style>
  <w:style w:customStyle="1" w:styleId="DecValTok" w:type="character">
    <w:name w:val="DecValTok"/>
    <w:rPr>
      <w:color w:val="0000CF"/>
      <w:shd w:color="auto" w:fill="F8F8F8" w:val="clear"/>
    </w:rPr>
  </w:style>
  <w:style w:customStyle="1" w:styleId="BaseNTok" w:type="character">
    <w:name w:val="BaseNTok"/>
    <w:rPr>
      <w:color w:val="0000CF"/>
      <w:shd w:color="auto" w:fill="F8F8F8" w:val="clear"/>
    </w:rPr>
  </w:style>
  <w:style w:customStyle="1" w:styleId="FloatTok" w:type="character">
    <w:name w:val="FloatTok"/>
    <w:rPr>
      <w:color w:val="0000CF"/>
      <w:shd w:color="auto" w:fill="F8F8F8" w:val="clear"/>
    </w:rPr>
  </w:style>
  <w:style w:customStyle="1" w:styleId="ConstantTok" w:type="character">
    <w:name w:val="ConstantTok"/>
    <w:rPr>
      <w:color w:val="000000"/>
      <w:shd w:color="auto" w:fill="F8F8F8" w:val="clear"/>
    </w:rPr>
  </w:style>
  <w:style w:customStyle="1" w:styleId="CharTok" w:type="character">
    <w:name w:val="CharTok"/>
    <w:rPr>
      <w:color w:val="4E9A06"/>
      <w:shd w:color="auto" w:fill="F8F8F8" w:val="clear"/>
    </w:rPr>
  </w:style>
  <w:style w:customStyle="1" w:styleId="SpecialCharTok" w:type="character">
    <w:name w:val="SpecialCharTok"/>
    <w:rPr>
      <w:color w:val="000000"/>
      <w:shd w:color="auto" w:fill="F8F8F8" w:val="clear"/>
    </w:rPr>
  </w:style>
  <w:style w:customStyle="1" w:styleId="StringTok" w:type="character">
    <w:name w:val="StringTok"/>
    <w:rsid w:val="00116679"/>
    <w:rPr>
      <w:rFonts w:ascii="Courier New" w:cs="Courier New" w:hAnsi="Courier New"/>
      <w:color w:val="4E9A06"/>
      <w:sz w:val="12"/>
      <w:szCs w:val="12"/>
      <w:shd w:color="auto" w:fill="F8F8F8" w:val="clear"/>
    </w:rPr>
  </w:style>
  <w:style w:customStyle="1" w:styleId="VerbatimStringTok" w:type="character">
    <w:name w:val="VerbatimStringTok"/>
    <w:rPr>
      <w:color w:val="4E9A06"/>
      <w:shd w:color="auto" w:fill="F8F8F8" w:val="clear"/>
    </w:rPr>
  </w:style>
  <w:style w:customStyle="1" w:styleId="SpecialStringTok" w:type="character">
    <w:name w:val="SpecialStringTok"/>
    <w:rPr>
      <w:color w:val="4E9A06"/>
      <w:shd w:color="auto" w:fill="F8F8F8" w:val="clear"/>
    </w:rPr>
  </w:style>
  <w:style w:customStyle="1" w:styleId="ImportTok" w:type="character">
    <w:name w:val="ImportTok"/>
    <w:rPr>
      <w:shd w:color="auto" w:fill="F8F8F8" w:val="clear"/>
    </w:rPr>
  </w:style>
  <w:style w:customStyle="1" w:styleId="CommentTok" w:type="character">
    <w:name w:val="CommentTok"/>
    <w:rPr>
      <w:i/>
      <w:color w:val="8F5902"/>
      <w:shd w:color="auto" w:fill="F8F8F8" w:val="clear"/>
    </w:rPr>
  </w:style>
  <w:style w:customStyle="1" w:styleId="DocumentationTok" w:type="character">
    <w:name w:val="DocumentationTok"/>
    <w:rPr>
      <w:b/>
      <w:i/>
      <w:color w:val="8F5902"/>
      <w:shd w:color="auto" w:fill="F8F8F8" w:val="clear"/>
    </w:rPr>
  </w:style>
  <w:style w:customStyle="1" w:styleId="AnnotationTok" w:type="character">
    <w:name w:val="AnnotationTok"/>
    <w:rPr>
      <w:b/>
      <w:i/>
      <w:color w:val="8F5902"/>
      <w:shd w:color="auto" w:fill="F8F8F8" w:val="clear"/>
    </w:rPr>
  </w:style>
  <w:style w:customStyle="1" w:styleId="CommentVarTok" w:type="character">
    <w:name w:val="CommentVarTok"/>
    <w:rPr>
      <w:b/>
      <w:i/>
      <w:color w:val="8F5902"/>
      <w:shd w:color="auto" w:fill="F8F8F8" w:val="clear"/>
    </w:rPr>
  </w:style>
  <w:style w:customStyle="1" w:styleId="OtherTok" w:type="character">
    <w:name w:val="OtherTok"/>
    <w:rsid w:val="00116679"/>
    <w:rPr>
      <w:rFonts w:ascii="Courier New" w:cs="Courier New" w:hAnsi="Courier New"/>
      <w:color w:val="8F5902"/>
      <w:sz w:val="12"/>
      <w:szCs w:val="12"/>
      <w:shd w:color="auto" w:fill="F8F8F8" w:val="clear"/>
    </w:rPr>
  </w:style>
  <w:style w:customStyle="1" w:styleId="FunctionTok" w:type="character">
    <w:name w:val="FunctionTok"/>
    <w:rPr>
      <w:color w:val="000000"/>
      <w:shd w:color="auto" w:fill="F8F8F8" w:val="clear"/>
    </w:rPr>
  </w:style>
  <w:style w:customStyle="1" w:styleId="VariableTok" w:type="character">
    <w:name w:val="VariableTok"/>
    <w:rPr>
      <w:color w:val="000000"/>
      <w:shd w:color="auto" w:fill="F8F8F8" w:val="clear"/>
    </w:rPr>
  </w:style>
  <w:style w:customStyle="1" w:styleId="ControlFlowTok" w:type="character">
    <w:name w:val="ControlFlowTok"/>
    <w:rPr>
      <w:b/>
      <w:color w:val="204A87"/>
      <w:shd w:color="auto" w:fill="F8F8F8" w:val="clear"/>
    </w:rPr>
  </w:style>
  <w:style w:customStyle="1" w:styleId="OperatorTok" w:type="character">
    <w:name w:val="OperatorTok"/>
    <w:rPr>
      <w:b/>
      <w:color w:val="CE5C00"/>
      <w:shd w:color="auto" w:fill="F8F8F8" w:val="clear"/>
    </w:rPr>
  </w:style>
  <w:style w:customStyle="1" w:styleId="BuiltInTok" w:type="character">
    <w:name w:val="BuiltInTok"/>
    <w:rPr>
      <w:shd w:color="auto" w:fill="F8F8F8" w:val="clear"/>
    </w:rPr>
  </w:style>
  <w:style w:customStyle="1" w:styleId="ExtensionTok" w:type="character">
    <w:name w:val="ExtensionTok"/>
    <w:rPr>
      <w:shd w:color="auto" w:fill="F8F8F8" w:val="clear"/>
    </w:rPr>
  </w:style>
  <w:style w:customStyle="1" w:styleId="PreprocessorTok" w:type="character">
    <w:name w:val="PreprocessorTok"/>
    <w:rPr>
      <w:i/>
      <w:color w:val="8F5902"/>
      <w:shd w:color="auto" w:fill="F8F8F8" w:val="clear"/>
    </w:rPr>
  </w:style>
  <w:style w:customStyle="1" w:styleId="AttributeTok" w:type="character">
    <w:name w:val="AttributeTok"/>
    <w:rPr>
      <w:color w:val="C4A000"/>
      <w:shd w:color="auto" w:fill="F8F8F8" w:val="clear"/>
    </w:rPr>
  </w:style>
  <w:style w:customStyle="1" w:styleId="RegionMarkerTok" w:type="character">
    <w:name w:val="RegionMarkerTok"/>
    <w:rPr>
      <w:shd w:color="auto" w:fill="F8F8F8" w:val="clear"/>
    </w:rPr>
  </w:style>
  <w:style w:customStyle="1" w:styleId="InformationTok" w:type="character">
    <w:name w:val="InformationTok"/>
    <w:rPr>
      <w:b/>
      <w:i/>
      <w:color w:val="8F5902"/>
      <w:shd w:color="auto" w:fill="F8F8F8" w:val="clear"/>
    </w:rPr>
  </w:style>
  <w:style w:customStyle="1" w:styleId="WarningTok" w:type="character">
    <w:name w:val="WarningTok"/>
    <w:rPr>
      <w:b/>
      <w:i/>
      <w:color w:val="8F5902"/>
      <w:shd w:color="auto" w:fill="F8F8F8" w:val="clear"/>
    </w:rPr>
  </w:style>
  <w:style w:customStyle="1" w:styleId="AlertTok" w:type="character">
    <w:name w:val="AlertTok"/>
    <w:rPr>
      <w:color w:val="EF2929"/>
      <w:shd w:color="auto" w:fill="F8F8F8" w:val="clear"/>
    </w:rPr>
  </w:style>
  <w:style w:customStyle="1" w:styleId="ErrorTok" w:type="character">
    <w:name w:val="ErrorTok"/>
    <w:rPr>
      <w:b/>
      <w:color w:val="A40000"/>
      <w:shd w:color="auto" w:fill="F8F8F8" w:val="clear"/>
    </w:rPr>
  </w:style>
  <w:style w:customStyle="1" w:styleId="NormalTok" w:type="character">
    <w:name w:val="NormalTok"/>
    <w:rsid w:val="00116679"/>
    <w:rPr>
      <w:rFonts w:ascii="Courier New" w:cs="Courier New" w:hAnsi="Courier New"/>
      <w:sz w:val="12"/>
      <w:szCs w:val="12"/>
      <w:shd w:color="auto" w:fill="F8F8F8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NotRelyOnCSS/>
  <w:doNotOrganizeInFolder/>
  <w:doNotUseLongFileNames/>
  <w:pixelsPerInch w:val="0"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report_template2.dotx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Vergelijking aanvoer, import en export per soort</dc:title>
  <dc:creator/>
  <cp:keywords/>
  <dcterms:created xsi:type="dcterms:W3CDTF">2026-08-10T15:01:54Z</dcterms:created>
  <dcterms:modified xsi:type="dcterms:W3CDTF">2026-08-10T15:01:54Z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 August 2026</vt:lpwstr>
  </property>
  <property fmtid="{D5CDD505-2E9C-101B-9397-08002B2CF9AE}" pid="3" name="output">
    <vt:lpwstr/>
  </property>
  <property fmtid="{D5CDD505-2E9C-101B-9397-08002B2CF9AE}" pid="4" name="subtitle">
    <vt:lpwstr>AER (STECF) aanvoer versus Visfederatie Markttool import/export</vt:lpwstr>
  </property>
</Properties>
</file>