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Vergelijking</w:t>
      </w:r>
      <w:r>
        <w:t xml:space="preserve"> </w:t>
      </w:r>
      <w:r>
        <w:t xml:space="preserve">aanvoer,</w:t>
      </w:r>
      <w:r>
        <w:t xml:space="preserve"> </w:t>
      </w:r>
      <w:r>
        <w:t xml:space="preserve">import</w:t>
      </w:r>
      <w:r>
        <w:t xml:space="preserve"> </w:t>
      </w:r>
      <w:r>
        <w:t xml:space="preserve">en</w:t>
      </w:r>
      <w:r>
        <w:t xml:space="preserve"> </w:t>
      </w:r>
      <w:r>
        <w:t xml:space="preserve">export</w:t>
      </w:r>
      <w:r>
        <w:t xml:space="preserve"> </w:t>
      </w:r>
      <w:r>
        <w:t xml:space="preserve">per</w:t>
      </w:r>
      <w:r>
        <w:t xml:space="preserve"> </w:t>
      </w:r>
      <w:r>
        <w:t xml:space="preserve">soort</w:t>
      </w:r>
    </w:p>
    <w:p>
      <w:pPr>
        <w:pStyle w:val="Subtitle"/>
      </w:pPr>
      <w:r>
        <w:t xml:space="preserve">AER</w:t>
      </w:r>
      <w:r>
        <w:t xml:space="preserve"> </w:t>
      </w:r>
      <w:r>
        <w:t xml:space="preserve">(STECF)</w:t>
      </w:r>
      <w:r>
        <w:t xml:space="preserve"> </w:t>
      </w:r>
      <w:r>
        <w:t xml:space="preserve">aanvoer</w:t>
      </w:r>
      <w:r>
        <w:t xml:space="preserve"> </w:t>
      </w:r>
      <w:r>
        <w:t xml:space="preserve">versus</w:t>
      </w:r>
      <w:r>
        <w:t xml:space="preserve"> </w:t>
      </w:r>
      <w:r>
        <w:t xml:space="preserve">Visfederatie</w:t>
      </w:r>
      <w:r>
        <w:t xml:space="preserve"> </w:t>
      </w:r>
      <w:r>
        <w:t xml:space="preserve">Markttool</w:t>
      </w:r>
      <w:r>
        <w:t xml:space="preserve"> </w:t>
      </w:r>
      <w:r>
        <w:t xml:space="preserve">import/export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bookmarkStart w:id="20" w:name="inleiding"/>
    <w:p>
      <w:pPr>
        <w:pStyle w:val="Heading1"/>
      </w:pPr>
      <w:r>
        <w:t xml:space="preserve">Inleiding</w:t>
      </w:r>
    </w:p>
    <w:p>
      <w:pPr>
        <w:pStyle w:val="FirstParagraph"/>
      </w:pPr>
      <w:r>
        <w:t xml:space="preserve">Dit document combineert vier databronnen om kweek, aanvoer, import en export per soort</w:t>
      </w:r>
      <w:r>
        <w:t xml:space="preserve"> </w:t>
      </w:r>
      <w:r>
        <w:t xml:space="preserve">en per land te vergelijken: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Kweek</w:t>
      </w:r>
      <w:r>
        <w:t xml:space="preserve">: Agrimatie-data — het gewicht dat Nederlandse mosselkweek (levend gewicht, alle gebieden), ongeacht waar het</w:t>
      </w:r>
      <w:r>
        <w:t xml:space="preserve"> </w:t>
      </w:r>
      <w:r>
        <w:t xml:space="preserve">vervolgens verkocht wordt.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Aanvoer</w:t>
      </w:r>
      <w:r>
        <w:t xml:space="preserve">: STECF AER-data — het gewicht dat Nederlandse vissersschepen</w:t>
      </w:r>
      <w:r>
        <w:t xml:space="preserve"> </w:t>
      </w:r>
      <w:r>
        <w:t xml:space="preserve">daadwerkelijk aanlanden (levend gewicht, alle gebieden), ongeacht waar het</w:t>
      </w:r>
      <w:r>
        <w:t xml:space="preserve"> </w:t>
      </w:r>
      <w:r>
        <w:t xml:space="preserve">vervolgens verkocht wordt.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Import/export per product</w:t>
      </w:r>
      <w:r>
        <w:t xml:space="preserve">: Visfederatie Markttool (</w:t>
      </w:r>
      <w:r>
        <w:t xml:space="preserve">“</w:t>
      </w:r>
      <w:r>
        <w:t xml:space="preserve">products</w:t>
      </w:r>
      <w:r>
        <w:t xml:space="preserve">”</w:t>
      </w:r>
      <w:r>
        <w:t xml:space="preserve">-download) — de</w:t>
      </w:r>
      <w:r>
        <w:t xml:space="preserve"> </w:t>
      </w:r>
      <w:r>
        <w:t xml:space="preserve">handelsstromen die de Nederlandse grens over gaan, ongeacht wie de vis heeft</w:t>
      </w:r>
      <w:r>
        <w:t xml:space="preserve"> </w:t>
      </w:r>
      <w:r>
        <w:t xml:space="preserve">gevangen of gekweekt, uitgesplitst naar productsoort.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Import/export per land</w:t>
      </w:r>
      <w:r>
        <w:t xml:space="preserve">: Visfederatie Markttool (</w:t>
      </w:r>
      <w:r>
        <w:t xml:space="preserve">“</w:t>
      </w:r>
      <w:r>
        <w:t xml:space="preserve">partners</w:t>
      </w:r>
      <w:r>
        <w:t xml:space="preserve">”</w:t>
      </w:r>
      <w:r>
        <w:t xml:space="preserve">-download) —</w:t>
      </w:r>
      <w:r>
        <w:t xml:space="preserve"> </w:t>
      </w:r>
      <w:r>
        <w:t xml:space="preserve">dezelfde handelsstromen, maar nu uitgesplitst naar herkomst- resp.</w:t>
      </w:r>
      <w:r>
        <w:t xml:space="preserve"> </w:t>
      </w:r>
      <w:r>
        <w:t xml:space="preserve">bestemmingsland in plaats van naar product.</w:t>
      </w:r>
    </w:p>
    <w:p>
      <w:pPr>
        <w:pStyle w:val="FirstParagraph"/>
      </w:pPr>
      <w:r>
        <w:t xml:space="preserve">Zowel de product- als de partnerbestanden worden rechtstreeks vanaf schijf</w:t>
      </w:r>
      <w:r>
        <w:t xml:space="preserve"> </w:t>
      </w:r>
      <w:r>
        <w:t xml:space="preserve">ingelezen en samengevoegd; er is geen tussenstap meer nodig die een</w:t>
      </w:r>
      <w:r>
        <w:t xml:space="preserve"> </w:t>
      </w:r>
      <w:r>
        <w:t xml:space="preserve">samengevatte</w:t>
      </w:r>
      <w:r>
        <w:t xml:space="preserve"> </w:t>
      </w:r>
      <w:r>
        <w:rPr>
          <w:rStyle w:val="VerbatimChar"/>
        </w:rPr>
        <w:t xml:space="preserve">markttool_products.xlsx</w:t>
      </w:r>
      <w:r>
        <w:t xml:space="preserve">/</w:t>
      </w:r>
      <w:r>
        <w:rPr>
          <w:rStyle w:val="VerbatimChar"/>
        </w:rPr>
        <w:t xml:space="preserve">.rds</w:t>
      </w:r>
      <w:r>
        <w:t xml:space="preserve"> </w:t>
      </w:r>
      <w:r>
        <w:t xml:space="preserve">wegschrijft en weer inleest.</w:t>
      </w:r>
    </w:p>
    <w:p>
      <w:pPr>
        <w:pStyle w:val="BodyText"/>
      </w:pPr>
      <w:r>
        <w:rPr>
          <w:bCs/>
          <w:b/>
        </w:rPr>
        <w:t xml:space="preserve">Belangrijke kanttekening:</w:t>
      </w:r>
    </w:p>
    <w:p>
      <w:pPr>
        <w:pStyle w:val="BodyText"/>
      </w:pPr>
      <w:r>
        <w:t xml:space="preserve">_</w:t>
      </w:r>
      <w:r>
        <w:t xml:space="preserve"> </w:t>
      </w:r>
      <w:r>
        <w:rPr>
          <w:bCs/>
          <w:b/>
        </w:rPr>
        <w:t xml:space="preserve">Soortkoppeling is een heuristiek.</w:t>
      </w:r>
      <w:r>
        <w:t xml:space="preserve"> </w:t>
      </w:r>
      <w:r>
        <w:t xml:space="preserve">De Markttool levert geen soortcode,</w:t>
      </w:r>
      <w:r>
        <w:t xml:space="preserve"> </w:t>
      </w:r>
      <w:r>
        <w:t xml:space="preserve">alleen een vrije productomschrijving. In de code worden</w:t>
      </w:r>
      <w:r>
        <w:t xml:space="preserve"> </w:t>
      </w:r>
      <w:r>
        <w:t xml:space="preserve">soortnamen herkend via trefwoorden in die omschrijving en koppelt ze aan dezelfde</w:t>
      </w:r>
      <w:r>
        <w:t xml:space="preserve"> </w:t>
      </w:r>
      <w:r>
        <w:t xml:space="preserve">Nederlandse soortnamen als de AER-analyse. Soorten die niet door de</w:t>
      </w:r>
      <w:r>
        <w:t xml:space="preserve"> </w:t>
      </w:r>
      <w:r>
        <w:t xml:space="preserve">Nederlandse vloot worden aangevoerd maar wel veel geïmporteerd worden</w:t>
      </w:r>
      <w:r>
        <w:t xml:space="preserve"> </w:t>
      </w:r>
      <w:r>
        <w:t xml:space="preserve">(zalm, tonijn, pangasius, tilapia, alaska koolvis, …) krijgen daardoor</w:t>
      </w:r>
      <w:r>
        <w:t xml:space="preserve"> </w:t>
      </w:r>
      <w:r>
        <w:t xml:space="preserve">terecht een aanvoer van (bijna) nul. Desondanks blijft er een grote categorie</w:t>
      </w:r>
      <w:r>
        <w:t xml:space="preserve"> </w:t>
      </w:r>
      <w:r>
        <w:rPr>
          <w:bCs/>
          <w:b/>
        </w:rPr>
        <w:t xml:space="preserve">Overig / onbekend</w:t>
      </w:r>
      <w:r>
        <w:t xml:space="preserve"> </w:t>
      </w:r>
      <w:r>
        <w:t xml:space="preserve">over die kan bestaan uit verwerkte producten van verschillende</w:t>
      </w:r>
      <w:r>
        <w:t xml:space="preserve"> </w:t>
      </w:r>
      <w:r>
        <w:t xml:space="preserve">of meerdere soorten.</w:t>
      </w:r>
    </w:p>
    <w:p>
      <w:r>
        <w:br w:type="page"/>
      </w:r>
    </w:p>
    <w:bookmarkEnd w:id="20"/>
    <w:bookmarkStart w:id="24" w:name="de-totale-visstromen-in-beeld"/>
    <w:p>
      <w:pPr>
        <w:pStyle w:val="Heading1"/>
      </w:pPr>
      <w:r>
        <w:t xml:space="preserve">De totale visstromen in beeld</w:t>
      </w:r>
    </w:p>
    <w:p>
      <w:pPr>
        <w:pStyle w:val="FirstParagraph"/>
      </w:pPr>
      <w:r>
        <w:t xml:space="preserve">De aanvoerstromen staan rechts in de figuur en bestaan uit de aanvoer (uit AER),</w:t>
      </w:r>
      <w:r>
        <w:t xml:space="preserve"> </w:t>
      </w:r>
      <w:r>
        <w:t xml:space="preserve">de kweek van mosselen (uit Agrimatie) en de import van verschillende landen.</w:t>
      </w:r>
      <w:r>
        <w:t xml:space="preserve"> </w:t>
      </w:r>
      <w:r>
        <w:t xml:space="preserve">Het percentage is het deel van de totaal beschikbare hoeveelheid die wordt aangevoerd</w:t>
      </w:r>
      <w:r>
        <w:t xml:space="preserve"> </w:t>
      </w:r>
      <w:r>
        <w:t xml:space="preserve">door de Nederlandse visserij.</w:t>
      </w:r>
      <w:r>
        <w:t xml:space="preserve"> </w:t>
      </w:r>
      <w:r>
        <w:t xml:space="preserve">De uitvoer bestaat uit de export en staat links in de figuur.</w:t>
      </w:r>
      <w:r>
        <w:t xml:space="preserve"> </w:t>
      </w:r>
      <w:r>
        <w:t xml:space="preserve">Het verschil tussen wat binnenkomt (aanvoer + kweek + import) en wat weer wordt</w:t>
      </w:r>
      <w:r>
        <w:t xml:space="preserve"> </w:t>
      </w:r>
      <w:r>
        <w:t xml:space="preserve">geëxporteerd, is een grove schatting van wat er in Nederland</w:t>
      </w:r>
      <w:r>
        <w:t xml:space="preserve"> </w:t>
      </w:r>
      <w:r>
        <w:t xml:space="preserve">“</w:t>
      </w:r>
      <w:r>
        <w:t xml:space="preserve">blijft</w:t>
      </w:r>
      <w:r>
        <w:t xml:space="preserve">”</w:t>
      </w:r>
      <w:r>
        <w:t xml:space="preserve">.</w:t>
      </w:r>
      <w:r>
        <w:t xml:space="preserve"> </w:t>
      </w:r>
      <w:r>
        <w:t xml:space="preserve">Het is een mix van</w:t>
      </w:r>
      <w:r>
        <w:t xml:space="preserve"> </w:t>
      </w:r>
      <w:r>
        <w:rPr>
          <w:bCs/>
          <w:b/>
        </w:rPr>
        <w:t xml:space="preserve">binnenlandse consumptie</w:t>
      </w:r>
      <w:r>
        <w:t xml:space="preserve">,</w:t>
      </w:r>
      <w:r>
        <w:t xml:space="preserve"> </w:t>
      </w:r>
      <w:r>
        <w:rPr>
          <w:bCs/>
          <w:b/>
        </w:rPr>
        <w:t xml:space="preserve">verwerkings-/snijverlies</w:t>
      </w:r>
      <w:r>
        <w:t xml:space="preserve"> </w:t>
      </w:r>
      <w:r>
        <w:t xml:space="preserve">(bijvoorbeeld filerering, waardoor het WFE-gewicht van het eindproduct lager</w:t>
      </w:r>
      <w:r>
        <w:t xml:space="preserve"> </w:t>
      </w:r>
      <w:r>
        <w:t xml:space="preserve">is dan het gewicht dat als grondstof binnenkomt) en niet-geregistreerde</w:t>
      </w:r>
      <w:r>
        <w:t xml:space="preserve"> </w:t>
      </w:r>
      <w:r>
        <w:t xml:space="preserve">voorraadmutaties. Het is dus geen zuiver consumptiecijfer, maar een</w:t>
      </w:r>
      <w:r>
        <w:t xml:space="preserve"> </w:t>
      </w:r>
      <w:r>
        <w:t xml:space="preserve">massabalans-indicator.</w:t>
      </w:r>
    </w:p>
    <w:p>
      <w:pPr>
        <w:pStyle w:val="BodyText"/>
      </w:pPr>
      <w:r>
        <w:drawing>
          <wp:inline>
            <wp:extent cx="6464300" cy="359127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arkttool_AER_vergelijking_v3_files/markttool_AER_vergelijking_v3_files/figure-docx/plot-kweek-aanvoer-import-vs-expor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591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4"/>
    <w:bookmarkStart w:id="28" w:name="de-visstromen-per-jaar-en-per-soort"/>
    <w:p>
      <w:pPr>
        <w:pStyle w:val="Heading1"/>
      </w:pPr>
      <w:r>
        <w:t xml:space="preserve">De visstromen per jaar en per soort</w:t>
      </w:r>
    </w:p>
    <w:p>
      <w:pPr>
        <w:pStyle w:val="FirstParagraph"/>
      </w:pPr>
      <w:r>
        <w:t xml:space="preserve">Dezelfde figuur als hierboven maar nu uitgezet per jaar en per soort.</w:t>
      </w:r>
    </w:p>
    <w:p>
      <w:pPr>
        <w:pStyle w:val="BodyText"/>
      </w:pPr>
      <w:r>
        <w:drawing>
          <wp:inline>
            <wp:extent cx="6464300" cy="387745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arkttool_AER_vergelijking_v3_files/markttool_AER_vergelijking_v3_files/figure-docx/plot-kweek-aanvoer-import-vs-export-per-soor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87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8"/>
    <w:bookmarkStart w:id="34" w:name="de-visstromen-per-soort-en-per-jaar"/>
    <w:p>
      <w:pPr>
        <w:pStyle w:val="Heading1"/>
      </w:pPr>
      <w:r>
        <w:t xml:space="preserve">De visstromen per soort en per jaar</w:t>
      </w:r>
    </w:p>
    <w:p>
      <w:pPr>
        <w:pStyle w:val="FirstParagraph"/>
      </w:pPr>
      <w:r>
        <w:drawing>
          <wp:inline>
            <wp:extent cx="6464300" cy="710960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arkttool_AER_vergelijking_v3_files/markttool_AER_vergelijking_v3_files/figure-docx/plot-kweek-aanvoer-import-vs-export-per-soort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710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32" w:name="X1d0fdd329d0bb08de54199173cfbc63b2128844"/>
    <w:p>
      <w:pPr>
        <w:pStyle w:val="Heading2"/>
      </w:pPr>
      <w:r>
        <w:t xml:space="preserve">Tabel: wat komt er binnen, wordt aangevoerd of gekweekt, wat gaat er uit en wat blijft er in Nederland, per soort (totaal voor 2018-2024)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0"/>
        <w:gridCol w:w="800"/>
        <w:gridCol w:w="960"/>
        <w:gridCol w:w="880"/>
        <w:gridCol w:w="1440"/>
        <w:gridCol w:w="880"/>
        <w:gridCol w:w="13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Kweek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Aanvoer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Aanbod totaal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Export (t)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Blijft in NL 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Overig / onbekend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2.265.507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2.681.099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2.639.587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Kabeljauw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2.196.025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2.285.643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-89.618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593.404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1.433.098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Blauwe wijting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1.135.834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1.212.623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-76.789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Grijze garnaal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1.117.261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Makreel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1.067.212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Tonijn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824.387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Alaska koolvis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823.385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-239.912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Mossel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Pangasius / Meerval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Zwarte koolvis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Horsmakreel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-30.250</w:t>
            </w:r>
          </w:p>
        </w:tc>
      </w:tr>
    </w:tbl>
    <w:p>
      <w:r>
        <w:br w:type="page"/>
      </w:r>
    </w:p>
    <w:bookmarkEnd w:id="32"/>
    <w:bookmarkStart w:id="33" w:name="X1b9236cf0c10ab65f4bb54b4c33e476c073b340"/>
    <w:p>
      <w:pPr>
        <w:pStyle w:val="Heading2"/>
      </w:pPr>
      <w:r>
        <w:t xml:space="preserve">Tabel: Wat blijft er in Nederland, per jaar en per soort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1"/>
        <w:gridCol w:w="828"/>
        <w:gridCol w:w="736"/>
        <w:gridCol w:w="736"/>
        <w:gridCol w:w="736"/>
        <w:gridCol w:w="736"/>
        <w:gridCol w:w="736"/>
        <w:gridCol w:w="736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Pangasius / Meerval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Makreel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Tonijn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Mossel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Grijze garnaal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Overig / onbekend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Horsmakreel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Zwarte koolvis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Alaska koolvis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Blauwe wijting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-76.789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Kabeljauw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-169.635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-89.618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-239.912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-62.143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427.510</w:t>
            </w:r>
          </w:p>
        </w:tc>
      </w:tr>
    </w:tbl>
    <w:p>
      <w:r>
        <w:br w:type="page"/>
      </w:r>
    </w:p>
    <w:bookmarkEnd w:id="33"/>
    <w:bookmarkEnd w:id="34"/>
    <w:bookmarkStart w:id="43" w:name="X692e4ff37fe6878dd690ce29b5ee6c41e82cd7c"/>
    <w:p>
      <w:pPr>
        <w:pStyle w:val="Heading1"/>
      </w:pPr>
      <w:r>
        <w:t xml:space="preserve">Herkomst van de import en bestemming van de export</w:t>
      </w:r>
    </w:p>
    <w:bookmarkStart w:id="38" w:name="waar-komt-de-import-vandaan"/>
    <w:p>
      <w:pPr>
        <w:pStyle w:val="Heading2"/>
      </w:pPr>
      <w:r>
        <w:t xml:space="preserve">Waar komt de import vandaan?</w:t>
      </w:r>
    </w:p>
    <w:p>
      <w:pPr>
        <w:pStyle w:val="FirstParagraph"/>
      </w:pPr>
      <w:r>
        <w:drawing>
          <wp:inline>
            <wp:extent cx="6464300" cy="387858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arkttool_AER_vergelijking_v3_files/markttool_AER_vergelijking_v3_files/figure-docx/plot-landen-import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87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waar-gaat-de-export-naartoe"/>
    <w:p>
      <w:pPr>
        <w:pStyle w:val="Heading2"/>
      </w:pPr>
      <w:r>
        <w:t xml:space="preserve">Waar gaat de export naartoe?</w:t>
      </w:r>
    </w:p>
    <w:p>
      <w:pPr>
        <w:pStyle w:val="FirstParagraph"/>
      </w:pPr>
      <w:r>
        <w:drawing>
          <wp:inline>
            <wp:extent cx="6464300" cy="387858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arkttool_AER_vergelijking_v3_files/markttool_AER_vergelijking_v3_files/figure-docx/plot-landen-export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387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sectPr w:rsidR="00E43431" w:rsidSect="00CC6211">
      <w:pgSz w:h="15840" w:w="12240"/>
      <w:pgMar w:bottom="1418" w:footer="720" w:gutter="0" w:header="720" w:left="1021" w:right="1021" w:top="85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8CA44BB4"/>
    <w:multiLevelType w:val="multilevel"/>
    <w:tmpl w:val="B3ECF96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9030D5D9"/>
    <w:multiLevelType w:val="multilevel"/>
    <w:tmpl w:val="C8CE181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90BE766A"/>
    <w:multiLevelType w:val="multilevel"/>
    <w:tmpl w:val="012898C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">
    <w:nsid w:val="A06BE7E7"/>
    <w:multiLevelType w:val="multilevel"/>
    <w:tmpl w:val="AF1661B8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C8EAD5E4"/>
    <w:multiLevelType w:val="multilevel"/>
    <w:tmpl w:val="47C25960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5">
    <w:nsid w:val="CF1C380D"/>
    <w:multiLevelType w:val="multilevel"/>
    <w:tmpl w:val="72DCC2E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6">
    <w:nsid w:val="E17F69BA"/>
    <w:multiLevelType w:val="multilevel"/>
    <w:tmpl w:val="4CCECB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7">
    <w:nsid w:val="EC2F219F"/>
    <w:multiLevelType w:val="multilevel"/>
    <w:tmpl w:val="BBF42D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8">
    <w:nsid w:val="EEFA3429"/>
    <w:multiLevelType w:val="multilevel"/>
    <w:tmpl w:val="4ECA2DF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9">
    <w:nsid w:val="F68EC264"/>
    <w:multiLevelType w:val="multilevel"/>
    <w:tmpl w:val="C9B606A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10AAA4A5"/>
    <w:multiLevelType w:val="multilevel"/>
    <w:tmpl w:val="1D64E5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1">
    <w:nsid w:val="20D7BD7C"/>
    <w:multiLevelType w:val="multilevel"/>
    <w:tmpl w:val="D110F51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2">
    <w:nsid w:val="2A502C17"/>
    <w:multiLevelType w:val="multilevel"/>
    <w:tmpl w:val="25A6D5B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3">
    <w:nsid w:val="2EEBADA2"/>
    <w:multiLevelType w:val="multilevel"/>
    <w:tmpl w:val="7F8822AA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4">
    <w:nsid w:val="38F26D2F"/>
    <w:multiLevelType w:val="multilevel"/>
    <w:tmpl w:val="84EE1CB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5">
    <w:nsid w:val="6BEFAAF0"/>
    <w:multiLevelType w:val="multilevel"/>
    <w:tmpl w:val="FCE6C5A0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6">
    <w:nsid w:val="7516056B"/>
    <w:multiLevelType w:val="multilevel"/>
    <w:tmpl w:val="532E757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709378782" w:numId="1">
    <w:abstractNumId w:val="6"/>
  </w:num>
  <w:num w16cid:durableId="374082606" w:numId="2">
    <w:abstractNumId w:val="2"/>
  </w:num>
  <w:num w16cid:durableId="497690940" w:numId="3">
    <w:abstractNumId w:val="15"/>
  </w:num>
  <w:num w16cid:durableId="1905986621" w:numId="4">
    <w:abstractNumId w:val="15"/>
  </w:num>
  <w:num w16cid:durableId="1941257078" w:numId="5">
    <w:abstractNumId w:val="5"/>
  </w:num>
  <w:num w16cid:durableId="21371687" w:numId="6">
    <w:abstractNumId w:val="12"/>
  </w:num>
  <w:num w16cid:durableId="1744719970" w:numId="7">
    <w:abstractNumId w:val="7"/>
  </w:num>
  <w:num w16cid:durableId="356933221" w:numId="8">
    <w:abstractNumId w:val="11"/>
  </w:num>
  <w:num w16cid:durableId="1629044985" w:numId="9">
    <w:abstractNumId w:val="14"/>
  </w:num>
  <w:num w16cid:durableId="626356421" w:numId="10">
    <w:abstractNumId w:val="1"/>
  </w:num>
  <w:num w16cid:durableId="1446267774" w:numId="11">
    <w:abstractNumId w:val="8"/>
  </w:num>
  <w:num w16cid:durableId="716440197" w:numId="12">
    <w:abstractNumId w:val="3"/>
  </w:num>
  <w:num w16cid:durableId="2067097828" w:numId="13">
    <w:abstractNumId w:val="16"/>
  </w:num>
  <w:num w16cid:durableId="1427112790" w:numId="14">
    <w:abstractNumId w:val="13"/>
  </w:num>
  <w:num w16cid:durableId="154028065" w:numId="15">
    <w:abstractNumId w:val="10"/>
  </w:num>
  <w:num w16cid:durableId="1733234361" w:numId="16">
    <w:abstractNumId w:val="9"/>
  </w:num>
  <w:num w16cid:durableId="1689481759" w:numId="17">
    <w:abstractNumId w:val="0"/>
  </w:num>
  <w:num w16cid:durableId="593782071" w:numId="18">
    <w:abstractNumId w:val="4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="Times New Roman" w:eastAsiaTheme="minorHAnsi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24741"/>
    <w:pPr>
      <w:spacing w:after="120" w:line="276" w:lineRule="auto"/>
    </w:pPr>
    <w:rPr>
      <w:sz w:val="20"/>
      <w:szCs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524741"/>
    <w:pPr>
      <w:keepNext/>
      <w:spacing w:before="120"/>
      <w:outlineLvl w:val="0"/>
    </w:pPr>
    <w:rPr>
      <w:rFonts w:cstheme="majorBidi" w:eastAsiaTheme="majorEastAsia"/>
      <w:b/>
      <w:bCs/>
      <w:kern w:val="32"/>
      <w:sz w:val="36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524741"/>
    <w:pPr>
      <w:keepNext/>
      <w:spacing w:after="60" w:before="240"/>
      <w:outlineLvl w:val="1"/>
    </w:pPr>
    <w:rPr>
      <w:rFonts w:asciiTheme="majorHAnsi" w:cstheme="majorBidi" w:eastAsiaTheme="majorEastAsia" w:hAnsiTheme="majorHAnsi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524741"/>
    <w:pPr>
      <w:keepNext/>
      <w:spacing w:after="60" w:before="240"/>
      <w:outlineLvl w:val="2"/>
    </w:pPr>
    <w:rPr>
      <w:rFonts w:asciiTheme="majorHAnsi" w:cstheme="majorBidi" w:eastAsiaTheme="majorEastAsia" w:hAnsiTheme="majorHAnsi"/>
      <w:b/>
      <w:bCs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524741"/>
    <w:pPr>
      <w:keepNext/>
      <w:spacing w:after="60" w:before="240"/>
      <w:outlineLvl w:val="3"/>
    </w:pPr>
    <w:rPr>
      <w:rFonts w:cstheme="majorBidi"/>
      <w:b/>
      <w:bCs/>
      <w:sz w:val="28"/>
      <w:szCs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524741"/>
    <w:pPr>
      <w:pageBreakBefore/>
      <w:spacing w:after="0" w:line="240" w:lineRule="auto"/>
      <w:outlineLvl w:val="4"/>
    </w:pPr>
    <w:rPr>
      <w:rFonts w:cstheme="majorBidi"/>
      <w:b/>
      <w:bCs/>
      <w:i/>
      <w:iCs/>
      <w:color w:themeColor="background1" w:val="FFFFFF"/>
      <w:sz w:val="10"/>
      <w:szCs w:val="2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524741"/>
    <w:pPr>
      <w:spacing w:after="60" w:before="240"/>
      <w:outlineLvl w:val="5"/>
    </w:pPr>
    <w:rPr>
      <w:rFonts w:cstheme="majorBidi"/>
      <w:b/>
      <w:bCs/>
      <w:sz w:val="22"/>
      <w:szCs w:val="22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524741"/>
    <w:pPr>
      <w:spacing w:after="60" w:before="240"/>
      <w:outlineLvl w:val="6"/>
    </w:pPr>
    <w:rPr>
      <w:rFonts w:cstheme="majorBidi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524741"/>
    <w:pPr>
      <w:spacing w:after="60" w:before="240"/>
      <w:outlineLvl w:val="7"/>
    </w:pPr>
    <w:rPr>
      <w:rFonts w:cstheme="majorBidi"/>
      <w:i/>
      <w:iCs/>
      <w:sz w:val="24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524741"/>
    <w:p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524741"/>
    <w:rPr>
      <w:rFonts w:cstheme="majorBidi" w:eastAsiaTheme="majorEastAsia"/>
      <w:b/>
      <w:bCs/>
      <w:kern w:val="32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524741"/>
    <w:rPr>
      <w:rFonts w:asciiTheme="majorHAnsi" w:cstheme="majorBidi" w:eastAsiaTheme="majorEastAsia" w:hAnsiTheme="majorHAnsi"/>
      <w:b/>
      <w:bCs/>
      <w:i/>
      <w:iCs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524741"/>
    <w:rPr>
      <w:rFonts w:asciiTheme="majorHAnsi" w:cstheme="majorBidi" w:eastAsiaTheme="majorEastAsia" w:hAnsiTheme="majorHAnsi"/>
      <w:b/>
      <w:bCs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24741"/>
    <w:rPr>
      <w:rFonts w:cstheme="majorBidi"/>
      <w:b/>
      <w:bCs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524741"/>
    <w:rPr>
      <w:rFonts w:cstheme="majorBidi"/>
      <w:b/>
      <w:bCs/>
      <w:i/>
      <w:iCs/>
      <w:color w:themeColor="background1" w:val="FFFFFF"/>
      <w:sz w:val="10"/>
      <w:szCs w:val="2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524741"/>
    <w:rPr>
      <w:rFonts w:cstheme="majorBidi"/>
      <w:b/>
      <w:b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524741"/>
    <w:rPr>
      <w:rFonts w:cstheme="majorBid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524741"/>
    <w:rPr>
      <w:rFonts w:cstheme="majorBid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524741"/>
    <w:rPr>
      <w:rFonts w:asciiTheme="majorHAnsi" w:cstheme="majorBidi" w:eastAsiaTheme="majorEastAsia" w:hAnsiTheme="majorHAnsi"/>
    </w:rPr>
  </w:style>
  <w:style w:styleId="Title" w:type="paragraph">
    <w:name w:val="Title"/>
    <w:basedOn w:val="Normal"/>
    <w:next w:val="Normal"/>
    <w:link w:val="TitleChar"/>
    <w:uiPriority w:val="10"/>
    <w:qFormat/>
    <w:rsid w:val="00524741"/>
    <w:pPr>
      <w:spacing w:after="60" w:before="240"/>
      <w:outlineLvl w:val="0"/>
    </w:pPr>
    <w:rPr>
      <w:rFonts w:asciiTheme="majorHAnsi" w:cstheme="majorBidi" w:eastAsiaTheme="majorEastAsia" w:hAnsiTheme="majorHAnsi"/>
      <w:b/>
      <w:bCs/>
      <w:kern w:val="28"/>
      <w:sz w:val="36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524741"/>
    <w:rPr>
      <w:rFonts w:asciiTheme="majorHAnsi" w:cstheme="majorBidi" w:eastAsiaTheme="majorEastAsia" w:hAnsiTheme="majorHAnsi"/>
      <w:b/>
      <w:bCs/>
      <w:kern w:val="28"/>
      <w:sz w:val="36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524741"/>
    <w:pPr>
      <w:spacing w:after="60"/>
      <w:jc w:val="center"/>
      <w:outlineLvl w:val="1"/>
    </w:pPr>
    <w:rPr>
      <w:rFonts w:asciiTheme="majorHAnsi" w:cstheme="majorBidi" w:eastAsiaTheme="majorEastAsia" w:hAnsiTheme="majorHAnsi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524741"/>
    <w:rPr>
      <w:rFonts w:asciiTheme="majorHAnsi" w:cstheme="majorBidi" w:eastAsiaTheme="majorEastAsia" w:hAnsiTheme="majorHAnsi"/>
      <w:sz w:val="24"/>
      <w:szCs w:val="24"/>
    </w:rPr>
  </w:style>
  <w:style w:styleId="Strong" w:type="character">
    <w:name w:val="Strong"/>
    <w:basedOn w:val="DefaultParagraphFont"/>
    <w:uiPriority w:val="22"/>
    <w:qFormat/>
    <w:rsid w:val="00524741"/>
    <w:rPr>
      <w:b/>
      <w:bCs/>
    </w:rPr>
  </w:style>
  <w:style w:styleId="Emphasis" w:type="character">
    <w:name w:val="Emphasis"/>
    <w:basedOn w:val="DefaultParagraphFont"/>
    <w:uiPriority w:val="20"/>
    <w:qFormat/>
    <w:rsid w:val="00524741"/>
    <w:rPr>
      <w:rFonts w:asciiTheme="minorHAnsi" w:hAnsiTheme="minorHAnsi"/>
      <w:b/>
      <w:i/>
      <w:iCs/>
    </w:rPr>
  </w:style>
  <w:style w:styleId="NoSpacing" w:type="paragraph">
    <w:name w:val="No Spacing"/>
    <w:basedOn w:val="Normal"/>
    <w:uiPriority w:val="1"/>
    <w:qFormat/>
    <w:rsid w:val="00524741"/>
    <w:rPr>
      <w:szCs w:val="32"/>
    </w:rPr>
  </w:style>
  <w:style w:styleId="ListParagraph" w:type="paragraph">
    <w:name w:val="List Paragraph"/>
    <w:basedOn w:val="Normal"/>
    <w:uiPriority w:val="34"/>
    <w:qFormat/>
    <w:rsid w:val="0052474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524741"/>
    <w:rPr>
      <w:i/>
      <w:sz w:val="24"/>
    </w:rPr>
  </w:style>
  <w:style w:customStyle="1" w:styleId="QuoteChar" w:type="character">
    <w:name w:val="Quote Char"/>
    <w:basedOn w:val="DefaultParagraphFont"/>
    <w:link w:val="Quote"/>
    <w:uiPriority w:val="29"/>
    <w:rsid w:val="00524741"/>
    <w:rPr>
      <w:i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4741"/>
    <w:pPr>
      <w:ind w:left="720" w:right="720"/>
    </w:pPr>
    <w:rPr>
      <w:b/>
      <w:i/>
      <w:sz w:val="24"/>
      <w:szCs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4741"/>
    <w:rPr>
      <w:b/>
      <w:i/>
      <w:sz w:val="24"/>
    </w:rPr>
  </w:style>
  <w:style w:styleId="SubtleEmphasis" w:type="character">
    <w:name w:val="Subtle Emphasis"/>
    <w:uiPriority w:val="19"/>
    <w:qFormat/>
    <w:rsid w:val="00524741"/>
    <w:rPr>
      <w:i/>
      <w:color w:themeColor="text1" w:themeTint="A5" w:val="5A5A5A"/>
    </w:rPr>
  </w:style>
  <w:style w:styleId="IntenseEmphasis" w:type="character">
    <w:name w:val="Intense Emphasis"/>
    <w:basedOn w:val="DefaultParagraphFont"/>
    <w:uiPriority w:val="21"/>
    <w:qFormat/>
    <w:rsid w:val="00524741"/>
    <w:rPr>
      <w:b/>
      <w:i/>
      <w:sz w:val="24"/>
      <w:szCs w:val="24"/>
      <w:u w:val="single"/>
    </w:rPr>
  </w:style>
  <w:style w:styleId="SubtleReference" w:type="character">
    <w:name w:val="Subtle Reference"/>
    <w:basedOn w:val="DefaultParagraphFont"/>
    <w:uiPriority w:val="31"/>
    <w:qFormat/>
    <w:rsid w:val="00524741"/>
    <w:rPr>
      <w:sz w:val="24"/>
      <w:szCs w:val="24"/>
      <w:u w:val="single"/>
    </w:rPr>
  </w:style>
  <w:style w:styleId="IntenseReference" w:type="character">
    <w:name w:val="Intense Reference"/>
    <w:basedOn w:val="DefaultParagraphFont"/>
    <w:uiPriority w:val="32"/>
    <w:qFormat/>
    <w:rsid w:val="00524741"/>
    <w:rPr>
      <w:b/>
      <w:sz w:val="24"/>
      <w:u w:val="single"/>
    </w:rPr>
  </w:style>
  <w:style w:styleId="BookTitle" w:type="character">
    <w:name w:val="Book Title"/>
    <w:basedOn w:val="DefaultParagraphFont"/>
    <w:uiPriority w:val="33"/>
    <w:qFormat/>
    <w:rsid w:val="00524741"/>
    <w:rPr>
      <w:rFonts w:asciiTheme="majorHAnsi" w:eastAsiaTheme="majorEastAsia" w:hAnsiTheme="majorHAnsi"/>
      <w:b/>
      <w:i/>
      <w:sz w:val="24"/>
      <w:szCs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524741"/>
    <w:pPr>
      <w:outlineLvl w:val="9"/>
    </w:pPr>
  </w:style>
  <w:style w:customStyle="1" w:styleId="SourceCode" w:type="paragraph">
    <w:name w:val="Source Code"/>
    <w:basedOn w:val="Normal"/>
    <w:rsid w:val="00020085"/>
    <w:pPr>
      <w:shd w:color="auto" w:fill="F8F8F8" w:val="clear"/>
      <w:wordWrap w:val="0"/>
      <w:spacing w:line="240" w:lineRule="auto"/>
    </w:pPr>
    <w:rPr>
      <w:rFonts w:ascii="Courier New" w:cs="Courier New" w:hAnsi="Courier New"/>
      <w:sz w:val="16"/>
      <w:szCs w:val="16"/>
    </w:rPr>
  </w:style>
  <w:style w:customStyle="1" w:styleId="KeywordTok" w:type="character">
    <w:name w:val="KeywordTok"/>
    <w:rsid w:val="00116679"/>
    <w:rPr>
      <w:b/>
      <w:color w:val="204A87"/>
      <w:sz w:val="16"/>
      <w:szCs w:val="16"/>
      <w:shd w:color="auto" w:fill="F8F8F8" w:val="clear"/>
    </w:rPr>
  </w:style>
  <w:style w:customStyle="1" w:styleId="DataTypeTok" w:type="character">
    <w:name w:val="DataTypeTok"/>
    <w:rPr>
      <w:color w:val="204A87"/>
      <w:shd w:color="auto" w:fill="F8F8F8" w:val="clear"/>
    </w:rPr>
  </w:style>
  <w:style w:customStyle="1" w:styleId="DecValTok" w:type="character">
    <w:name w:val="DecValTok"/>
    <w:rPr>
      <w:color w:val="0000CF"/>
      <w:shd w:color="auto" w:fill="F8F8F8" w:val="clear"/>
    </w:rPr>
  </w:style>
  <w:style w:customStyle="1" w:styleId="BaseNTok" w:type="character">
    <w:name w:val="BaseNTok"/>
    <w:rPr>
      <w:color w:val="0000CF"/>
      <w:shd w:color="auto" w:fill="F8F8F8" w:val="clear"/>
    </w:rPr>
  </w:style>
  <w:style w:customStyle="1" w:styleId="FloatTok" w:type="character">
    <w:name w:val="FloatTok"/>
    <w:rPr>
      <w:color w:val="0000CF"/>
      <w:shd w:color="auto" w:fill="F8F8F8" w:val="clear"/>
    </w:rPr>
  </w:style>
  <w:style w:customStyle="1" w:styleId="ConstantTok" w:type="character">
    <w:name w:val="ConstantTok"/>
    <w:rPr>
      <w:color w:val="000000"/>
      <w:shd w:color="auto" w:fill="F8F8F8" w:val="clear"/>
    </w:rPr>
  </w:style>
  <w:style w:customStyle="1" w:styleId="CharTok" w:type="character">
    <w:name w:val="CharTok"/>
    <w:rPr>
      <w:color w:val="4E9A06"/>
      <w:shd w:color="auto" w:fill="F8F8F8" w:val="clear"/>
    </w:rPr>
  </w:style>
  <w:style w:customStyle="1" w:styleId="SpecialCharTok" w:type="character">
    <w:name w:val="SpecialCharTok"/>
    <w:rPr>
      <w:color w:val="000000"/>
      <w:shd w:color="auto" w:fill="F8F8F8" w:val="clear"/>
    </w:rPr>
  </w:style>
  <w:style w:customStyle="1" w:styleId="StringTok" w:type="character">
    <w:name w:val="StringTok"/>
    <w:rsid w:val="00116679"/>
    <w:rPr>
      <w:rFonts w:ascii="Courier New" w:cs="Courier New" w:hAnsi="Courier New"/>
      <w:color w:val="4E9A06"/>
      <w:sz w:val="12"/>
      <w:szCs w:val="12"/>
      <w:shd w:color="auto" w:fill="F8F8F8" w:val="clear"/>
    </w:rPr>
  </w:style>
  <w:style w:customStyle="1" w:styleId="VerbatimStringTok" w:type="character">
    <w:name w:val="VerbatimStringTok"/>
    <w:rPr>
      <w:color w:val="4E9A06"/>
      <w:shd w:color="auto" w:fill="F8F8F8" w:val="clear"/>
    </w:rPr>
  </w:style>
  <w:style w:customStyle="1" w:styleId="SpecialStringTok" w:type="character">
    <w:name w:val="SpecialStringTok"/>
    <w:rPr>
      <w:color w:val="4E9A06"/>
      <w:shd w:color="auto" w:fill="F8F8F8" w:val="clear"/>
    </w:rPr>
  </w:style>
  <w:style w:customStyle="1" w:styleId="ImportTok" w:type="character">
    <w:name w:val="ImportTok"/>
    <w:rPr>
      <w:shd w:color="auto" w:fill="F8F8F8" w:val="clear"/>
    </w:rPr>
  </w:style>
  <w:style w:customStyle="1" w:styleId="CommentTok" w:type="character">
    <w:name w:val="CommentTok"/>
    <w:rPr>
      <w:i/>
      <w:color w:val="8F5902"/>
      <w:shd w:color="auto" w:fill="F8F8F8" w:val="clear"/>
    </w:rPr>
  </w:style>
  <w:style w:customStyle="1" w:styleId="DocumentationTok" w:type="character">
    <w:name w:val="DocumentationTok"/>
    <w:rPr>
      <w:b/>
      <w:i/>
      <w:color w:val="8F5902"/>
      <w:shd w:color="auto" w:fill="F8F8F8" w:val="clear"/>
    </w:rPr>
  </w:style>
  <w:style w:customStyle="1" w:styleId="AnnotationTok" w:type="character">
    <w:name w:val="AnnotationTok"/>
    <w:rPr>
      <w:b/>
      <w:i/>
      <w:color w:val="8F5902"/>
      <w:shd w:color="auto" w:fill="F8F8F8" w:val="clear"/>
    </w:rPr>
  </w:style>
  <w:style w:customStyle="1" w:styleId="CommentVarTok" w:type="character">
    <w:name w:val="CommentVarTok"/>
    <w:rPr>
      <w:b/>
      <w:i/>
      <w:color w:val="8F5902"/>
      <w:shd w:color="auto" w:fill="F8F8F8" w:val="clear"/>
    </w:rPr>
  </w:style>
  <w:style w:customStyle="1" w:styleId="OtherTok" w:type="character">
    <w:name w:val="OtherTok"/>
    <w:rsid w:val="00116679"/>
    <w:rPr>
      <w:rFonts w:ascii="Courier New" w:cs="Courier New" w:hAnsi="Courier New"/>
      <w:color w:val="8F5902"/>
      <w:sz w:val="12"/>
      <w:szCs w:val="12"/>
      <w:shd w:color="auto" w:fill="F8F8F8" w:val="clear"/>
    </w:rPr>
  </w:style>
  <w:style w:customStyle="1" w:styleId="FunctionTok" w:type="character">
    <w:name w:val="FunctionTok"/>
    <w:rPr>
      <w:color w:val="000000"/>
      <w:shd w:color="auto" w:fill="F8F8F8" w:val="clear"/>
    </w:rPr>
  </w:style>
  <w:style w:customStyle="1" w:styleId="VariableTok" w:type="character">
    <w:name w:val="VariableTok"/>
    <w:rPr>
      <w:color w:val="000000"/>
      <w:shd w:color="auto" w:fill="F8F8F8" w:val="clear"/>
    </w:rPr>
  </w:style>
  <w:style w:customStyle="1" w:styleId="ControlFlowTok" w:type="character">
    <w:name w:val="ControlFlowTok"/>
    <w:rPr>
      <w:b/>
      <w:color w:val="204A87"/>
      <w:shd w:color="auto" w:fill="F8F8F8" w:val="clear"/>
    </w:rPr>
  </w:style>
  <w:style w:customStyle="1" w:styleId="OperatorTok" w:type="character">
    <w:name w:val="OperatorTok"/>
    <w:rPr>
      <w:b/>
      <w:color w:val="CE5C00"/>
      <w:shd w:color="auto" w:fill="F8F8F8" w:val="clear"/>
    </w:rPr>
  </w:style>
  <w:style w:customStyle="1" w:styleId="BuiltInTok" w:type="character">
    <w:name w:val="BuiltInTok"/>
    <w:rPr>
      <w:shd w:color="auto" w:fill="F8F8F8" w:val="clear"/>
    </w:rPr>
  </w:style>
  <w:style w:customStyle="1" w:styleId="ExtensionTok" w:type="character">
    <w:name w:val="ExtensionTok"/>
    <w:rPr>
      <w:shd w:color="auto" w:fill="F8F8F8" w:val="clear"/>
    </w:rPr>
  </w:style>
  <w:style w:customStyle="1" w:styleId="PreprocessorTok" w:type="character">
    <w:name w:val="PreprocessorTok"/>
    <w:rPr>
      <w:i/>
      <w:color w:val="8F5902"/>
      <w:shd w:color="auto" w:fill="F8F8F8" w:val="clear"/>
    </w:rPr>
  </w:style>
  <w:style w:customStyle="1" w:styleId="AttributeTok" w:type="character">
    <w:name w:val="AttributeTok"/>
    <w:rPr>
      <w:color w:val="C4A000"/>
      <w:shd w:color="auto" w:fill="F8F8F8" w:val="clear"/>
    </w:rPr>
  </w:style>
  <w:style w:customStyle="1" w:styleId="RegionMarkerTok" w:type="character">
    <w:name w:val="RegionMarkerTok"/>
    <w:rPr>
      <w:shd w:color="auto" w:fill="F8F8F8" w:val="clear"/>
    </w:rPr>
  </w:style>
  <w:style w:customStyle="1" w:styleId="InformationTok" w:type="character">
    <w:name w:val="InformationTok"/>
    <w:rPr>
      <w:b/>
      <w:i/>
      <w:color w:val="8F5902"/>
      <w:shd w:color="auto" w:fill="F8F8F8" w:val="clear"/>
    </w:rPr>
  </w:style>
  <w:style w:customStyle="1" w:styleId="WarningTok" w:type="character">
    <w:name w:val="WarningTok"/>
    <w:rPr>
      <w:b/>
      <w:i/>
      <w:color w:val="8F5902"/>
      <w:shd w:color="auto" w:fill="F8F8F8" w:val="clear"/>
    </w:rPr>
  </w:style>
  <w:style w:customStyle="1" w:styleId="AlertTok" w:type="character">
    <w:name w:val="AlertTok"/>
    <w:rPr>
      <w:color w:val="EF2929"/>
      <w:shd w:color="auto" w:fill="F8F8F8" w:val="clear"/>
    </w:rPr>
  </w:style>
  <w:style w:customStyle="1" w:styleId="ErrorTok" w:type="character">
    <w:name w:val="ErrorTok"/>
    <w:rPr>
      <w:b/>
      <w:color w:val="A40000"/>
      <w:shd w:color="auto" w:fill="F8F8F8" w:val="clear"/>
    </w:rPr>
  </w:style>
  <w:style w:customStyle="1" w:styleId="NormalTok" w:type="character">
    <w:name w:val="NormalTok"/>
    <w:rsid w:val="00116679"/>
    <w:rPr>
      <w:rFonts w:ascii="Courier New" w:cs="Courier New" w:hAnsi="Courier New"/>
      <w:sz w:val="12"/>
      <w:szCs w:val="1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report_template2.dotx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Vergelijking aanvoer, import en export per soort</dc:title>
  <dc:creator/>
  <cp:keywords/>
  <dcterms:created xsi:type="dcterms:W3CDTF">2026-08-20T15:10:49Z</dcterms:created>
  <dcterms:modified xsi:type="dcterms:W3CDTF">2026-08-20T15:10:49Z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August 2026</vt:lpwstr>
  </property>
  <property fmtid="{D5CDD505-2E9C-101B-9397-08002B2CF9AE}" pid="3" name="output">
    <vt:lpwstr/>
  </property>
  <property fmtid="{D5CDD505-2E9C-101B-9397-08002B2CF9AE}" pid="4" name="subtitle">
    <vt:lpwstr>AER (STECF) aanvoer versus Visfederatie Markttool import/export</vt:lpwstr>
  </property>
</Properties>
</file>