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Figure 4 Editable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Comparison dimension</w:t>
            </w:r>
          </w:p>
        </w:tc>
        <w:tc>
          <w:tcPr>
            <w:tcW w:type="dxa" w:w="3408"/>
          </w:tcPr>
          <w:p>
            <w:r>
              <w:t>Low maturity + full integration</w:t>
            </w:r>
          </w:p>
        </w:tc>
        <w:tc>
          <w:tcPr>
            <w:tcW w:type="dxa" w:w="3408"/>
          </w:tcPr>
          <w:p>
            <w:r>
              <w:t>High maturity + not pure full integration</w:t>
            </w:r>
          </w:p>
        </w:tc>
      </w:tr>
      <w:tr>
        <w:tc>
          <w:tcPr>
            <w:tcW w:type="dxa" w:w="3408"/>
          </w:tcPr>
          <w:p>
            <w:r>
              <w:t>Cases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Mean quantity</w:t>
            </w:r>
          </w:p>
        </w:tc>
        <w:tc>
          <w:tcPr>
            <w:tcW w:type="dxa" w:w="3408"/>
          </w:tcPr>
          <w:p>
            <w:r>
              <w:t>1.2</w:t>
            </w:r>
          </w:p>
        </w:tc>
        <w:tc>
          <w:tcPr>
            <w:tcW w:type="dxa" w:w="3408"/>
          </w:tcPr>
          <w:p>
            <w:r>
              <w:t>8.2</w:t>
            </w:r>
          </w:p>
        </w:tc>
      </w:tr>
      <w:tr>
        <w:tc>
          <w:tcPr>
            <w:tcW w:type="dxa" w:w="3408"/>
          </w:tcPr>
          <w:p>
            <w:r>
              <w:t>Mean integration</w:t>
            </w:r>
          </w:p>
        </w:tc>
        <w:tc>
          <w:tcPr>
            <w:tcW w:type="dxa" w:w="3408"/>
          </w:tcPr>
          <w:p>
            <w:r>
              <w:t>0.5</w:t>
            </w:r>
          </w:p>
        </w:tc>
        <w:tc>
          <w:tcPr>
            <w:tcW w:type="dxa" w:w="3408"/>
          </w:tcPr>
          <w:p>
            <w:r>
              <w:t>1.4</w:t>
            </w:r>
          </w:p>
        </w:tc>
      </w:tr>
      <w:tr>
        <w:tc>
          <w:tcPr>
            <w:tcW w:type="dxa" w:w="3408"/>
          </w:tcPr>
          <w:p>
            <w:r>
              <w:t>Mean performance</w:t>
            </w:r>
          </w:p>
        </w:tc>
        <w:tc>
          <w:tcPr>
            <w:tcW w:type="dxa" w:w="3408"/>
          </w:tcPr>
          <w:p>
            <w:r>
              <w:t>0.8</w:t>
            </w:r>
          </w:p>
        </w:tc>
        <w:tc>
          <w:tcPr>
            <w:tcW w:type="dxa" w:w="3408"/>
          </w:tcPr>
          <w:p>
            <w:r>
              <w:t>1.6</w:t>
            </w:r>
          </w:p>
        </w:tc>
      </w:tr>
      <w:tr>
        <w:tc>
          <w:tcPr>
            <w:tcW w:type="dxa" w:w="3408"/>
          </w:tcPr>
          <w:p>
            <w:r>
              <w:t>Dominant tools</w:t>
            </w:r>
          </w:p>
        </w:tc>
        <w:tc>
          <w:tcPr>
            <w:tcW w:type="dxa" w:w="3408"/>
          </w:tcPr>
          <w:p>
            <w:r>
              <w:t>AMI (2), Billing (1), GIS (1), Remote sensing (1)</w:t>
            </w:r>
          </w:p>
        </w:tc>
        <w:tc>
          <w:tcPr>
            <w:tcW w:type="dxa" w:w="3408"/>
          </w:tcPr>
          <w:p>
            <w:r>
              <w:t>AMI (4), Treatment (4), Analytics (3), Billing (3)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