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D3EA6" w14:textId="72F949E2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 xml:space="preserve">Métodos Estadísticos para IA </w:t>
      </w:r>
    </w:p>
    <w:p w14:paraId="685A9BEC" w14:textId="77777777" w:rsidR="0082666C" w:rsidRPr="00D85E66" w:rsidRDefault="0082666C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1CF060BD" w14:textId="37EF511B" w:rsidR="0082666C" w:rsidRPr="00D85E66" w:rsidRDefault="00685B60" w:rsidP="0082666C">
      <w:pPr>
        <w:pStyle w:val="Prrafodelista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Introducción: por qué la estadística descriptiva importa en IA</w:t>
      </w:r>
    </w:p>
    <w:p w14:paraId="5D031C28" w14:textId="77777777" w:rsidR="00C44566" w:rsidRPr="00D85E66" w:rsidRDefault="00C44566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3449422" w14:textId="363CFEAE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Antes de entrenar un modelo de IA es imprescindible conocer la distribución, la dispersión, la presencia de valores atípicos y la relación entre variables. La estadística descriptiva (ED—Exploratory Data Analysis) permite:</w:t>
      </w:r>
    </w:p>
    <w:p w14:paraId="78B26D8B" w14:textId="77777777" w:rsidR="00C44566" w:rsidRPr="00D85E66" w:rsidRDefault="00C44566" w:rsidP="00C44566">
      <w:pPr>
        <w:spacing w:after="0" w:line="240" w:lineRule="auto"/>
        <w:ind w:left="720"/>
        <w:jc w:val="both"/>
        <w:rPr>
          <w:rFonts w:ascii="Times New Roman" w:hAnsi="Times New Roman" w:cs="Times New Roman"/>
          <w:sz w:val="20"/>
          <w:szCs w:val="20"/>
        </w:rPr>
      </w:pPr>
    </w:p>
    <w:p w14:paraId="68F3BA02" w14:textId="5B5C22DD" w:rsidR="00685B60" w:rsidRPr="00D85E66" w:rsidRDefault="00685B60" w:rsidP="00C44566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Resumir grandes volúmenes de datos de manera comprensible.</w:t>
      </w:r>
    </w:p>
    <w:p w14:paraId="6933E0E0" w14:textId="77777777" w:rsidR="00685B60" w:rsidRPr="00D85E66" w:rsidRDefault="00685B60" w:rsidP="00C44566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Detectar errores, valores faltantes y outliers que condicionan modelos.</w:t>
      </w:r>
    </w:p>
    <w:p w14:paraId="0646DEC6" w14:textId="77777777" w:rsidR="00685B60" w:rsidRPr="00D85E66" w:rsidRDefault="00685B60" w:rsidP="00C44566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Decidir transformaciones (por ejemplo: log, Box–Cox) para cumplir supuestos de modelos lineales o mejorar convergencia en entrenamiento.</w:t>
      </w:r>
    </w:p>
    <w:p w14:paraId="67DD0CE5" w14:textId="77777777" w:rsidR="00685B60" w:rsidRPr="00D85E66" w:rsidRDefault="00685B60" w:rsidP="00C44566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Seleccionar y escalar features apropiadamente.</w:t>
      </w:r>
    </w:p>
    <w:p w14:paraId="517D6D45" w14:textId="77777777" w:rsidR="0082666C" w:rsidRPr="00D85E66" w:rsidRDefault="0082666C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7BCF3267" w14:textId="27DA56B5" w:rsidR="0082666C" w:rsidRPr="00D85E66" w:rsidRDefault="00685B60" w:rsidP="0082666C">
      <w:pPr>
        <w:pStyle w:val="Prrafodelista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Tipos de variables y su tratamiento</w:t>
      </w:r>
    </w:p>
    <w:p w14:paraId="36EB03BF" w14:textId="77777777" w:rsidR="00C44566" w:rsidRPr="00D85E66" w:rsidRDefault="00C44566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10C6B182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Variable estadística:</w:t>
      </w:r>
      <w:r w:rsidRPr="00D85E66">
        <w:rPr>
          <w:rFonts w:ascii="Times New Roman" w:hAnsi="Times New Roman" w:cs="Times New Roman"/>
          <w:sz w:val="20"/>
          <w:szCs w:val="20"/>
        </w:rPr>
        <w:t xml:space="preserve"> característica observada en cada individuo o instancia.</w:t>
      </w:r>
    </w:p>
    <w:p w14:paraId="7D8E161A" w14:textId="77777777" w:rsidR="00C44566" w:rsidRPr="00D85E66" w:rsidRDefault="00C44566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19478EE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Tipos y ejemplos aplicados</w:t>
      </w:r>
    </w:p>
    <w:p w14:paraId="55D23789" w14:textId="77777777" w:rsidR="00C44566" w:rsidRPr="00D85E66" w:rsidRDefault="00C44566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27F01ED9" w14:textId="77777777" w:rsidR="00685B60" w:rsidRPr="00D85E66" w:rsidRDefault="00685B60" w:rsidP="00C44566">
      <w:pPr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Variables cualitativas/categóricas</w:t>
      </w:r>
      <w:r w:rsidRPr="00D85E66">
        <w:rPr>
          <w:rFonts w:ascii="Times New Roman" w:hAnsi="Times New Roman" w:cs="Times New Roman"/>
          <w:sz w:val="20"/>
          <w:szCs w:val="20"/>
        </w:rPr>
        <w:t xml:space="preserve"> (no numéricas)</w:t>
      </w:r>
    </w:p>
    <w:p w14:paraId="41DC433F" w14:textId="77777777" w:rsidR="00685B60" w:rsidRPr="00D85E66" w:rsidRDefault="00685B60" w:rsidP="00C44566">
      <w:pPr>
        <w:numPr>
          <w:ilvl w:val="1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i/>
          <w:iCs/>
          <w:sz w:val="20"/>
          <w:szCs w:val="20"/>
        </w:rPr>
        <w:t>Nominales</w:t>
      </w:r>
      <w:r w:rsidRPr="00D85E66">
        <w:rPr>
          <w:rFonts w:ascii="Times New Roman" w:hAnsi="Times New Roman" w:cs="Times New Roman"/>
          <w:sz w:val="20"/>
          <w:szCs w:val="20"/>
        </w:rPr>
        <w:t>: categorías sin orden (p.ej. tipo de producto: "A", "B", "C").</w:t>
      </w:r>
    </w:p>
    <w:p w14:paraId="3A0CAE9D" w14:textId="77777777" w:rsidR="00685B60" w:rsidRPr="00D85E66" w:rsidRDefault="00685B60" w:rsidP="00C44566">
      <w:pPr>
        <w:numPr>
          <w:ilvl w:val="1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i/>
          <w:iCs/>
          <w:sz w:val="20"/>
          <w:szCs w:val="20"/>
        </w:rPr>
        <w:t>Ordinales</w:t>
      </w:r>
      <w:r w:rsidRPr="00D85E66">
        <w:rPr>
          <w:rFonts w:ascii="Times New Roman" w:hAnsi="Times New Roman" w:cs="Times New Roman"/>
          <w:sz w:val="20"/>
          <w:szCs w:val="20"/>
        </w:rPr>
        <w:t>: categorías con orden (p.ej. nivel de satisfacción: "bajo", "medio", "alto").</w:t>
      </w:r>
    </w:p>
    <w:p w14:paraId="13939800" w14:textId="77777777" w:rsidR="00685B60" w:rsidRPr="00D85E66" w:rsidRDefault="00685B60" w:rsidP="00C44566">
      <w:pPr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Variables cuantitativas</w:t>
      </w:r>
      <w:r w:rsidRPr="00D85E66">
        <w:rPr>
          <w:rFonts w:ascii="Times New Roman" w:hAnsi="Times New Roman" w:cs="Times New Roman"/>
          <w:sz w:val="20"/>
          <w:szCs w:val="20"/>
        </w:rPr>
        <w:t xml:space="preserve"> (numéricas)</w:t>
      </w:r>
    </w:p>
    <w:p w14:paraId="203AFF1C" w14:textId="77777777" w:rsidR="00685B60" w:rsidRPr="00D85E66" w:rsidRDefault="00685B60" w:rsidP="00C44566">
      <w:pPr>
        <w:numPr>
          <w:ilvl w:val="1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i/>
          <w:iCs/>
          <w:sz w:val="20"/>
          <w:szCs w:val="20"/>
        </w:rPr>
        <w:t>Discretas</w:t>
      </w:r>
      <w:r w:rsidRPr="00D85E66">
        <w:rPr>
          <w:rFonts w:ascii="Times New Roman" w:hAnsi="Times New Roman" w:cs="Times New Roman"/>
          <w:sz w:val="20"/>
          <w:szCs w:val="20"/>
        </w:rPr>
        <w:t>: toman valores enteros finitos (p.ej. número de compras por mes).</w:t>
      </w:r>
    </w:p>
    <w:p w14:paraId="1259971D" w14:textId="77777777" w:rsidR="00685B60" w:rsidRPr="00D85E66" w:rsidRDefault="00685B60" w:rsidP="00C44566">
      <w:pPr>
        <w:numPr>
          <w:ilvl w:val="1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i/>
          <w:iCs/>
          <w:sz w:val="20"/>
          <w:szCs w:val="20"/>
        </w:rPr>
        <w:t>Continuas</w:t>
      </w:r>
      <w:r w:rsidRPr="00D85E66">
        <w:rPr>
          <w:rFonts w:ascii="Times New Roman" w:hAnsi="Times New Roman" w:cs="Times New Roman"/>
          <w:sz w:val="20"/>
          <w:szCs w:val="20"/>
        </w:rPr>
        <w:t>: pueden tomar cualquier valor dentro de un intervalo (p.ej. tiempo de respuesta en segundos, peso, altura, temperatura).</w:t>
      </w:r>
    </w:p>
    <w:p w14:paraId="2CF33A1C" w14:textId="2F20AEDE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0A090DFB" w14:textId="2A6F58CD" w:rsidR="00685B60" w:rsidRPr="00D85E66" w:rsidRDefault="00685B60" w:rsidP="0082666C">
      <w:pPr>
        <w:pStyle w:val="Prrafodelista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Construcción de tablas de frecuencias</w:t>
      </w:r>
    </w:p>
    <w:p w14:paraId="0E210F68" w14:textId="77777777" w:rsidR="00C44566" w:rsidRPr="00D85E66" w:rsidRDefault="00C44566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186A0671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Una tabla de frecuencias resume cuántas observaciones caen en cada categoría o intervalo.</w:t>
      </w:r>
    </w:p>
    <w:p w14:paraId="58A27CFE" w14:textId="77777777" w:rsidR="00C44566" w:rsidRPr="00D85E66" w:rsidRDefault="00C44566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685CFA1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Elementos de una tabla de frecuencias (para variables continuas)</w:t>
      </w:r>
    </w:p>
    <w:p w14:paraId="467B1E44" w14:textId="77777777" w:rsidR="00685B60" w:rsidRPr="00D85E66" w:rsidRDefault="00685B60" w:rsidP="00C44566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Intervalos de clase</w:t>
      </w:r>
      <w:r w:rsidRPr="00D85E66">
        <w:rPr>
          <w:rFonts w:ascii="Times New Roman" w:hAnsi="Times New Roman" w:cs="Times New Roman"/>
          <w:sz w:val="20"/>
          <w:szCs w:val="20"/>
        </w:rPr>
        <w:t xml:space="preserve"> (bins)</w:t>
      </w:r>
    </w:p>
    <w:p w14:paraId="7C44FB2E" w14:textId="77777777" w:rsidR="00685B60" w:rsidRPr="00D85E66" w:rsidRDefault="00685B60" w:rsidP="00C44566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 xml:space="preserve">Frecuencia absoluta </w:t>
      </w:r>
      <w:r w:rsidRPr="00D85E66">
        <w:rPr>
          <w:rFonts w:ascii="Monotype Corsiva" w:hAnsi="Monotype Corsiva" w:cs="Times New Roman"/>
          <w:b/>
          <w:bCs/>
          <w:sz w:val="20"/>
          <w:szCs w:val="20"/>
        </w:rPr>
        <w:t>(f_i)</w:t>
      </w:r>
      <w:r w:rsidRPr="00D85E66">
        <w:rPr>
          <w:rFonts w:ascii="Times New Roman" w:hAnsi="Times New Roman" w:cs="Times New Roman"/>
          <w:sz w:val="20"/>
          <w:szCs w:val="20"/>
        </w:rPr>
        <w:t>: número de observaciones en el intervalo</w:t>
      </w:r>
    </w:p>
    <w:p w14:paraId="7D6503CD" w14:textId="77777777" w:rsidR="00685B60" w:rsidRPr="00D85E66" w:rsidRDefault="00685B60" w:rsidP="00C44566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 xml:space="preserve">Frecuencia absoluta acumulada </w:t>
      </w:r>
      <w:r w:rsidRPr="00D85E66">
        <w:rPr>
          <w:rFonts w:ascii="Monotype Corsiva" w:hAnsi="Monotype Corsiva" w:cs="Times New Roman"/>
          <w:b/>
          <w:bCs/>
          <w:sz w:val="20"/>
          <w:szCs w:val="20"/>
        </w:rPr>
        <w:t>(F_i)</w:t>
      </w:r>
    </w:p>
    <w:p w14:paraId="274FC57D" w14:textId="77777777" w:rsidR="00685B60" w:rsidRPr="00D85E66" w:rsidRDefault="00685B60" w:rsidP="00C44566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pt-PT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  <w:lang w:val="pt-PT"/>
        </w:rPr>
        <w:t xml:space="preserve">Frecuencia relativa </w:t>
      </w:r>
      <w:r w:rsidRPr="00D85E66">
        <w:rPr>
          <w:rFonts w:ascii="Monotype Corsiva" w:hAnsi="Monotype Corsiva" w:cs="Times New Roman"/>
          <w:b/>
          <w:bCs/>
          <w:sz w:val="20"/>
          <w:szCs w:val="20"/>
          <w:lang w:val="pt-PT"/>
        </w:rPr>
        <w:t>(h_i = f_i / N)</w:t>
      </w:r>
    </w:p>
    <w:p w14:paraId="3A58032F" w14:textId="77777777" w:rsidR="00685B60" w:rsidRPr="00D85E66" w:rsidRDefault="00685B60" w:rsidP="00C44566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pt-PT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  <w:lang w:val="pt-PT"/>
        </w:rPr>
        <w:t xml:space="preserve">Frecuencia relativa acumulada </w:t>
      </w:r>
      <w:r w:rsidRPr="00D85E66">
        <w:rPr>
          <w:rFonts w:ascii="Monotype Corsiva" w:hAnsi="Monotype Corsiva" w:cs="Times New Roman"/>
          <w:b/>
          <w:bCs/>
          <w:sz w:val="20"/>
          <w:szCs w:val="20"/>
          <w:lang w:val="pt-PT"/>
        </w:rPr>
        <w:t>(H_i = F_i / N)</w:t>
      </w:r>
    </w:p>
    <w:p w14:paraId="1D1DC031" w14:textId="77777777" w:rsidR="00C44566" w:rsidRPr="00D85E66" w:rsidRDefault="00C44566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pt-PT"/>
        </w:rPr>
      </w:pPr>
    </w:p>
    <w:p w14:paraId="5D7EF372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Cómo elegir intervalos</w:t>
      </w:r>
    </w:p>
    <w:p w14:paraId="6A4E404B" w14:textId="77777777" w:rsidR="00685B60" w:rsidRPr="00D85E66" w:rsidRDefault="00685B60" w:rsidP="00C44566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 xml:space="preserve">Calcular el rango: </w:t>
      </w:r>
      <w:r w:rsidRPr="00D85E66">
        <w:rPr>
          <w:rFonts w:ascii="Monotype Corsiva" w:hAnsi="Monotype Corsiva" w:cs="Times New Roman"/>
          <w:sz w:val="20"/>
          <w:szCs w:val="20"/>
        </w:rPr>
        <w:t>(R = x_{max} - x_{min}).</w:t>
      </w:r>
    </w:p>
    <w:p w14:paraId="57055BF4" w14:textId="68F44A48" w:rsidR="00685B60" w:rsidRPr="00D85E66" w:rsidRDefault="00685B60" w:rsidP="00C44566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 xml:space="preserve">Regla práctica para el número de intervalos: </w:t>
      </w:r>
      <w:r w:rsidR="00D85E66" w:rsidRPr="00D85E66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04EAF798" wp14:editId="2B8917D7">
            <wp:extent cx="9525" cy="9525"/>
            <wp:effectExtent l="0" t="0" r="0" b="0"/>
            <wp:docPr id="77059161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m:oMath>
        <m:r>
          <w:rPr>
            <w:rFonts w:ascii="Cambria Math" w:hAnsi="Cambria Math" w:cs="Times New Roman"/>
            <w:sz w:val="20"/>
            <w:szCs w:val="20"/>
          </w:rPr>
          <m:t>k≈</m:t>
        </m:r>
        <m:d>
          <m:dPr>
            <m:begChr m:val="⌈"/>
            <m:endChr m:val="⌉"/>
            <m:ctrlPr>
              <w:rPr>
                <w:rFonts w:ascii="Cambria Math" w:hAnsi="Cambria Math" w:cs="Times New Roman"/>
                <w:i/>
                <w:sz w:val="20"/>
                <w:szCs w:val="20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 w:cs="Times New Roman"/>
                    <w:sz w:val="20"/>
                    <w:szCs w:val="20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n</m:t>
                </m:r>
              </m:e>
            </m:rad>
          </m:e>
        </m:d>
      </m:oMath>
      <w:r w:rsidR="00D85E66">
        <w:rPr>
          <w:rFonts w:ascii="Times New Roman" w:eastAsiaTheme="minorEastAsia" w:hAnsi="Times New Roman" w:cs="Times New Roman"/>
          <w:sz w:val="20"/>
          <w:szCs w:val="20"/>
        </w:rPr>
        <w:t xml:space="preserve"> </w:t>
      </w:r>
      <w:r w:rsidRPr="00D85E66">
        <w:rPr>
          <w:rFonts w:ascii="Times New Roman" w:hAnsi="Times New Roman" w:cs="Times New Roman"/>
          <w:sz w:val="20"/>
          <w:szCs w:val="20"/>
        </w:rPr>
        <w:t>(entre 5 y 20 normalmente).</w:t>
      </w:r>
    </w:p>
    <w:p w14:paraId="03A59043" w14:textId="77777777" w:rsidR="00685B60" w:rsidRPr="00D85E66" w:rsidRDefault="00685B60" w:rsidP="00C44566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 xml:space="preserve">Ancho de clase: </w:t>
      </w:r>
      <w:r w:rsidRPr="00D85E66">
        <w:rPr>
          <w:rFonts w:ascii="Monotype Corsiva" w:hAnsi="Monotype Corsiva" w:cs="Times New Roman"/>
          <w:sz w:val="20"/>
          <w:szCs w:val="20"/>
        </w:rPr>
        <w:t>(w = R / k).</w:t>
      </w:r>
    </w:p>
    <w:p w14:paraId="2C18257F" w14:textId="75916ACE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</w:p>
    <w:p w14:paraId="69FADCA1" w14:textId="1F03A06C" w:rsidR="0082666C" w:rsidRPr="00D85E66" w:rsidRDefault="00685B60" w:rsidP="0082666C">
      <w:pPr>
        <w:pStyle w:val="Prrafodelista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Medidas de posición</w:t>
      </w:r>
    </w:p>
    <w:p w14:paraId="4E1904FF" w14:textId="77777777" w:rsidR="00C44566" w:rsidRPr="00D85E66" w:rsidRDefault="00C44566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3B14B94A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4.1 Media aritmética (muestra)</w:t>
      </w:r>
    </w:p>
    <w:p w14:paraId="0F68E3A0" w14:textId="77777777" w:rsidR="00C44566" w:rsidRPr="00D85E66" w:rsidRDefault="00C44566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40E2297A" w14:textId="2069375B" w:rsidR="00B3011D" w:rsidRPr="00D85E66" w:rsidRDefault="00685B60" w:rsidP="00B3011D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Definición:</w:t>
      </w:r>
      <w:r w:rsidR="00B3011D" w:rsidRPr="00D85E66">
        <w:rPr>
          <w:rFonts w:ascii="Times New Roman" w:eastAsia="Times New Roman" w:hAnsi="Times New Roman" w:cs="Times New Roman"/>
          <w:kern w:val="0"/>
          <w:sz w:val="20"/>
          <w:szCs w:val="20"/>
          <w:lang w:eastAsia="es-PE"/>
          <w14:ligatures w14:val="none"/>
        </w:rPr>
        <w:t xml:space="preserve"> </w:t>
      </w:r>
      <w:r w:rsidR="00B3011D" w:rsidRPr="00D85E66">
        <w:rPr>
          <w:rFonts w:ascii="Times New Roman" w:hAnsi="Times New Roman" w:cs="Times New Roman"/>
          <w:sz w:val="20"/>
          <w:szCs w:val="20"/>
        </w:rPr>
        <w:t xml:space="preserve">La fórmula </w:t>
      </w:r>
      <w:r w:rsidR="00B3011D" w:rsidRPr="00D85E66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1A3D5432" wp14:editId="37D17945">
            <wp:extent cx="9525" cy="9525"/>
            <wp:effectExtent l="0" t="0" r="0" b="0"/>
            <wp:docPr id="145591908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m:oMath>
        <m:acc>
          <m:accPr>
            <m:chr m:val="̄"/>
            <m:ctrlPr>
              <w:rPr>
                <w:rFonts w:ascii="Cambria Math" w:hAnsi="Cambria Math" w:cs="Times New Roman"/>
                <w:sz w:val="20"/>
                <w:szCs w:val="20"/>
              </w:rPr>
            </m:ctrlPr>
          </m:accPr>
          <m:e>
            <m:r>
              <w:rPr>
                <w:rFonts w:ascii="Cambria Math" w:hAnsi="Cambria Math" w:cs="Times New Roman"/>
                <w:sz w:val="20"/>
                <w:szCs w:val="20"/>
              </w:rPr>
              <m:t>x</m:t>
            </m:r>
          </m:e>
        </m:acc>
        <m:r>
          <w:rPr>
            <w:rFonts w:ascii="Cambria Math" w:hAnsi="Cambria Math" w:cs="Times New Roman"/>
            <w:sz w:val="20"/>
            <w:szCs w:val="20"/>
          </w:rPr>
          <m:t>=</m:t>
        </m:r>
        <m:f>
          <m:fPr>
            <m:ctrlPr>
              <w:rPr>
                <w:rFonts w:ascii="Cambria Math" w:hAnsi="Cambria Math" w:cs="Times New Roman"/>
                <w:sz w:val="20"/>
                <w:szCs w:val="20"/>
              </w:rPr>
            </m:ctrlPr>
          </m:fPr>
          <m:num>
            <m:r>
              <w:rPr>
                <w:rFonts w:ascii="Cambria Math" w:hAnsi="Cambria Math" w:cs="Times New Roman"/>
                <w:sz w:val="20"/>
                <w:szCs w:val="20"/>
              </w:rPr>
              <m:t>1</m:t>
            </m:r>
          </m:num>
          <m:den>
            <m:r>
              <w:rPr>
                <w:rFonts w:ascii="Cambria Math" w:hAnsi="Cambria Math" w:cs="Times New Roman"/>
                <w:sz w:val="20"/>
                <w:szCs w:val="20"/>
              </w:rPr>
              <m:t>n</m:t>
            </m:r>
          </m:den>
        </m:f>
        <m:nary>
          <m:naryPr>
            <m:chr m:val="∑"/>
            <m:limLoc m:val="undOvr"/>
            <m:grow m:val="1"/>
            <m:ctrlPr>
              <w:rPr>
                <w:rFonts w:ascii="Cambria Math" w:hAnsi="Cambria Math" w:cs="Times New Roman"/>
                <w:sz w:val="20"/>
                <w:szCs w:val="20"/>
              </w:rPr>
            </m:ctrlPr>
          </m:naryPr>
          <m:sub>
            <m:r>
              <w:rPr>
                <w:rFonts w:ascii="Cambria Math" w:hAnsi="Cambria Math" w:cs="Times New Roman"/>
                <w:sz w:val="20"/>
                <w:szCs w:val="20"/>
              </w:rPr>
              <m:t>i=1</m:t>
            </m:r>
          </m:sub>
          <m:sup>
            <m:r>
              <w:rPr>
                <w:rFonts w:ascii="Cambria Math" w:hAnsi="Cambria Math" w:cs="Times New Roman"/>
                <w:sz w:val="20"/>
                <w:szCs w:val="20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i</m:t>
                </m:r>
              </m:sub>
            </m:sSub>
          </m:e>
        </m:nary>
      </m:oMath>
    </w:p>
    <w:p w14:paraId="25152DF7" w14:textId="3F5E1300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8912DA7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Propiedades:</w:t>
      </w:r>
      <w:r w:rsidRPr="00D85E66">
        <w:rPr>
          <w:rFonts w:ascii="Times New Roman" w:hAnsi="Times New Roman" w:cs="Times New Roman"/>
          <w:sz w:val="20"/>
          <w:szCs w:val="20"/>
        </w:rPr>
        <w:t xml:space="preserve"> sensible a valores extremos.</w:t>
      </w:r>
    </w:p>
    <w:p w14:paraId="51DC0EEE" w14:textId="77777777" w:rsidR="00F05094" w:rsidRPr="00D85E66" w:rsidRDefault="00F05094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354F685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4.2 Mediana</w:t>
      </w:r>
    </w:p>
    <w:p w14:paraId="2D821453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Valor que deja el 50% de observaciones por debajo. Robusta frente a outliers.</w:t>
      </w:r>
    </w:p>
    <w:p w14:paraId="60026FE6" w14:textId="77777777" w:rsidR="00F05094" w:rsidRPr="00D85E66" w:rsidRDefault="00F05094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6191984D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4.3 Moda</w:t>
      </w:r>
    </w:p>
    <w:p w14:paraId="298CAA33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Valor con mayor frecuencia. Útil para variables categóricas (p.ej. el modelo de auto más vendido) o para detectar picos en distribuciones discretas.</w:t>
      </w:r>
    </w:p>
    <w:p w14:paraId="01CC8CBF" w14:textId="77777777" w:rsidR="00F05094" w:rsidRPr="00D85E66" w:rsidRDefault="00F05094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146A3368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lastRenderedPageBreak/>
        <w:t>4.4 Cuartiles y percentiles</w:t>
      </w:r>
    </w:p>
    <w:p w14:paraId="4942DE32" w14:textId="77777777" w:rsidR="00685B60" w:rsidRPr="00D85E66" w:rsidRDefault="00685B60" w:rsidP="00C44566">
      <w:pPr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Q1 (25%)</w:t>
      </w:r>
      <w:r w:rsidRPr="00D85E66">
        <w:rPr>
          <w:rFonts w:ascii="Times New Roman" w:hAnsi="Times New Roman" w:cs="Times New Roman"/>
          <w:sz w:val="20"/>
          <w:szCs w:val="20"/>
        </w:rPr>
        <w:t xml:space="preserve">, </w:t>
      </w:r>
      <w:r w:rsidRPr="00D85E66">
        <w:rPr>
          <w:rFonts w:ascii="Times New Roman" w:hAnsi="Times New Roman" w:cs="Times New Roman"/>
          <w:b/>
          <w:bCs/>
          <w:sz w:val="20"/>
          <w:szCs w:val="20"/>
        </w:rPr>
        <w:t>Q2 (50%) = mediana</w:t>
      </w:r>
      <w:r w:rsidRPr="00D85E66">
        <w:rPr>
          <w:rFonts w:ascii="Times New Roman" w:hAnsi="Times New Roman" w:cs="Times New Roman"/>
          <w:sz w:val="20"/>
          <w:szCs w:val="20"/>
        </w:rPr>
        <w:t xml:space="preserve">, </w:t>
      </w:r>
      <w:r w:rsidRPr="00D85E66">
        <w:rPr>
          <w:rFonts w:ascii="Times New Roman" w:hAnsi="Times New Roman" w:cs="Times New Roman"/>
          <w:b/>
          <w:bCs/>
          <w:sz w:val="20"/>
          <w:szCs w:val="20"/>
        </w:rPr>
        <w:t>Q3 (75%)</w:t>
      </w:r>
      <w:r w:rsidRPr="00D85E66">
        <w:rPr>
          <w:rFonts w:ascii="Times New Roman" w:hAnsi="Times New Roman" w:cs="Times New Roman"/>
          <w:sz w:val="20"/>
          <w:szCs w:val="20"/>
        </w:rPr>
        <w:t>.</w:t>
      </w:r>
    </w:p>
    <w:p w14:paraId="2552ED99" w14:textId="77777777" w:rsidR="00685B60" w:rsidRPr="00D85E66" w:rsidRDefault="00685B60" w:rsidP="00C44566">
      <w:pPr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Percentil 90 (P90)</w:t>
      </w:r>
      <w:r w:rsidRPr="00D85E66">
        <w:rPr>
          <w:rFonts w:ascii="Times New Roman" w:hAnsi="Times New Roman" w:cs="Times New Roman"/>
          <w:sz w:val="20"/>
          <w:szCs w:val="20"/>
        </w:rPr>
        <w:t>: el 90% de observaciones son ≤ P90.</w:t>
      </w:r>
    </w:p>
    <w:p w14:paraId="1B07229B" w14:textId="66BB5D84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AE47C56" w14:textId="3DB9E597" w:rsidR="0082666C" w:rsidRPr="00D85E66" w:rsidRDefault="00685B60" w:rsidP="0082666C">
      <w:pPr>
        <w:pStyle w:val="Prrafodelista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Medidas de dispersión</w:t>
      </w:r>
    </w:p>
    <w:p w14:paraId="74DDB3B0" w14:textId="77777777" w:rsidR="00F05094" w:rsidRPr="00D85E66" w:rsidRDefault="00F05094" w:rsidP="00F05094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2A559672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5.1 Rango muestral</w:t>
      </w:r>
    </w:p>
    <w:p w14:paraId="30796F5A" w14:textId="42171074" w:rsidR="00685B60" w:rsidRPr="00D85E66" w:rsidRDefault="00D85E66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1ED6D986" wp14:editId="5C91677D">
            <wp:extent cx="9525" cy="9525"/>
            <wp:effectExtent l="0" t="0" r="0" b="0"/>
            <wp:docPr id="149850557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m:oMath>
        <m:r>
          <w:rPr>
            <w:rFonts w:ascii="Cambria Math" w:hAnsi="Cambria Math" w:cs="Times New Roman"/>
            <w:sz w:val="20"/>
            <w:szCs w:val="20"/>
          </w:rPr>
          <m:t>(R=</m:t>
        </m:r>
        <m:sSub>
          <m:sSubPr>
            <m:ctrlPr>
              <w:rPr>
                <w:rFonts w:ascii="Cambria Math" w:hAnsi="Cambria Math" w:cs="Times New Roman"/>
                <w:sz w:val="20"/>
                <w:szCs w:val="20"/>
              </w:rPr>
            </m:ctrlPr>
          </m:sSubPr>
          <m:e>
            <m:r>
              <w:rPr>
                <w:rFonts w:ascii="Cambria Math" w:hAnsi="Cambria Math" w:cs="Times New Roman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 w:cs="Times New Roman"/>
                <w:sz w:val="20"/>
                <w:szCs w:val="20"/>
              </w:rPr>
              <m:t>(n)</m:t>
            </m:r>
          </m:sub>
        </m:sSub>
        <m:r>
          <w:rPr>
            <w:rFonts w:ascii="Cambria Math" w:hAnsi="Cambria Math" w:cs="Times New Roman"/>
            <w:sz w:val="20"/>
            <w:szCs w:val="20"/>
          </w:rPr>
          <m:t>-</m:t>
        </m:r>
        <m:sSub>
          <m:sSubPr>
            <m:ctrlPr>
              <w:rPr>
                <w:rFonts w:ascii="Cambria Math" w:hAnsi="Cambria Math" w:cs="Times New Roman"/>
                <w:sz w:val="20"/>
                <w:szCs w:val="20"/>
              </w:rPr>
            </m:ctrlPr>
          </m:sSubPr>
          <m:e>
            <m:r>
              <w:rPr>
                <w:rFonts w:ascii="Cambria Math" w:hAnsi="Cambria Math" w:cs="Times New Roman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 w:cs="Times New Roman"/>
                <w:sz w:val="20"/>
                <w:szCs w:val="20"/>
              </w:rPr>
              <m:t>(1)</m:t>
            </m:r>
          </m:sub>
        </m:sSub>
        <m:r>
          <w:rPr>
            <w:rFonts w:ascii="Cambria Math" w:hAnsi="Cambria Math" w:cs="Times New Roman"/>
            <w:sz w:val="20"/>
            <w:szCs w:val="20"/>
          </w:rPr>
          <m:t>)</m:t>
        </m:r>
      </m:oMath>
      <w:r w:rsidR="00685B60" w:rsidRPr="00D85E66">
        <w:rPr>
          <w:rFonts w:ascii="Times New Roman" w:hAnsi="Times New Roman" w:cs="Times New Roman"/>
          <w:sz w:val="20"/>
          <w:szCs w:val="20"/>
          <w:lang w:val="pt-PT"/>
        </w:rPr>
        <w:t>. Fácil, pero sensible a outliers.</w:t>
      </w:r>
    </w:p>
    <w:p w14:paraId="136E0B84" w14:textId="77777777" w:rsidR="00F05094" w:rsidRPr="00D85E66" w:rsidRDefault="00F05094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8A33619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5.3 Varianza muestral y desviación estándar</w:t>
      </w:r>
    </w:p>
    <w:p w14:paraId="24A35049" w14:textId="1E806455" w:rsidR="00B3011D" w:rsidRPr="00D85E66" w:rsidRDefault="00685B60" w:rsidP="00B3011D">
      <w:pPr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Varianza muestral</w:t>
      </w:r>
      <w:r w:rsidR="00B3011D" w:rsidRPr="00D85E66">
        <w:rPr>
          <w:rFonts w:ascii="Times New Roman" w:hAnsi="Times New Roman" w:cs="Times New Roman"/>
          <w:sz w:val="20"/>
          <w:szCs w:val="20"/>
        </w:rPr>
        <w:t xml:space="preserve">: </w:t>
      </w:r>
      <w:r w:rsidR="00B3011D" w:rsidRPr="00D85E66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5F506C9C" wp14:editId="7A80A46A">
            <wp:extent cx="9525" cy="9525"/>
            <wp:effectExtent l="0" t="0" r="0" b="0"/>
            <wp:docPr id="147711132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m:oMath>
        <m:sSup>
          <m:sSupPr>
            <m:ctrlPr>
              <w:rPr>
                <w:rFonts w:ascii="Cambria Math" w:hAnsi="Cambria Math" w:cs="Times New Roman"/>
                <w:sz w:val="20"/>
                <w:szCs w:val="20"/>
              </w:rPr>
            </m:ctrlPr>
          </m:sSupPr>
          <m:e>
            <m:r>
              <w:rPr>
                <w:rFonts w:ascii="Cambria Math" w:hAnsi="Cambria Math" w:cs="Times New Roman"/>
                <w:sz w:val="20"/>
                <w:szCs w:val="20"/>
              </w:rPr>
              <m:t>s</m:t>
            </m:r>
          </m:e>
          <m:sup>
            <m:r>
              <w:rPr>
                <w:rFonts w:ascii="Cambria Math" w:hAnsi="Cambria Math" w:cs="Times New Roman"/>
                <w:sz w:val="20"/>
                <w:szCs w:val="20"/>
              </w:rPr>
              <m:t>2</m:t>
            </m:r>
          </m:sup>
        </m:sSup>
        <m:r>
          <w:rPr>
            <w:rFonts w:ascii="Cambria Math" w:hAnsi="Cambria Math" w:cs="Times New Roman"/>
            <w:sz w:val="20"/>
            <w:szCs w:val="20"/>
          </w:rPr>
          <m:t>=</m:t>
        </m:r>
        <m:f>
          <m:fPr>
            <m:ctrlPr>
              <w:rPr>
                <w:rFonts w:ascii="Cambria Math" w:hAnsi="Cambria Math" w:cs="Times New Roman"/>
                <w:sz w:val="20"/>
                <w:szCs w:val="20"/>
              </w:rPr>
            </m:ctrlPr>
          </m:fPr>
          <m:num>
            <m:r>
              <w:rPr>
                <w:rFonts w:ascii="Cambria Math" w:hAnsi="Cambria Math" w:cs="Times New Roman"/>
                <w:sz w:val="20"/>
                <w:szCs w:val="20"/>
              </w:rPr>
              <m:t>1</m:t>
            </m:r>
          </m:num>
          <m:den>
            <m:r>
              <w:rPr>
                <w:rFonts w:ascii="Cambria Math" w:hAnsi="Cambria Math" w:cs="Times New Roman"/>
                <w:sz w:val="20"/>
                <w:szCs w:val="20"/>
              </w:rPr>
              <m:t>n-1</m:t>
            </m:r>
          </m:den>
        </m:f>
        <m:nary>
          <m:naryPr>
            <m:chr m:val="∑"/>
            <m:limLoc m:val="undOvr"/>
            <m:grow m:val="1"/>
            <m:ctrlPr>
              <w:rPr>
                <w:rFonts w:ascii="Cambria Math" w:hAnsi="Cambria Math" w:cs="Times New Roman"/>
                <w:sz w:val="20"/>
                <w:szCs w:val="20"/>
              </w:rPr>
            </m:ctrlPr>
          </m:naryPr>
          <m:sub>
            <m:r>
              <w:rPr>
                <w:rFonts w:ascii="Cambria Math" w:hAnsi="Cambria Math" w:cs="Times New Roman"/>
                <w:sz w:val="20"/>
                <w:szCs w:val="20"/>
              </w:rPr>
              <m:t>i=1</m:t>
            </m:r>
          </m:sub>
          <m:sup>
            <m:r>
              <w:rPr>
                <w:rFonts w:ascii="Cambria Math" w:hAnsi="Cambria Math" w:cs="Times New Roman"/>
                <w:sz w:val="20"/>
                <w:szCs w:val="20"/>
              </w:rPr>
              <m:t>n</m:t>
            </m:r>
          </m:sup>
          <m:e>
            <m:r>
              <w:rPr>
                <w:rFonts w:ascii="Cambria Math" w:hAnsi="Cambria Math" w:cs="Times New Roman"/>
                <w:sz w:val="20"/>
                <w:szCs w:val="20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  <w:sz w:val="20"/>
                <w:szCs w:val="20"/>
              </w:rPr>
              <m:t>-</m:t>
            </m:r>
            <m:acc>
              <m:accPr>
                <m:chr m:val="̄"/>
                <m:ctrlPr>
                  <w:rPr>
                    <w:rFonts w:ascii="Cambria Math" w:hAnsi="Cambria Math" w:cs="Times New Roman"/>
                    <w:sz w:val="20"/>
                    <w:szCs w:val="20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x</m:t>
                </m:r>
              </m:e>
            </m:acc>
            <m:sSup>
              <m:sSupPr>
                <m:ctrlPr>
                  <w:rPr>
                    <w:rFonts w:ascii="Cambria Math" w:hAnsi="Cambria Math" w:cs="Times New Roman"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)</m:t>
                </m:r>
              </m:e>
              <m:sup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</m:sup>
            </m:sSup>
          </m:e>
        </m:nary>
      </m:oMath>
    </w:p>
    <w:p w14:paraId="157D87EC" w14:textId="660ED1AB" w:rsidR="00685B60" w:rsidRPr="00D85E66" w:rsidRDefault="00685B60" w:rsidP="00C44566">
      <w:pPr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 xml:space="preserve">Desviación estándar: </w:t>
      </w:r>
      <w:r w:rsidR="00083AD1" w:rsidRPr="00083AD1">
        <w:rPr>
          <w:rFonts w:ascii="Times New Roman" w:hAnsi="Times New Roman" w:cs="Times New Roman"/>
          <w:sz w:val="20"/>
          <w:szCs w:val="20"/>
        </w:rPr>
        <w:t> σ = √σ²</w:t>
      </w:r>
    </w:p>
    <w:p w14:paraId="0BD41C97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Interpretación:</w:t>
      </w:r>
      <w:r w:rsidRPr="00D85E66">
        <w:rPr>
          <w:rFonts w:ascii="Times New Roman" w:hAnsi="Times New Roman" w:cs="Times New Roman"/>
          <w:sz w:val="20"/>
          <w:szCs w:val="20"/>
        </w:rPr>
        <w:t xml:space="preserve"> mide la dispersión alrededor de la media. En ML, la desviación estándar sirve para estandarizar features (z–score).</w:t>
      </w:r>
    </w:p>
    <w:p w14:paraId="7F666076" w14:textId="77777777" w:rsidR="00F05094" w:rsidRPr="00D85E66" w:rsidRDefault="00F05094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635974A4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5.4 Coeficiente de variación (CV)</w:t>
      </w:r>
    </w:p>
    <w:p w14:paraId="79DCA2B9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(CV = s / \bar{x}) (sin unidades). Permite comparar variabilidad relativa entre variables con distinta escala.</w:t>
      </w:r>
    </w:p>
    <w:p w14:paraId="72BD45B3" w14:textId="68252F38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6227E966" w14:textId="745069C8" w:rsidR="00685B60" w:rsidRPr="00D85E66" w:rsidRDefault="00685B60" w:rsidP="0082666C">
      <w:pPr>
        <w:pStyle w:val="Prrafodelista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Gráficos descriptivos</w:t>
      </w:r>
    </w:p>
    <w:p w14:paraId="475DCB63" w14:textId="77777777" w:rsidR="00F05094" w:rsidRPr="00D85E66" w:rsidRDefault="00F05094" w:rsidP="00F05094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3031D42F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6.1 Histogramas</w:t>
      </w:r>
    </w:p>
    <w:p w14:paraId="02A5D8A8" w14:textId="77777777" w:rsidR="00685B60" w:rsidRPr="00D85E66" w:rsidRDefault="00685B60" w:rsidP="00C44566">
      <w:pPr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Visualizan la estimación de la función de densidad.</w:t>
      </w:r>
    </w:p>
    <w:p w14:paraId="2F7566BF" w14:textId="77777777" w:rsidR="00685B60" w:rsidRPr="00D85E66" w:rsidRDefault="00685B60" w:rsidP="00C44566">
      <w:pPr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Pueden normalizarse (área total = 1) para compararse con distribuciones teóricas.</w:t>
      </w:r>
    </w:p>
    <w:p w14:paraId="26B97C4E" w14:textId="77777777" w:rsidR="00F05094" w:rsidRPr="00D85E66" w:rsidRDefault="00F05094" w:rsidP="00EB409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06053093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6.2 Distribución acumulada empírica (ECDF)</w:t>
      </w:r>
    </w:p>
    <w:p w14:paraId="102521BD" w14:textId="77777777" w:rsidR="00685B60" w:rsidRPr="00D85E66" w:rsidRDefault="00685B60" w:rsidP="00C44566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Grafica la fracción de datos ≤ x.</w:t>
      </w:r>
    </w:p>
    <w:p w14:paraId="7B8C1B2F" w14:textId="77777777" w:rsidR="00685B60" w:rsidRPr="00D85E66" w:rsidRDefault="00685B60" w:rsidP="00C44566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Muy útil para comparar distribuciones empíricas y teóricas.</w:t>
      </w:r>
    </w:p>
    <w:p w14:paraId="7326B3D6" w14:textId="77777777" w:rsidR="00F05094" w:rsidRPr="00D85E66" w:rsidRDefault="00F05094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017BA156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6.3 Q–Q plots</w:t>
      </w:r>
    </w:p>
    <w:p w14:paraId="7EE9143D" w14:textId="77777777" w:rsidR="00685B60" w:rsidRPr="00D85E66" w:rsidRDefault="00685B60" w:rsidP="00C44566">
      <w:pPr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Comparan cuantiles muestrales con los cuantiles teóricos (p.ej. normales).</w:t>
      </w:r>
    </w:p>
    <w:p w14:paraId="4EBA6A9C" w14:textId="77777777" w:rsidR="00685B60" w:rsidRPr="00D85E66" w:rsidRDefault="00685B60" w:rsidP="00C44566">
      <w:pPr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Si los puntos quedan cerca de la recta, la normalidad es plausible.</w:t>
      </w:r>
    </w:p>
    <w:p w14:paraId="6098D130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Importancia en IA:</w:t>
      </w:r>
      <w:r w:rsidRPr="00D85E66">
        <w:rPr>
          <w:rFonts w:ascii="Times New Roman" w:hAnsi="Times New Roman" w:cs="Times New Roman"/>
          <w:sz w:val="20"/>
          <w:szCs w:val="20"/>
        </w:rPr>
        <w:t xml:space="preserve"> algunos métodos (t-tests, ciertos intervalos de confianza, regresión lineal clásicamente) asumen normalidad de errores.</w:t>
      </w:r>
    </w:p>
    <w:p w14:paraId="329A395B" w14:textId="77777777" w:rsidR="00F05094" w:rsidRPr="00D85E66" w:rsidRDefault="00F05094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619E1B91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6.4 Diagramas de caja (boxplots)</w:t>
      </w:r>
    </w:p>
    <w:p w14:paraId="0994708E" w14:textId="77777777" w:rsidR="00685B60" w:rsidRPr="00D85E66" w:rsidRDefault="00685B60" w:rsidP="00C44566">
      <w:pPr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Muestran mediana, Q1, Q3, IQR y outliers (puntos fuera de LI/LS).</w:t>
      </w:r>
    </w:p>
    <w:p w14:paraId="1EAEBA20" w14:textId="77777777" w:rsidR="00685B60" w:rsidRPr="00D85E66" w:rsidRDefault="00685B60" w:rsidP="00C44566">
      <w:pPr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sz w:val="20"/>
          <w:szCs w:val="20"/>
        </w:rPr>
        <w:t>Útiles para comparar distribuciones entre grupos.</w:t>
      </w:r>
    </w:p>
    <w:p w14:paraId="4DF5E255" w14:textId="3A22E7D8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9BCADE4" w14:textId="05271190" w:rsidR="0082666C" w:rsidRPr="00D85E66" w:rsidRDefault="00685B60" w:rsidP="0082666C">
      <w:pPr>
        <w:pStyle w:val="Prrafodelista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Ejemplos aplicados — Casos de la vida real</w:t>
      </w:r>
    </w:p>
    <w:p w14:paraId="0414BB19" w14:textId="77777777" w:rsidR="00F05094" w:rsidRPr="00D85E66" w:rsidRDefault="00F05094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1D77BF4F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Caso A: Predicción de demanda en e</w:t>
      </w:r>
      <w:r w:rsidRPr="00D85E66">
        <w:rPr>
          <w:rFonts w:ascii="Times New Roman" w:hAnsi="Times New Roman" w:cs="Times New Roman"/>
          <w:b/>
          <w:bCs/>
          <w:sz w:val="20"/>
          <w:szCs w:val="20"/>
        </w:rPr>
        <w:noBreakHyphen/>
        <w:t>commerce</w:t>
      </w:r>
    </w:p>
    <w:p w14:paraId="15F2FB90" w14:textId="77777777" w:rsidR="00685B60" w:rsidRPr="00D85E66" w:rsidRDefault="00685B60" w:rsidP="00C44566">
      <w:pPr>
        <w:numPr>
          <w:ilvl w:val="0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Problema:</w:t>
      </w:r>
      <w:r w:rsidRPr="00D85E66">
        <w:rPr>
          <w:rFonts w:ascii="Times New Roman" w:hAnsi="Times New Roman" w:cs="Times New Roman"/>
          <w:sz w:val="20"/>
          <w:szCs w:val="20"/>
        </w:rPr>
        <w:t xml:space="preserve"> predecir demanda diaria para optimizar inventario.</w:t>
      </w:r>
    </w:p>
    <w:p w14:paraId="25A99031" w14:textId="77777777" w:rsidR="00685B60" w:rsidRPr="00D85E66" w:rsidRDefault="00685B60" w:rsidP="00C44566">
      <w:pPr>
        <w:numPr>
          <w:ilvl w:val="0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ED:</w:t>
      </w:r>
      <w:r w:rsidRPr="00D85E66">
        <w:rPr>
          <w:rFonts w:ascii="Times New Roman" w:hAnsi="Times New Roman" w:cs="Times New Roman"/>
          <w:sz w:val="20"/>
          <w:szCs w:val="20"/>
        </w:rPr>
        <w:t xml:space="preserve"> histogramas por producto, ECDF de demanda, IQR para detectar días atípicos (promociones), CV para comparar volatilidad entre SKUs.</w:t>
      </w:r>
    </w:p>
    <w:p w14:paraId="750D6936" w14:textId="77777777" w:rsidR="00685B60" w:rsidRPr="00D85E66" w:rsidRDefault="00685B60" w:rsidP="00C44566">
      <w:pPr>
        <w:numPr>
          <w:ilvl w:val="0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Decisión:</w:t>
      </w:r>
      <w:r w:rsidRPr="00D85E66">
        <w:rPr>
          <w:rFonts w:ascii="Times New Roman" w:hAnsi="Times New Roman" w:cs="Times New Roman"/>
          <w:sz w:val="20"/>
          <w:szCs w:val="20"/>
        </w:rPr>
        <w:t xml:space="preserve"> para SKUs con CV alto, usar modelos que capten heterocedasticidad (p.ej. modelos de series temporales con volatilidad).</w:t>
      </w:r>
    </w:p>
    <w:p w14:paraId="6AF5D5CA" w14:textId="77777777" w:rsidR="00F05094" w:rsidRPr="00D85E66" w:rsidRDefault="00F05094" w:rsidP="00F05094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1E8A2C6A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Caso B: Detección de fraude en transacciones</w:t>
      </w:r>
    </w:p>
    <w:p w14:paraId="35D69249" w14:textId="77777777" w:rsidR="00685B60" w:rsidRPr="00D85E66" w:rsidRDefault="00685B60" w:rsidP="00C44566">
      <w:pPr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ED:</w:t>
      </w:r>
      <w:r w:rsidRPr="00D85E66">
        <w:rPr>
          <w:rFonts w:ascii="Times New Roman" w:hAnsi="Times New Roman" w:cs="Times New Roman"/>
          <w:sz w:val="20"/>
          <w:szCs w:val="20"/>
        </w:rPr>
        <w:t xml:space="preserve"> resumir montos (media vs mediana), identificar outliers por IQR y límites, boxplots por región.</w:t>
      </w:r>
    </w:p>
    <w:p w14:paraId="03B6C1B5" w14:textId="77777777" w:rsidR="00685B60" w:rsidRPr="00D85E66" w:rsidRDefault="00685B60" w:rsidP="00C44566">
      <w:pPr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Decisión:</w:t>
      </w:r>
      <w:r w:rsidRPr="00D85E66">
        <w:rPr>
          <w:rFonts w:ascii="Times New Roman" w:hAnsi="Times New Roman" w:cs="Times New Roman"/>
          <w:sz w:val="20"/>
          <w:szCs w:val="20"/>
        </w:rPr>
        <w:t xml:space="preserve"> crear features binarias para grandes transacciones (por encima del P99) y escalar montos con log.</w:t>
      </w:r>
    </w:p>
    <w:p w14:paraId="47733BDD" w14:textId="77777777" w:rsidR="00F05094" w:rsidRPr="00D85E66" w:rsidRDefault="00F05094" w:rsidP="00F05094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1531DF4C" w14:textId="77777777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Caso C: Salud — análisis de tiempos de recuperación</w:t>
      </w:r>
    </w:p>
    <w:p w14:paraId="35503656" w14:textId="77777777" w:rsidR="00685B60" w:rsidRPr="00D85E66" w:rsidRDefault="00685B60" w:rsidP="00C44566">
      <w:pPr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85E66">
        <w:rPr>
          <w:rFonts w:ascii="Times New Roman" w:hAnsi="Times New Roman" w:cs="Times New Roman"/>
          <w:b/>
          <w:bCs/>
          <w:sz w:val="20"/>
          <w:szCs w:val="20"/>
        </w:rPr>
        <w:t>ED:</w:t>
      </w:r>
      <w:r w:rsidRPr="00D85E66">
        <w:rPr>
          <w:rFonts w:ascii="Times New Roman" w:hAnsi="Times New Roman" w:cs="Times New Roman"/>
          <w:sz w:val="20"/>
          <w:szCs w:val="20"/>
        </w:rPr>
        <w:t xml:space="preserve"> ECDF para comparar tratamientos, Q–Q plots para comprobar normalidad, uso de mediana y IQR cuando distribución sesgada.</w:t>
      </w:r>
    </w:p>
    <w:p w14:paraId="61413EE8" w14:textId="7A678932" w:rsidR="00685B60" w:rsidRPr="00D85E66" w:rsidRDefault="00685B60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7384810" w14:textId="77777777" w:rsidR="00515B28" w:rsidRPr="00D85E66" w:rsidRDefault="00515B28" w:rsidP="00C4456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sectPr w:rsidR="00515B28" w:rsidRPr="00D85E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2" type="#_x0000_t75" style="width:.75pt;height:.75pt;visibility:visible;mso-wrap-style:square" o:bullet="t">
        <v:imagedata r:id="rId1" o:title=""/>
      </v:shape>
    </w:pict>
  </w:numPicBullet>
  <w:abstractNum w:abstractNumId="0" w15:restartNumberingAfterBreak="0">
    <w:nsid w:val="05FF3456"/>
    <w:multiLevelType w:val="multilevel"/>
    <w:tmpl w:val="D8B88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326197"/>
    <w:multiLevelType w:val="multilevel"/>
    <w:tmpl w:val="580E6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20D13"/>
    <w:multiLevelType w:val="multilevel"/>
    <w:tmpl w:val="A1AC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3E1C2A"/>
    <w:multiLevelType w:val="multilevel"/>
    <w:tmpl w:val="35FE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2372BC"/>
    <w:multiLevelType w:val="multilevel"/>
    <w:tmpl w:val="D8B88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D20224"/>
    <w:multiLevelType w:val="multilevel"/>
    <w:tmpl w:val="985EF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587071"/>
    <w:multiLevelType w:val="multilevel"/>
    <w:tmpl w:val="E376C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127354"/>
    <w:multiLevelType w:val="multilevel"/>
    <w:tmpl w:val="5720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7D343A"/>
    <w:multiLevelType w:val="multilevel"/>
    <w:tmpl w:val="8842C2B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9" w15:restartNumberingAfterBreak="0">
    <w:nsid w:val="4E432562"/>
    <w:multiLevelType w:val="multilevel"/>
    <w:tmpl w:val="BA8E5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6709D3"/>
    <w:multiLevelType w:val="multilevel"/>
    <w:tmpl w:val="3F86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A73F95"/>
    <w:multiLevelType w:val="multilevel"/>
    <w:tmpl w:val="0E96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FB5770"/>
    <w:multiLevelType w:val="multilevel"/>
    <w:tmpl w:val="7E60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6C1EBC"/>
    <w:multiLevelType w:val="multilevel"/>
    <w:tmpl w:val="B5842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31C7E26"/>
    <w:multiLevelType w:val="multilevel"/>
    <w:tmpl w:val="BA865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D477E1"/>
    <w:multiLevelType w:val="multilevel"/>
    <w:tmpl w:val="8EF6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E67557"/>
    <w:multiLevelType w:val="multilevel"/>
    <w:tmpl w:val="9994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091176"/>
    <w:multiLevelType w:val="multilevel"/>
    <w:tmpl w:val="277C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B265D2"/>
    <w:multiLevelType w:val="multilevel"/>
    <w:tmpl w:val="EF68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D52CBD"/>
    <w:multiLevelType w:val="multilevel"/>
    <w:tmpl w:val="4ABC91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0" w15:restartNumberingAfterBreak="0">
    <w:nsid w:val="75D6710D"/>
    <w:multiLevelType w:val="multilevel"/>
    <w:tmpl w:val="5D7E126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1" w15:restartNumberingAfterBreak="0">
    <w:nsid w:val="79E81A1E"/>
    <w:multiLevelType w:val="hybridMultilevel"/>
    <w:tmpl w:val="CC34824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671BEB"/>
    <w:multiLevelType w:val="multilevel"/>
    <w:tmpl w:val="5D283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358893">
    <w:abstractNumId w:val="4"/>
  </w:num>
  <w:num w:numId="2" w16cid:durableId="842596427">
    <w:abstractNumId w:val="13"/>
  </w:num>
  <w:num w:numId="3" w16cid:durableId="1122915853">
    <w:abstractNumId w:val="11"/>
  </w:num>
  <w:num w:numId="4" w16cid:durableId="710106670">
    <w:abstractNumId w:val="22"/>
  </w:num>
  <w:num w:numId="5" w16cid:durableId="270666389">
    <w:abstractNumId w:val="12"/>
  </w:num>
  <w:num w:numId="6" w16cid:durableId="842432294">
    <w:abstractNumId w:val="6"/>
  </w:num>
  <w:num w:numId="7" w16cid:durableId="1750271615">
    <w:abstractNumId w:val="5"/>
  </w:num>
  <w:num w:numId="8" w16cid:durableId="1237742937">
    <w:abstractNumId w:val="17"/>
  </w:num>
  <w:num w:numId="9" w16cid:durableId="670832337">
    <w:abstractNumId w:val="7"/>
  </w:num>
  <w:num w:numId="10" w16cid:durableId="2137596705">
    <w:abstractNumId w:val="2"/>
  </w:num>
  <w:num w:numId="11" w16cid:durableId="1678071288">
    <w:abstractNumId w:val="14"/>
  </w:num>
  <w:num w:numId="12" w16cid:durableId="2080588992">
    <w:abstractNumId w:val="9"/>
  </w:num>
  <w:num w:numId="13" w16cid:durableId="737634510">
    <w:abstractNumId w:val="8"/>
  </w:num>
  <w:num w:numId="14" w16cid:durableId="1714109045">
    <w:abstractNumId w:val="15"/>
  </w:num>
  <w:num w:numId="15" w16cid:durableId="1705406154">
    <w:abstractNumId w:val="10"/>
  </w:num>
  <w:num w:numId="16" w16cid:durableId="1288203030">
    <w:abstractNumId w:val="3"/>
  </w:num>
  <w:num w:numId="17" w16cid:durableId="1587373195">
    <w:abstractNumId w:val="16"/>
  </w:num>
  <w:num w:numId="18" w16cid:durableId="1390884407">
    <w:abstractNumId w:val="18"/>
  </w:num>
  <w:num w:numId="19" w16cid:durableId="1447390917">
    <w:abstractNumId w:val="1"/>
  </w:num>
  <w:num w:numId="20" w16cid:durableId="761612559">
    <w:abstractNumId w:val="0"/>
  </w:num>
  <w:num w:numId="21" w16cid:durableId="988047963">
    <w:abstractNumId w:val="21"/>
  </w:num>
  <w:num w:numId="22" w16cid:durableId="782924724">
    <w:abstractNumId w:val="19"/>
  </w:num>
  <w:num w:numId="23" w16cid:durableId="95028534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B60"/>
    <w:rsid w:val="00083AD1"/>
    <w:rsid w:val="001346C7"/>
    <w:rsid w:val="0050113F"/>
    <w:rsid w:val="00515B28"/>
    <w:rsid w:val="00685B60"/>
    <w:rsid w:val="0082666C"/>
    <w:rsid w:val="00B3011D"/>
    <w:rsid w:val="00B66656"/>
    <w:rsid w:val="00C437DB"/>
    <w:rsid w:val="00C44566"/>
    <w:rsid w:val="00D721EB"/>
    <w:rsid w:val="00D85E66"/>
    <w:rsid w:val="00DD1A80"/>
    <w:rsid w:val="00EB4096"/>
    <w:rsid w:val="00F05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75707"/>
  <w15:chartTrackingRefBased/>
  <w15:docId w15:val="{05BE7C0F-023F-4136-9032-72DD87BDF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5B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85B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85B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85B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85B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85B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85B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85B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85B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85B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85B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85B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85B6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85B6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85B6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85B6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85B6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85B6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85B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85B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85B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85B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85B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85B6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85B6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85B6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85B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85B6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85B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gif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2981</TotalTime>
  <Pages>2</Pages>
  <Words>688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Paliza</dc:creator>
  <cp:keywords/>
  <dc:description/>
  <cp:lastModifiedBy>Martin Paliza</cp:lastModifiedBy>
  <cp:revision>5</cp:revision>
  <dcterms:created xsi:type="dcterms:W3CDTF">2025-10-07T00:01:00Z</dcterms:created>
  <dcterms:modified xsi:type="dcterms:W3CDTF">2025-10-24T03:36:00Z</dcterms:modified>
</cp:coreProperties>
</file>