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30BAE98" w14:textId="77777777" w:rsidR="004F6FB7" w:rsidRDefault="00A575F7" w:rsidP="003D7EBF">
      <w:pPr>
        <w:pStyle w:val="Heading1"/>
        <w:numPr>
          <w:ilvl w:val="0"/>
          <w:numId w:val="1"/>
        </w:numPr>
        <w:jc w:val="both"/>
      </w:pPr>
      <w:proofErr w:type="spellStart"/>
      <w:r w:rsidRPr="005432E3">
        <w:t>Úvod</w:t>
      </w:r>
      <w:proofErr w:type="spellEnd"/>
    </w:p>
    <w:p w14:paraId="4235B378" w14:textId="77777777" w:rsidR="00985013" w:rsidRDefault="00AB17D0" w:rsidP="003D7EBF">
      <w:pPr>
        <w:jc w:val="both"/>
      </w:pPr>
      <w:r>
        <w:tab/>
        <w:t>V této prác</w:t>
      </w:r>
      <w:r w:rsidR="00AD6E42">
        <w:t xml:space="preserve">i je řešena implementace SHO, který bude bude použit pro sestavení modelu počítačového serveru. Na základě modelu a simulačních experimentů bude ukázáno vytížení serveru a jeho jednotlivých komponent v různých </w:t>
      </w:r>
      <w:r w:rsidR="00B65630">
        <w:t>konfiguracích</w:t>
      </w:r>
      <w:r w:rsidR="00AD6E42">
        <w:t xml:space="preserve">. Model </w:t>
      </w:r>
      <w:r w:rsidR="00810B9F">
        <w:t>vychází z reálného</w:t>
      </w:r>
      <w:r w:rsidR="00AD6E42">
        <w:t xml:space="preserve"> serveru</w:t>
      </w:r>
      <w:r w:rsidR="00D10F45">
        <w:t xml:space="preserve"> relaxhosting.cz</w:t>
      </w:r>
      <w:r w:rsidR="00810B9F">
        <w:t>.</w:t>
      </w:r>
      <w:r w:rsidR="00D10F45">
        <w:t xml:space="preserve"> Statistiky přístupu uživatelů, které nebylo možné získat jsou doplněny informacemi ze serveru mujhost.net</w:t>
      </w:r>
      <w:r w:rsidR="00AD6E42">
        <w:t xml:space="preserve">. Smyslem experimentu jezjistit, </w:t>
      </w:r>
      <w:r w:rsidR="00D10F45">
        <w:t xml:space="preserve">které komponenty se podílejí na výsledném výkonu v konkrétním případě nejvíce a vyplatilo by se je </w:t>
      </w:r>
      <w:r w:rsidR="00415C0B">
        <w:t xml:space="preserve">s ohledem na jejich cenu </w:t>
      </w:r>
      <w:r w:rsidR="00D10F45">
        <w:t>aktualizovat</w:t>
      </w:r>
      <w:r w:rsidR="00001BF0">
        <w:t xml:space="preserve">. </w:t>
      </w:r>
      <w:r w:rsidR="00D10F45">
        <w:t>Pro zpracování modelu bylo nutné získat podrobné statistiky o fungování doplněné konzultací se správcem serveru</w:t>
      </w:r>
      <w:r w:rsidR="00981ED2">
        <w:t xml:space="preserve">. Výsledky experimentů mohou být použity jako zdroj informací pro webhostingové servery tohoto rozsahu v případě, že je bude třeba aktualizovat. </w:t>
      </w:r>
    </w:p>
    <w:p w14:paraId="2132C98E" w14:textId="77777777" w:rsidR="00981ED2" w:rsidRPr="001F3685" w:rsidRDefault="00981ED2" w:rsidP="003D7EBF">
      <w:pPr>
        <w:pStyle w:val="Heading2"/>
        <w:numPr>
          <w:ilvl w:val="1"/>
          <w:numId w:val="3"/>
        </w:numPr>
        <w:jc w:val="both"/>
      </w:pPr>
      <w:r w:rsidRPr="001F3685">
        <w:t>Zůčastněné osoby a zdroje informací</w:t>
      </w:r>
    </w:p>
    <w:p w14:paraId="346B0096" w14:textId="77777777" w:rsidR="00EF5036" w:rsidRDefault="00981ED2" w:rsidP="003D7EBF">
      <w:pPr>
        <w:ind w:firstLine="440"/>
        <w:jc w:val="both"/>
      </w:pPr>
      <w:r>
        <w:t xml:space="preserve">Autory projektu jsou </w:t>
      </w:r>
      <w:r w:rsidR="00EF5036">
        <w:t xml:space="preserve">studenti FIT VUT </w:t>
      </w:r>
      <w:r>
        <w:t>Jakub Sznapka a Michal Lukáč.</w:t>
      </w:r>
    </w:p>
    <w:p w14:paraId="08025695" w14:textId="77777777" w:rsidR="00EF5036" w:rsidRDefault="00981ED2" w:rsidP="003D7EBF">
      <w:pPr>
        <w:ind w:firstLine="440"/>
        <w:jc w:val="both"/>
      </w:pPr>
      <w:r>
        <w:t>Člov</w:t>
      </w:r>
      <w:r w:rsidR="00EF5036">
        <w:t xml:space="preserve">ěkem, který velkou měrou pomohl </w:t>
      </w:r>
      <w:r>
        <w:t>je Ing. Martin Dost</w:t>
      </w:r>
      <w:r w:rsidR="00EF5036">
        <w:t>ál, správce serveru mujhost.net.Ten</w:t>
      </w:r>
      <w:r>
        <w:t xml:space="preserve"> poskytnul obecné informace o fungování server</w:t>
      </w:r>
      <w:r w:rsidR="00EF5036">
        <w:t>u a doplnil chybějící informace ke statistikám. Poskytnul také informace o konfiguraci serveru mujhost.net, ze které se vycházelo v případě nedostatečných informací.</w:t>
      </w:r>
    </w:p>
    <w:p w14:paraId="5CC04EAB" w14:textId="77777777" w:rsidR="001F3685" w:rsidRDefault="00EF5036" w:rsidP="003D7EBF">
      <w:pPr>
        <w:ind w:firstLine="440"/>
        <w:jc w:val="both"/>
      </w:pPr>
      <w:r>
        <w:t>Důležitým zdrojem informací pro sestavení modelu byly podrobné statistiky ze serveru relaxhosting.cz získáné p</w:t>
      </w:r>
      <w:r w:rsidR="001F3685">
        <w:t>omocí nástroje Munin a admin</w:t>
      </w:r>
      <w:r w:rsidR="00415C0B">
        <w:t>istrá</w:t>
      </w:r>
      <w:r w:rsidR="001F3685">
        <w:t>tora tohoto serveru.</w:t>
      </w:r>
    </w:p>
    <w:p w14:paraId="5896ED55" w14:textId="77777777" w:rsidR="001F3685" w:rsidRDefault="001F3685" w:rsidP="003D7EBF">
      <w:pPr>
        <w:pStyle w:val="Heading2"/>
        <w:numPr>
          <w:ilvl w:val="1"/>
          <w:numId w:val="3"/>
        </w:numPr>
        <w:jc w:val="both"/>
      </w:pPr>
      <w:r>
        <w:t>Validita modelu</w:t>
      </w:r>
    </w:p>
    <w:p w14:paraId="311BAF58" w14:textId="77777777" w:rsidR="001F3685" w:rsidRPr="00981ED2" w:rsidRDefault="001F3685" w:rsidP="003D7EBF">
      <w:pPr>
        <w:ind w:firstLine="426"/>
        <w:jc w:val="both"/>
      </w:pPr>
      <w:r>
        <w:t>Validita m</w:t>
      </w:r>
      <w:r w:rsidR="00972606">
        <w:t xml:space="preserve">odelu byla ověřena pomocí výstupních statistik, které odpovídají realným modelům a chování realných systémů. </w:t>
      </w:r>
      <w:r w:rsidR="00AC661E">
        <w:t>Výstupní data byla v souladu s výsledky testů[1</w:t>
      </w:r>
      <w:r w:rsidR="001B50B7">
        <w:t>,2</w:t>
      </w:r>
      <w:r w:rsidR="00AC661E">
        <w:t>], které byly p</w:t>
      </w:r>
      <w:r w:rsidR="001B50B7">
        <w:t xml:space="preserve">rováděny na reálných systémech. Některé principy byly </w:t>
      </w:r>
      <w:r w:rsidR="006E48DA">
        <w:t xml:space="preserve">také </w:t>
      </w:r>
      <w:r w:rsidR="001B50B7">
        <w:t>potvrzeny správci</w:t>
      </w:r>
      <w:r w:rsidR="006E48DA">
        <w:t xml:space="preserve"> výše zmíněných</w:t>
      </w:r>
      <w:r w:rsidR="001B50B7">
        <w:t xml:space="preserve"> serverů.</w:t>
      </w:r>
    </w:p>
    <w:p w14:paraId="0E22982A" w14:textId="77777777" w:rsidR="006E48DA" w:rsidRDefault="00436416" w:rsidP="003D7EBF">
      <w:pPr>
        <w:pStyle w:val="Heading1"/>
      </w:pPr>
      <w:r>
        <w:t xml:space="preserve">2. </w:t>
      </w:r>
      <w:proofErr w:type="spellStart"/>
      <w:r w:rsidR="006E48DA">
        <w:t>Rozbortématu</w:t>
      </w:r>
      <w:proofErr w:type="spellEnd"/>
      <w:r w:rsidR="006E48DA">
        <w:t xml:space="preserve"> a </w:t>
      </w:r>
      <w:proofErr w:type="spellStart"/>
      <w:r w:rsidR="006E48DA">
        <w:t>použitýchmetod</w:t>
      </w:r>
      <w:proofErr w:type="spellEnd"/>
      <w:r w:rsidR="006E48DA">
        <w:t>/</w:t>
      </w:r>
      <w:proofErr w:type="spellStart"/>
      <w:r w:rsidR="006E48DA">
        <w:t>technologií</w:t>
      </w:r>
      <w:proofErr w:type="spellEnd"/>
    </w:p>
    <w:p w14:paraId="60344AE3" w14:textId="77777777" w:rsidR="00CF2FF8" w:rsidRDefault="006E48DA" w:rsidP="003D7EBF">
      <w:pPr>
        <w:widowControl w:val="0"/>
        <w:autoSpaceDE w:val="0"/>
        <w:autoSpaceDN w:val="0"/>
        <w:adjustRightInd w:val="0"/>
        <w:spacing w:after="240" w:line="240" w:lineRule="auto"/>
        <w:jc w:val="both"/>
      </w:pPr>
      <w:r>
        <w:tab/>
      </w:r>
      <w:r w:rsidR="00BD3B32">
        <w:t xml:space="preserve">Systém je modelován jako systém hromadné obsluhy(SHO)[IMS, </w:t>
      </w:r>
      <w:r w:rsidR="004D3D1A">
        <w:t xml:space="preserve">s. </w:t>
      </w:r>
      <w:r w:rsidR="00BD3B32">
        <w:t xml:space="preserve">139]. </w:t>
      </w:r>
      <w:r w:rsidR="004D3D1A">
        <w:t>SHO, j</w:t>
      </w:r>
      <w:r w:rsidR="00CF2FF8">
        <w:t xml:space="preserve">ak ji definoval </w:t>
      </w:r>
      <w:r w:rsidR="00CF2FF8" w:rsidRPr="00CF2FF8">
        <w:t>D. G. Kendall</w:t>
      </w:r>
      <w:r w:rsidR="000131FF">
        <w:t xml:space="preserve"> má tři hlavní hlediska X,Y,c. Specifikace SHO má tedy tvar X/Y/c, kde </w:t>
      </w:r>
      <w:r w:rsidR="000131FF" w:rsidRPr="000131FF">
        <w:t xml:space="preserve">X je typ </w:t>
      </w:r>
      <w:r w:rsidR="000131FF">
        <w:t xml:space="preserve">stochastického procesu popisujícího příchod požadavků k obsluze. Y je zákon o rozložení délky obsluhy a c vyjadřuje počt dostupných obslužných linek. X,Y nabývají hodnot </w:t>
      </w:r>
      <w:r w:rsidR="000131FF" w:rsidRPr="000131FF">
        <w:t>M,D,G,En,Kn,GI</w:t>
      </w:r>
      <w:r w:rsidR="000131FF">
        <w:t xml:space="preserve">, které vyjadřují rozložení </w:t>
      </w:r>
      <w:r w:rsidR="000131FF">
        <w:lastRenderedPageBreak/>
        <w:t>příchodů v případě X a rozložení doby obsluhy v případě Y. c Je přirozeně velké číslo vyjadřující počet obslužných linek.</w:t>
      </w:r>
    </w:p>
    <w:p w14:paraId="5129D92E" w14:textId="77777777" w:rsidR="00C6038B" w:rsidRDefault="00BD3B32" w:rsidP="003D7EBF">
      <w:pPr>
        <w:ind w:firstLine="708"/>
        <w:jc w:val="both"/>
      </w:pPr>
      <w:r>
        <w:t xml:space="preserve">Model </w:t>
      </w:r>
      <w:r w:rsidR="004D3D1A">
        <w:t>našeho</w:t>
      </w:r>
      <w:r w:rsidR="00F62A24">
        <w:t xml:space="preserve"> p</w:t>
      </w:r>
      <w:r w:rsidR="00CF2FF8">
        <w:t xml:space="preserve">očítačového serveru </w:t>
      </w:r>
      <w:r>
        <w:t>obsahuje 3 procesy</w:t>
      </w:r>
      <w:r w:rsidR="00C6038B">
        <w:t>, které simulují reálné skupiny procesů na serveru. Proces webových služeb zahrnuje příchod požadavku na server, zabrání obslužné linky a zpracování požadavku. Skupina systé</w:t>
      </w:r>
      <w:r w:rsidR="002323BC">
        <w:t>mových procesů zahrnuje cyklus 270</w:t>
      </w:r>
      <w:r w:rsidR="00C6038B">
        <w:t xml:space="preserve"> systémových procesů, které jsou podle potřeby aktivovány</w:t>
      </w:r>
      <w:r w:rsidR="00A4347D">
        <w:t>, jinak se nacházejí ve stavu IDLE</w:t>
      </w:r>
      <w:r w:rsidR="00C6038B">
        <w:t>. Skupina uživatelských procesů obsahuje proces vzniku, zpracování a zániku.</w:t>
      </w:r>
    </w:p>
    <w:p w14:paraId="4D7D9712" w14:textId="77777777" w:rsidR="00C6038B" w:rsidRDefault="00C6038B" w:rsidP="003D7EBF">
      <w:pPr>
        <w:ind w:firstLine="708"/>
        <w:jc w:val="both"/>
      </w:pPr>
      <w:r>
        <w:t>Systém o</w:t>
      </w:r>
      <w:r w:rsidR="00BD3B32">
        <w:t xml:space="preserve">bsahuje </w:t>
      </w:r>
      <w:r>
        <w:t>3</w:t>
      </w:r>
      <w:r w:rsidR="00BD3B32">
        <w:t xml:space="preserve"> linky</w:t>
      </w:r>
      <w:r w:rsidR="000131FF">
        <w:t>typu Facilit</w:t>
      </w:r>
      <w:r>
        <w:t>y a jednu linku typu Store</w:t>
      </w:r>
      <w:r w:rsidR="00A4347D">
        <w:t>[IMS, s. 149]</w:t>
      </w:r>
      <w:r w:rsidR="00BD3B32">
        <w:t xml:space="preserve">, které zpracovávají požadavky. </w:t>
      </w:r>
      <w:r>
        <w:t>F</w:t>
      </w:r>
      <w:r w:rsidR="00B54BF7">
        <w:t>ronty typu Facility byly zvoleny u komponenty procesor, disk a databázový server, ke kterému může přistupovat pouze jeden proces. Procesor je modelován jako pole linek, což umožňuje realizovat mult</w:t>
      </w:r>
      <w:r w:rsidR="00A4347D">
        <w:t>i-procesorový systém. Jako linka</w:t>
      </w:r>
      <w:r w:rsidR="00B54BF7">
        <w:t xml:space="preserve"> typu Store byl zvolen webový server, který takto může být realizován jako konkurentní.</w:t>
      </w:r>
    </w:p>
    <w:p w14:paraId="661973D0" w14:textId="77777777" w:rsidR="00CF3F6F" w:rsidRDefault="00CF2FF8" w:rsidP="003D7EBF">
      <w:pPr>
        <w:ind w:firstLine="708"/>
        <w:jc w:val="both"/>
      </w:pPr>
      <w:r>
        <w:t>Všechny procesy jsou řazeny do jediné</w:t>
      </w:r>
      <w:r w:rsidR="000131FF">
        <w:t xml:space="preserve"> sdílené</w:t>
      </w:r>
      <w:r>
        <w:t xml:space="preserve"> fron</w:t>
      </w:r>
      <w:r w:rsidR="000131FF">
        <w:t>ty, kde čekají na uvolnění linek</w:t>
      </w:r>
      <w:r>
        <w:t>.</w:t>
      </w:r>
      <w:r w:rsidR="00CF3F6F">
        <w:t>Volba jedné fronty je zde zvolena, protože všechny procesy jsou si rovnocenné a nepotřebujeme uvažovat prioritu jednotlivých procesů.</w:t>
      </w:r>
    </w:p>
    <w:p w14:paraId="797CF070" w14:textId="77777777" w:rsidR="00842DF3" w:rsidRDefault="00842DF3" w:rsidP="003D7EBF">
      <w:pPr>
        <w:jc w:val="both"/>
      </w:pPr>
      <w:r>
        <w:tab/>
        <w:t>Na webovém serveru byl použit systém memcached</w:t>
      </w:r>
      <w:r w:rsidR="00A4347D">
        <w:t>[3]</w:t>
      </w:r>
      <w:r>
        <w:t xml:space="preserve"> v kombinaci s MySQL cachingem</w:t>
      </w:r>
      <w:r w:rsidR="00A4347D">
        <w:t>[4]</w:t>
      </w:r>
      <w:r>
        <w:t>. Tento způ</w:t>
      </w:r>
      <w:r w:rsidR="0089663A">
        <w:t>sob byl zvolen, abychom zjistili</w:t>
      </w:r>
      <w:r>
        <w:t xml:space="preserve">li, jaký vliv má na celkový výkon takto nastavený </w:t>
      </w:r>
      <w:r w:rsidR="00F959F0">
        <w:t>databázový server. Memcached je open-source high-performance caching multiplatformní systém, najčastěji používaný v dynamických webových stránkach s vetším počtem uživatelských a dotazů do databáze</w:t>
      </w:r>
      <w:r w:rsidR="00436416">
        <w:t>. Pomocí memcache je na rozdíl od databázové cache možno</w:t>
      </w:r>
      <w:r w:rsidR="00A4347D">
        <w:t xml:space="preserve"> cachovat jakékoliv objekty. </w:t>
      </w:r>
      <w:r w:rsidR="00436416">
        <w:t>V praxi se tedy server nejprve dotazuje memcache, jestli obsahuje požadované d</w:t>
      </w:r>
      <w:r w:rsidR="00A4347D">
        <w:t>ata</w:t>
      </w:r>
      <w:r w:rsidR="00436416">
        <w:t xml:space="preserve"> a v případě, že nejsou dostupné se teprve hledá na disku, popř. databázi. Tento systém používá například </w:t>
      </w:r>
      <w:r w:rsidR="00A4347D">
        <w:t>server, na kterém běží red</w:t>
      </w:r>
      <w:r w:rsidR="00436416">
        <w:t>dit</w:t>
      </w:r>
      <w:r w:rsidR="00A4347D">
        <w:t>[5]</w:t>
      </w:r>
      <w:r w:rsidR="00436416">
        <w:t>, facebook</w:t>
      </w:r>
      <w:r w:rsidR="00A4347D">
        <w:t>[6]</w:t>
      </w:r>
      <w:r w:rsidR="00436416">
        <w:t>. Při implementaci jsme vycházeli z článku uveřejněném na serveru high</w:t>
      </w:r>
      <w:r w:rsidR="00CD5BAC">
        <w:t>scalability.com[4</w:t>
      </w:r>
      <w:r w:rsidR="00436416">
        <w:t>].</w:t>
      </w:r>
    </w:p>
    <w:p w14:paraId="4920FEE2" w14:textId="77777777" w:rsidR="00F62A24" w:rsidRDefault="00E7280C" w:rsidP="003D7EBF">
      <w:pPr>
        <w:jc w:val="both"/>
      </w:pPr>
      <w:r>
        <w:tab/>
        <w:t xml:space="preserve">V systému bylo potřeba použít několik periferií. Po konzultacích jsme vybrali </w:t>
      </w:r>
      <w:r w:rsidR="00842DF3">
        <w:t xml:space="preserve">několik na serveru běžně používaných disků a pamětí. </w:t>
      </w:r>
      <w:r w:rsidR="00CD5BAC">
        <w:t>Parametry byly</w:t>
      </w:r>
      <w:r w:rsidR="00842DF3">
        <w:t xml:space="preserve"> odvozeny z technických specifikací a veřejně</w:t>
      </w:r>
      <w:r w:rsidR="00CD5BAC">
        <w:t xml:space="preserve"> uveřejněných testů, </w:t>
      </w:r>
      <w:r w:rsidR="00436416">
        <w:t>recenzí</w:t>
      </w:r>
      <w:r w:rsidR="00CD5BAC">
        <w:t xml:space="preserve"> a</w:t>
      </w:r>
      <w:r w:rsidR="007F6C46">
        <w:t xml:space="preserve"> veřejné </w:t>
      </w:r>
      <w:r w:rsidR="00CD5BAC">
        <w:t>opoře k předmětu IPZ[7, 8, 9]</w:t>
      </w:r>
      <w:r w:rsidR="00436416">
        <w:t>.</w:t>
      </w:r>
    </w:p>
    <w:p w14:paraId="11DF0A3B" w14:textId="77777777" w:rsidR="00436416" w:rsidRDefault="00436416" w:rsidP="003D7EBF">
      <w:pPr>
        <w:pStyle w:val="Heading2"/>
        <w:ind w:left="360" w:hanging="360"/>
        <w:jc w:val="both"/>
      </w:pPr>
      <w:r>
        <w:t>2.1</w:t>
      </w:r>
      <w:r>
        <w:tab/>
        <w:t>Popis použitých postupů</w:t>
      </w:r>
    </w:p>
    <w:p w14:paraId="34984304" w14:textId="77777777" w:rsidR="00436416" w:rsidRDefault="00436416" w:rsidP="003D7EBF">
      <w:pPr>
        <w:jc w:val="both"/>
      </w:pPr>
      <w:r>
        <w:tab/>
      </w:r>
      <w:r w:rsidR="002D5B45">
        <w:t xml:space="preserve">Pro popis modelu jsme využili Petriho síť. Ta nám umožnňuje jednoduchým způsobem definovat veškeré operace nad modelem[IMS, </w:t>
      </w:r>
      <w:r w:rsidR="00CD5BAC">
        <w:t>s. 126</w:t>
      </w:r>
      <w:r w:rsidR="002D5B45">
        <w:t>]. Model je založen na systému hromadné obsluhy, který umožnňuje oblusu transakcí čekajících ve frontě. Jako implementační jazyk byl zvolen jazyk C++, jehož objektově orientovaný přístup umožňuje pohodlně vytvořit abstrakní model. V tomto modelu je tedy objekt abstrakcí</w:t>
      </w:r>
      <w:r w:rsidR="0007163C">
        <w:t>/analogií</w:t>
      </w:r>
      <w:r w:rsidR="002D5B45">
        <w:t xml:space="preserve"> realného objektu</w:t>
      </w:r>
      <w:r w:rsidR="0007163C">
        <w:t xml:space="preserve">. Byla také využita simulační knihovna SIMLIB, která usnadnila práci s modelem. </w:t>
      </w:r>
    </w:p>
    <w:p w14:paraId="504FB22A" w14:textId="77777777" w:rsidR="00436416" w:rsidRPr="006E48DA" w:rsidRDefault="00436416" w:rsidP="003D7EBF">
      <w:pPr>
        <w:pStyle w:val="Heading2"/>
        <w:ind w:left="360" w:hanging="360"/>
        <w:jc w:val="both"/>
      </w:pPr>
      <w:r>
        <w:lastRenderedPageBreak/>
        <w:t>2.2</w:t>
      </w:r>
      <w:r>
        <w:tab/>
        <w:t>Popis původu použitých metod</w:t>
      </w:r>
    </w:p>
    <w:p w14:paraId="1C72DA90" w14:textId="77777777" w:rsidR="00436416" w:rsidRPr="00436416" w:rsidRDefault="0007163C" w:rsidP="003D7EBF">
      <w:pPr>
        <w:jc w:val="both"/>
      </w:pPr>
      <w:r>
        <w:tab/>
        <w:t>Model byl vytvořen jako SHO. Podklady pro vytvoření modelu byly získány ze sta</w:t>
      </w:r>
      <w:r w:rsidR="00CD5BAC">
        <w:t>t</w:t>
      </w:r>
      <w:r w:rsidR="00DC62E6">
        <w:t>istik serveru relaxhosting.cz[11</w:t>
      </w:r>
      <w:r>
        <w:t>]. Chybějící infomrace byly dohledány na stránkách výrobců periferií, popř. ze statistik podobného serve</w:t>
      </w:r>
      <w:r w:rsidR="00CD5BAC">
        <w:t>ru mujhost.net</w:t>
      </w:r>
      <w:r>
        <w:t>. V modelu byla využita metoda memcached, jejíž popis a chování jsme získali</w:t>
      </w:r>
      <w:r w:rsidR="00CD5BAC">
        <w:t xml:space="preserve"> z oficiální stránek projektu[3]</w:t>
      </w:r>
      <w:r>
        <w:t>.</w:t>
      </w:r>
    </w:p>
    <w:p w14:paraId="7D378FF7" w14:textId="77777777" w:rsidR="00C5184E" w:rsidRDefault="00C5184E" w:rsidP="003D7EBF">
      <w:pPr>
        <w:pStyle w:val="Heading1"/>
        <w:numPr>
          <w:ilvl w:val="0"/>
          <w:numId w:val="4"/>
        </w:numPr>
        <w:jc w:val="both"/>
      </w:pPr>
      <w:proofErr w:type="spellStart"/>
      <w:r>
        <w:t>Koncepce</w:t>
      </w:r>
      <w:r w:rsidR="00B27163" w:rsidRPr="005432E3">
        <w:t>modelu</w:t>
      </w:r>
      <w:proofErr w:type="spellEnd"/>
    </w:p>
    <w:p w14:paraId="579AE5C6" w14:textId="77777777" w:rsidR="00CB343E" w:rsidRDefault="00CB343E" w:rsidP="003D7EBF">
      <w:pPr>
        <w:ind w:firstLine="709"/>
        <w:jc w:val="both"/>
      </w:pPr>
      <w:r>
        <w:t>Náš model je založen na reálném</w:t>
      </w:r>
      <w:r w:rsidR="007F6C46">
        <w:t xml:space="preserve"> systému</w:t>
      </w:r>
      <w:r>
        <w:t>.</w:t>
      </w:r>
      <w:r w:rsidR="00C21ABE">
        <w:t xml:space="preserve"> Model obsahuje 3 hlavní procesy, které vyjadřují webový a databázový server, dále systémové procesy a nakonec uživatelské procesy. Pro každou větev jsou samostatně generované procesy. V každé větvi uvažujeme nutnost práce s daty za účasti procesoru, disku a pamět</w:t>
      </w:r>
      <w:r w:rsidR="00CD5BAC">
        <w:t>i</w:t>
      </w:r>
      <w:r w:rsidR="00C21ABE">
        <w:t xml:space="preserve">. Ve větvi pro zpracování uživatelských požadavků na webový server je zakomponován systém memcached kombinovaný s MySQL cache systémem. </w:t>
      </w:r>
      <w:r w:rsidR="009B095F">
        <w:t xml:space="preserve">To umožňuje zpracovávat požadavky za účasti jincýh komponent a při jiné rychlosti. Větev se systémovými procesy negeneruje procesy běžným způsobem, ale na začátku je vygenerováno </w:t>
      </w:r>
      <w:r w:rsidR="00103163" w:rsidRPr="00103163">
        <w:rPr>
          <w:color w:val="000000" w:themeColor="text1"/>
        </w:rPr>
        <w:t>270</w:t>
      </w:r>
      <w:r w:rsidR="009B095F">
        <w:t>procesů a ty dále nezanikají, ani nevznikají nové. Jsou pouze přepínány do</w:t>
      </w:r>
      <w:r w:rsidR="00CD5BAC">
        <w:t xml:space="preserve"> IDLE</w:t>
      </w:r>
      <w:r w:rsidR="009B095F">
        <w:t xml:space="preserve"> módu obdobně, jako je to na reálném systému. Větev uživatelských </w:t>
      </w:r>
      <w:r w:rsidR="00CD5BAC">
        <w:t xml:space="preserve">procesů </w:t>
      </w:r>
      <w:r w:rsidR="009B095F">
        <w:t>modeluje přístup uživatele na server a zpracování jeho požadavků.</w:t>
      </w:r>
    </w:p>
    <w:p w14:paraId="6C6DBE42" w14:textId="77777777" w:rsidR="009B095F" w:rsidRDefault="00C5184E" w:rsidP="003D7EBF">
      <w:pPr>
        <w:ind w:firstLine="708"/>
        <w:jc w:val="both"/>
      </w:pPr>
      <w:r>
        <w:t>Cílem modelu je podat spolehlivé informace o s</w:t>
      </w:r>
      <w:r w:rsidR="008C7AA7">
        <w:t>erveru</w:t>
      </w:r>
      <w:r>
        <w:t xml:space="preserve"> a jeho výkonu v</w:t>
      </w:r>
      <w:r w:rsidR="00CD5BAC">
        <w:t> různých konfiguracích</w:t>
      </w:r>
      <w:r>
        <w:t xml:space="preserve"> a nastavení jeho komponent. Pro naše potřeby tedy není potřeba vytváře</w:t>
      </w:r>
      <w:r w:rsidR="008C7AA7">
        <w:t>t</w:t>
      </w:r>
      <w:r>
        <w:t xml:space="preserve"> naprosto přesný model. </w:t>
      </w:r>
      <w:r w:rsidR="00C21ABE">
        <w:t xml:space="preserve">Z serveru relaxhosting.cz se nám podařilo získat detailní statistiky o provozu tohoto serveru za poslední rok. Z těch jsme byli schopni vyčíst relevantní data. Bohužel se nám nepodařilo získat přesný seznam komponent, ze kterých se tento server skládá. </w:t>
      </w:r>
      <w:r w:rsidR="008C7AA7">
        <w:t>Nicméně po</w:t>
      </w:r>
      <w:r w:rsidR="00C21ABE">
        <w:t xml:space="preserve"> konzultaci s Ing. Martinem Dostálem </w:t>
      </w:r>
      <w:r w:rsidR="008C7AA7">
        <w:t xml:space="preserve">jsme </w:t>
      </w:r>
      <w:r w:rsidR="00C21ABE">
        <w:t xml:space="preserve">použili seznam komponent obsažených na podobném serveru mujhost.net. Z tohoto serveru jsme také použili statistiky přístupu k webovému a databázovému serveru. </w:t>
      </w:r>
      <w:r w:rsidR="00CB343E">
        <w:t xml:space="preserve">Některé veličiny </w:t>
      </w:r>
      <w:r w:rsidR="008C7AA7">
        <w:t>nebylo možné přesně změřit</w:t>
      </w:r>
      <w:r w:rsidR="00CB343E">
        <w:t xml:space="preserve"> na serveru, ale došlo k jejich odhadu.</w:t>
      </w:r>
      <w:r w:rsidR="00C21ABE">
        <w:t xml:space="preserve"> Jedná se například o přenosové rychlosti a propustnost disků a operačních pamětí.</w:t>
      </w:r>
      <w:r w:rsidR="00CB343E">
        <w:t xml:space="preserve"> V případě </w:t>
      </w:r>
      <w:r w:rsidR="00C21ABE">
        <w:t>zmíněných</w:t>
      </w:r>
      <w:r w:rsidR="00CB343E">
        <w:t xml:space="preserve"> periferií bylo využito dokumentací na stránkách výrobců, popř. nezávislých testů a</w:t>
      </w:r>
      <w:r w:rsidR="008C7AA7">
        <w:t> </w:t>
      </w:r>
      <w:r w:rsidR="00CB343E">
        <w:t>recenzí</w:t>
      </w:r>
      <w:r w:rsidR="008C7AA7">
        <w:t>[7, 8, 9]</w:t>
      </w:r>
      <w:r w:rsidR="00CB343E">
        <w:t xml:space="preserve">. </w:t>
      </w:r>
      <w:r w:rsidR="00C21ABE">
        <w:t xml:space="preserve">K odhadům </w:t>
      </w:r>
      <w:r w:rsidR="00CB343E">
        <w:t>došlo</w:t>
      </w:r>
      <w:r w:rsidR="00C21ABE">
        <w:t xml:space="preserve"> také u měření počtu a době běhu uživatelských a systémových procesů. Některé data jsme byli schopni vyčíst ze statistiky, nicméně nebyly kompletní. K potřebnému </w:t>
      </w:r>
      <w:r w:rsidR="00CB343E">
        <w:t xml:space="preserve">odhadu </w:t>
      </w:r>
      <w:r w:rsidR="00C21ABE">
        <w:t xml:space="preserve">jsme došli </w:t>
      </w:r>
      <w:r w:rsidR="00CB343E">
        <w:t>na základě konzultace, nebo hodnot naměřených na jiném, velmi podobném systému. Při tomto procesu jsme se snažili za</w:t>
      </w:r>
      <w:r w:rsidR="008C7AA7">
        <w:t>chovat celkovou validitu modelu.Ta</w:t>
      </w:r>
      <w:r w:rsidR="00CB343E">
        <w:t xml:space="preserve"> by neměla být ohrozena, neboť vycházíme z ji</w:t>
      </w:r>
      <w:r w:rsidR="008C7AA7">
        <w:t>ž známých a prozkoumaných faktů.</w:t>
      </w:r>
      <w:r w:rsidR="00CB343E">
        <w:t> </w:t>
      </w:r>
      <w:r w:rsidR="008C7AA7">
        <w:t>J</w:t>
      </w:r>
      <w:r w:rsidR="00CB343E">
        <w:t>sme tedy schopni ověřit, zda-li naše odhadnuté, nebo vypočítané hodnoty odpovídají reálným hodnotám. V našem případě jsme měli taktéž možnost, některé hodnoty naměřit na vlastních stanicích (například rychlost disků, pamětí).</w:t>
      </w:r>
    </w:p>
    <w:p w14:paraId="4928E84E" w14:textId="77777777" w:rsidR="009B095F" w:rsidRDefault="00004F22" w:rsidP="003D7EBF">
      <w:pPr>
        <w:pStyle w:val="Heading2"/>
        <w:ind w:left="360" w:hanging="360"/>
        <w:jc w:val="both"/>
      </w:pPr>
      <w:r>
        <w:lastRenderedPageBreak/>
        <w:t>3.1</w:t>
      </w:r>
      <w:r>
        <w:tab/>
        <w:t>Vyjádření modelu</w:t>
      </w:r>
    </w:p>
    <w:p w14:paraId="4164DBC4" w14:textId="77777777" w:rsidR="00004F22" w:rsidRDefault="00004F22" w:rsidP="003D7EBF">
      <w:pPr>
        <w:jc w:val="both"/>
      </w:pPr>
      <w:r>
        <w:tab/>
      </w:r>
      <w:r w:rsidR="00EC5817">
        <w:t xml:space="preserve">Konceptuální model byl sestaven na základě </w:t>
      </w:r>
      <w:r w:rsidR="008C7AA7">
        <w:t xml:space="preserve">fungování klasického </w:t>
      </w:r>
      <w:r w:rsidR="00A2770D">
        <w:t>PC. Navíc má pouze nainstalován webový a databázový server. Můžeme tedy vycházet z</w:t>
      </w:r>
      <w:r w:rsidR="00154EE4">
        <w:t xml:space="preserve"> klasické Von Neumannovy architektury, která je znázorněna na obrázku č.1. </w:t>
      </w:r>
    </w:p>
    <w:p w14:paraId="554FC977" w14:textId="77777777" w:rsidR="00154EE4" w:rsidRPr="00004F22" w:rsidRDefault="00154EE4" w:rsidP="003D7EBF">
      <w:pPr>
        <w:jc w:val="both"/>
      </w:pPr>
    </w:p>
    <w:p w14:paraId="70F0BD35" w14:textId="77777777" w:rsidR="00C5184E" w:rsidRDefault="003D7EBF" w:rsidP="003D7EBF">
      <w:pPr>
        <w:pStyle w:val="Heading1"/>
        <w:jc w:val="both"/>
      </w:pPr>
      <w:r>
        <w:rPr>
          <w:rFonts w:ascii="Helvetica" w:hAnsi="Helvetica" w:cs="Helvetica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8B99AFE" wp14:editId="337BE3AE">
            <wp:simplePos x="0" y="0"/>
            <wp:positionH relativeFrom="margin">
              <wp:posOffset>1257300</wp:posOffset>
            </wp:positionH>
            <wp:positionV relativeFrom="margin">
              <wp:posOffset>1371600</wp:posOffset>
            </wp:positionV>
            <wp:extent cx="3217545" cy="2275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97986E" w14:textId="77777777" w:rsidR="00154EE4" w:rsidRDefault="00154EE4" w:rsidP="003D7EBF">
      <w:pPr>
        <w:pStyle w:val="Heading1"/>
        <w:jc w:val="both"/>
      </w:pPr>
    </w:p>
    <w:p w14:paraId="78BFAFAA" w14:textId="77777777" w:rsidR="00154EE4" w:rsidRDefault="00154EE4" w:rsidP="003D7EBF">
      <w:pPr>
        <w:pStyle w:val="Heading1"/>
        <w:jc w:val="both"/>
      </w:pPr>
    </w:p>
    <w:p w14:paraId="6CC308B0" w14:textId="77777777" w:rsidR="00154EE4" w:rsidRDefault="00154EE4" w:rsidP="003D7EBF">
      <w:pPr>
        <w:jc w:val="both"/>
      </w:pPr>
    </w:p>
    <w:p w14:paraId="11313290" w14:textId="77777777" w:rsidR="0069605D" w:rsidRDefault="0089663A" w:rsidP="003D7EBF">
      <w:pPr>
        <w:pStyle w:val="Heading2"/>
        <w:ind w:left="360" w:hanging="360"/>
        <w:jc w:val="both"/>
      </w:pPr>
      <w:r>
        <w:rPr>
          <w:noProof/>
          <w:lang w:val="en-US" w:eastAsia="en-US"/>
        </w:rPr>
        <w:pict w14:anchorId="32DA692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1" type="#_x0000_t202" style="position:absolute;left:0;text-align:left;margin-left:115.5pt;margin-top:5.4pt;width:280.5pt;height:27pt;z-index:251670528;mso-wrap-edited:f" wrapcoords="0 0 21600 0 21600 21600 0 21600 0 0" filled="f" stroked="f">
            <v:fill o:detectmouseclick="t"/>
            <v:textbox inset=",7.2pt,,7.2pt">
              <w:txbxContent>
                <w:p w14:paraId="4A89CDCA" w14:textId="77777777" w:rsidR="0069605D" w:rsidRPr="00A16AA4" w:rsidRDefault="0069605D">
                  <w:pPr>
                    <w:rPr>
                      <w:sz w:val="20"/>
                      <w:szCs w:val="20"/>
                    </w:rPr>
                  </w:pPr>
                  <w:r w:rsidRPr="00A16AA4">
                    <w:rPr>
                      <w:sz w:val="20"/>
                      <w:szCs w:val="20"/>
                    </w:rPr>
                    <w:t>obrázek č.1, Von Neumannova arhitektura</w:t>
                  </w:r>
                </w:p>
              </w:txbxContent>
            </v:textbox>
            <w10:wrap type="tight"/>
          </v:shape>
        </w:pict>
      </w:r>
    </w:p>
    <w:p w14:paraId="276D8413" w14:textId="77777777" w:rsidR="00031A09" w:rsidRDefault="00031A09" w:rsidP="003D7EBF">
      <w:pPr>
        <w:pStyle w:val="Heading2"/>
        <w:ind w:left="360" w:hanging="360"/>
        <w:jc w:val="both"/>
      </w:pPr>
      <w:r>
        <w:t xml:space="preserve">3.2 </w:t>
      </w:r>
      <w:r>
        <w:tab/>
        <w:t>Forma konceptuálního modelu</w:t>
      </w:r>
    </w:p>
    <w:p w14:paraId="2F708480" w14:textId="77777777" w:rsidR="00154EE4" w:rsidRDefault="00FA514D" w:rsidP="003D7EBF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0008F9B" wp14:editId="3091D4A6">
            <wp:simplePos x="0" y="0"/>
            <wp:positionH relativeFrom="margin">
              <wp:posOffset>698500</wp:posOffset>
            </wp:positionH>
            <wp:positionV relativeFrom="margin">
              <wp:posOffset>5485765</wp:posOffset>
            </wp:positionV>
            <wp:extent cx="4195445" cy="26841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i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0BA">
        <w:tab/>
      </w:r>
      <w:r w:rsidR="00DE02CB">
        <w:t xml:space="preserve">Konceptuální model </w:t>
      </w:r>
      <w:r w:rsidR="00A33095">
        <w:t xml:space="preserve">je vyjádřenPetriho sítí na obrázku č.2. </w:t>
      </w:r>
      <w:r w:rsidR="008C7AA7">
        <w:t>Kompletní síť, že které jsme vycházeli je k nalezení v příloze[</w:t>
      </w:r>
      <w:r w:rsidR="00FE57B5" w:rsidRPr="00FE57B5">
        <w:rPr>
          <w:color w:val="000000" w:themeColor="text1"/>
        </w:rPr>
        <w:t>12</w:t>
      </w:r>
      <w:r w:rsidR="008C7AA7">
        <w:t>].</w:t>
      </w:r>
      <w:r w:rsidR="00A33095">
        <w:t>Síť zjednodušeně zachycuje všechny procesy a</w:t>
      </w:r>
      <w:r w:rsidR="007F6C46">
        <w:t xml:space="preserve"> to, </w:t>
      </w:r>
      <w:r w:rsidR="00A33095">
        <w:t xml:space="preserve">jak pracují s linkou. </w:t>
      </w:r>
    </w:p>
    <w:p w14:paraId="0A97F3CD" w14:textId="77777777" w:rsidR="005017A4" w:rsidRDefault="005017A4" w:rsidP="003D7EBF">
      <w:pPr>
        <w:jc w:val="both"/>
      </w:pPr>
    </w:p>
    <w:p w14:paraId="0270B606" w14:textId="77777777" w:rsidR="005017A4" w:rsidRDefault="005017A4" w:rsidP="003D7EBF">
      <w:pPr>
        <w:jc w:val="both"/>
      </w:pPr>
      <w:r>
        <w:tab/>
      </w:r>
    </w:p>
    <w:p w14:paraId="3903C0A6" w14:textId="77777777" w:rsidR="006B09F2" w:rsidRDefault="006B09F2" w:rsidP="003D7EBF">
      <w:pPr>
        <w:jc w:val="both"/>
      </w:pPr>
    </w:p>
    <w:p w14:paraId="60026A2F" w14:textId="77777777" w:rsidR="006B09F2" w:rsidRDefault="006B09F2" w:rsidP="003D7EBF">
      <w:pPr>
        <w:jc w:val="both"/>
      </w:pPr>
    </w:p>
    <w:p w14:paraId="57B081A9" w14:textId="77777777" w:rsidR="006B09F2" w:rsidRDefault="006B09F2" w:rsidP="003D7EBF">
      <w:pPr>
        <w:jc w:val="both"/>
      </w:pPr>
    </w:p>
    <w:p w14:paraId="296B2283" w14:textId="77777777" w:rsidR="006B09F2" w:rsidRDefault="006B09F2" w:rsidP="003D7EBF">
      <w:pPr>
        <w:jc w:val="both"/>
      </w:pPr>
    </w:p>
    <w:p w14:paraId="0E17C792" w14:textId="77777777" w:rsidR="006B09F2" w:rsidRDefault="006B09F2" w:rsidP="003D7EBF">
      <w:pPr>
        <w:jc w:val="both"/>
      </w:pPr>
    </w:p>
    <w:p w14:paraId="414FE68F" w14:textId="77777777" w:rsidR="006B09F2" w:rsidRDefault="006B09F2" w:rsidP="003D7EBF">
      <w:pPr>
        <w:jc w:val="both"/>
      </w:pPr>
    </w:p>
    <w:p w14:paraId="314CD078" w14:textId="77777777" w:rsidR="006B09F2" w:rsidRDefault="006B09F2" w:rsidP="003D7EBF">
      <w:pPr>
        <w:jc w:val="both"/>
      </w:pPr>
    </w:p>
    <w:p w14:paraId="6AE6613C" w14:textId="77777777" w:rsidR="006B09F2" w:rsidRDefault="0089663A" w:rsidP="003D7EBF">
      <w:pPr>
        <w:jc w:val="both"/>
      </w:pPr>
      <w:r>
        <w:rPr>
          <w:noProof/>
          <w:lang w:val="en-US" w:eastAsia="en-US"/>
        </w:rPr>
        <w:pict w14:anchorId="6597A5A4">
          <v:shape id="_x0000_s1026" type="#_x0000_t202" style="position:absolute;left:0;text-align:left;margin-left:130.9pt;margin-top:11.85pt;width:221.45pt;height:27pt;z-index:251660288;mso-wrap-edited:f" wrapcoords="0 0 21600 0 21600 21600 0 21600 0 0" filled="f" stroked="f">
            <v:fill o:detectmouseclick="t"/>
            <v:textbox style="mso-next-textbox:#_x0000_s1026" inset=",7.2pt,,7.2pt">
              <w:txbxContent>
                <w:p w14:paraId="15FB9359" w14:textId="77777777" w:rsidR="0069605D" w:rsidRPr="006B09F2" w:rsidRDefault="0069605D">
                  <w:pPr>
                    <w:rPr>
                      <w:sz w:val="20"/>
                      <w:szCs w:val="20"/>
                    </w:rPr>
                  </w:pPr>
                  <w:r w:rsidRPr="006B09F2">
                    <w:rPr>
                      <w:sz w:val="20"/>
                      <w:szCs w:val="20"/>
                    </w:rPr>
                    <w:t>Obrázek č.2, zjednodušený model systému</w:t>
                  </w:r>
                </w:p>
              </w:txbxContent>
            </v:textbox>
            <w10:wrap type="tight"/>
          </v:shape>
        </w:pict>
      </w:r>
    </w:p>
    <w:p w14:paraId="232D2C3E" w14:textId="77777777" w:rsidR="006B09F2" w:rsidRDefault="006B09F2" w:rsidP="003D7EBF">
      <w:pPr>
        <w:ind w:firstLine="708"/>
        <w:jc w:val="both"/>
      </w:pPr>
      <w:r>
        <w:br/>
      </w:r>
      <w:r>
        <w:br/>
      </w:r>
    </w:p>
    <w:p w14:paraId="1706FA4D" w14:textId="77777777" w:rsidR="005017A4" w:rsidRDefault="005017A4" w:rsidP="003D7EBF">
      <w:pPr>
        <w:ind w:firstLine="708"/>
        <w:jc w:val="both"/>
      </w:pPr>
      <w:r>
        <w:lastRenderedPageBreak/>
        <w:t>Obrázek č.3 zachycuje fungování metody memcache. Ta umožňuje cachování a tedy i rychlý přístup ke všem typům objektů. Na obrázku je zobrazeno, jak pracuje s normální MySQL cachí a tím pádem umožňuje rychlejší zpracování požadavků na straně databázového serveru, než v klasickém přípdaě, kdy je využita jen SQL cache.</w:t>
      </w:r>
    </w:p>
    <w:p w14:paraId="01BD2329" w14:textId="77777777" w:rsidR="002F7EA3" w:rsidRDefault="002F7EA3" w:rsidP="003D7EBF">
      <w:pPr>
        <w:ind w:firstLine="708"/>
        <w:jc w:val="both"/>
      </w:pPr>
      <w:r>
        <w:rPr>
          <w:rFonts w:ascii="Helvetica" w:hAnsi="Helvetica" w:cs="Helvetica"/>
          <w:noProof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5BA7B32" wp14:editId="5E14CEE1">
            <wp:simplePos x="0" y="0"/>
            <wp:positionH relativeFrom="margin">
              <wp:posOffset>1536700</wp:posOffset>
            </wp:positionH>
            <wp:positionV relativeFrom="margin">
              <wp:posOffset>1143000</wp:posOffset>
            </wp:positionV>
            <wp:extent cx="2939415" cy="3314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A7E70" w14:textId="77777777" w:rsidR="002F7EA3" w:rsidRDefault="002F7EA3" w:rsidP="003D7EBF">
      <w:pPr>
        <w:ind w:firstLine="708"/>
        <w:jc w:val="both"/>
      </w:pPr>
    </w:p>
    <w:p w14:paraId="57D15E6A" w14:textId="77777777" w:rsidR="005017A4" w:rsidRDefault="005017A4" w:rsidP="003D7EBF">
      <w:pPr>
        <w:jc w:val="both"/>
      </w:pPr>
    </w:p>
    <w:p w14:paraId="161FDD2E" w14:textId="77777777" w:rsidR="005017A4" w:rsidRDefault="005017A4" w:rsidP="003D7EBF">
      <w:pPr>
        <w:jc w:val="both"/>
      </w:pPr>
    </w:p>
    <w:p w14:paraId="5F74EAED" w14:textId="77777777" w:rsidR="002F7EA3" w:rsidRDefault="002F7EA3" w:rsidP="003D7EBF">
      <w:pPr>
        <w:jc w:val="both"/>
      </w:pPr>
    </w:p>
    <w:p w14:paraId="23656F4D" w14:textId="77777777" w:rsidR="002F7EA3" w:rsidRDefault="002F7EA3" w:rsidP="003D7EBF">
      <w:pPr>
        <w:jc w:val="both"/>
      </w:pPr>
    </w:p>
    <w:p w14:paraId="056B915A" w14:textId="77777777" w:rsidR="002F7EA3" w:rsidRDefault="002F7EA3" w:rsidP="003D7EBF">
      <w:pPr>
        <w:jc w:val="both"/>
      </w:pPr>
    </w:p>
    <w:p w14:paraId="0AB3DBE7" w14:textId="77777777" w:rsidR="002F7EA3" w:rsidRDefault="002F7EA3" w:rsidP="003D7EBF">
      <w:pPr>
        <w:jc w:val="both"/>
      </w:pPr>
    </w:p>
    <w:p w14:paraId="3107D4DB" w14:textId="77777777" w:rsidR="002F7EA3" w:rsidRDefault="002F7EA3" w:rsidP="003D7EBF">
      <w:pPr>
        <w:jc w:val="both"/>
      </w:pPr>
    </w:p>
    <w:p w14:paraId="147DA848" w14:textId="77777777" w:rsidR="002F7EA3" w:rsidRPr="00154EE4" w:rsidRDefault="0089663A" w:rsidP="003D7EBF">
      <w:pPr>
        <w:jc w:val="both"/>
      </w:pPr>
      <w:r>
        <w:rPr>
          <w:noProof/>
          <w:lang w:val="en-US" w:eastAsia="en-US"/>
        </w:rPr>
        <w:pict w14:anchorId="5F5183E6">
          <v:shape id="_x0000_s1029" type="#_x0000_t202" style="position:absolute;left:0;text-align:left;margin-left:143pt;margin-top:42.3pt;width:221.45pt;height:27pt;z-index:251662336;mso-wrap-edited:f" wrapcoords="0 0 21600 0 21600 21600 0 21600 0 0" filled="f" stroked="f">
            <v:fill o:detectmouseclick="t"/>
            <v:textbox style="mso-next-textbox:#_x0000_s1029" inset=",7.2pt,,7.2pt">
              <w:txbxContent>
                <w:p w14:paraId="7CC23E55" w14:textId="77777777" w:rsidR="0069605D" w:rsidRPr="006B09F2" w:rsidRDefault="0069605D" w:rsidP="002F7EA3">
                  <w:pPr>
                    <w:rPr>
                      <w:sz w:val="20"/>
                      <w:szCs w:val="20"/>
                    </w:rPr>
                  </w:pPr>
                  <w:r w:rsidRPr="006B09F2">
                    <w:rPr>
                      <w:sz w:val="20"/>
                      <w:szCs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>brázek č.3</w:t>
                  </w:r>
                  <w:r w:rsidRPr="006B09F2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>Memcache[11]</w:t>
                  </w:r>
                </w:p>
              </w:txbxContent>
            </v:textbox>
            <w10:wrap type="through"/>
          </v:shape>
        </w:pict>
      </w:r>
    </w:p>
    <w:p w14:paraId="33AD9A03" w14:textId="77777777" w:rsidR="002F7EA3" w:rsidRDefault="002F7EA3" w:rsidP="003D7EBF">
      <w:pPr>
        <w:pStyle w:val="Heading1"/>
        <w:numPr>
          <w:ilvl w:val="0"/>
          <w:numId w:val="4"/>
        </w:numPr>
        <w:jc w:val="both"/>
      </w:pPr>
      <w:proofErr w:type="spellStart"/>
      <w:r>
        <w:t>Architekturasimulačníhomodel</w:t>
      </w:r>
      <w:r w:rsidR="00103163">
        <w:t>u</w:t>
      </w:r>
      <w:proofErr w:type="spellEnd"/>
      <w:r w:rsidR="00103163">
        <w:t>/</w:t>
      </w:r>
      <w:proofErr w:type="spellStart"/>
      <w:r w:rsidR="00103163">
        <w:t>simulátoru</w:t>
      </w:r>
      <w:proofErr w:type="spellEnd"/>
    </w:p>
    <w:p w14:paraId="25FA4659" w14:textId="77777777" w:rsidR="00103163" w:rsidRDefault="005C3B3B" w:rsidP="003D7EBF">
      <w:pPr>
        <w:pStyle w:val="ListParagraph"/>
        <w:ind w:left="0" w:firstLine="708"/>
        <w:jc w:val="both"/>
      </w:pPr>
      <w:r>
        <w:t>Simulační model pracuje jako konzolová aplikace. Model je implementován v jazyce C++ s využitím knihovny SIMLIB a je modelován podle abstraktního modelu vyjádřeného pomocí Petriho sítě. O simulačním a abstraktním modelu můžeme říct, že jsou izomorfními systémy</w:t>
      </w:r>
      <w:r w:rsidR="00FE57B5">
        <w:t>[IMS, s. 27]</w:t>
      </w:r>
      <w:r>
        <w:t xml:space="preserve">, neboť jsou ve vztahu 1:1. </w:t>
      </w:r>
      <w:r w:rsidR="0043745A">
        <w:t>C</w:t>
      </w:r>
      <w:r>
        <w:t xml:space="preserve">hování </w:t>
      </w:r>
      <w:r w:rsidR="0043745A">
        <w:t xml:space="preserve">simulace </w:t>
      </w:r>
      <w:r>
        <w:t xml:space="preserve">může být ovlivněno několika parametry. </w:t>
      </w:r>
    </w:p>
    <w:tbl>
      <w:tblPr>
        <w:tblStyle w:val="TableGrid"/>
        <w:tblpPr w:leftFromText="180" w:rightFromText="180" w:vertAnchor="page" w:horzAnchor="margin" w:tblpY="12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09"/>
        <w:gridCol w:w="7762"/>
      </w:tblGrid>
      <w:tr w:rsidR="00F83274" w14:paraId="05E6BA89" w14:textId="77777777" w:rsidTr="00F83274">
        <w:trPr>
          <w:cantSplit/>
          <w:trHeight w:hRule="exact" w:val="397"/>
        </w:trPr>
        <w:tc>
          <w:tcPr>
            <w:tcW w:w="817" w:type="dxa"/>
            <w:vAlign w:val="center"/>
          </w:tcPr>
          <w:p w14:paraId="0D699555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-d</w:t>
            </w:r>
          </w:p>
        </w:tc>
        <w:tc>
          <w:tcPr>
            <w:tcW w:w="709" w:type="dxa"/>
            <w:vAlign w:val="center"/>
          </w:tcPr>
          <w:p w14:paraId="26929EEB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INT</w:t>
            </w:r>
          </w:p>
        </w:tc>
        <w:tc>
          <w:tcPr>
            <w:tcW w:w="7762" w:type="dxa"/>
            <w:vAlign w:val="center"/>
          </w:tcPr>
          <w:p w14:paraId="61E76A52" w14:textId="77777777" w:rsidR="00F83274" w:rsidRDefault="00F83274" w:rsidP="00D25016">
            <w:pPr>
              <w:jc w:val="both"/>
            </w:pPr>
            <w:r w:rsidRPr="00AD049C">
              <w:t>Výběr disku(</w:t>
            </w:r>
            <w:r w:rsidR="00D25016">
              <w:t>0=HDD 7200RPM,1=HDD 15000RPM, 2</w:t>
            </w:r>
            <w:r w:rsidRPr="00AD049C">
              <w:t>=SSD)</w:t>
            </w:r>
          </w:p>
        </w:tc>
      </w:tr>
      <w:tr w:rsidR="00F83274" w14:paraId="14300618" w14:textId="77777777" w:rsidTr="00F83274">
        <w:trPr>
          <w:cantSplit/>
          <w:trHeight w:hRule="exact" w:val="397"/>
        </w:trPr>
        <w:tc>
          <w:tcPr>
            <w:tcW w:w="817" w:type="dxa"/>
            <w:vAlign w:val="center"/>
          </w:tcPr>
          <w:p w14:paraId="7F8EDF13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-p</w:t>
            </w:r>
          </w:p>
        </w:tc>
        <w:tc>
          <w:tcPr>
            <w:tcW w:w="709" w:type="dxa"/>
            <w:vAlign w:val="center"/>
          </w:tcPr>
          <w:p w14:paraId="2710DCC8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INT</w:t>
            </w:r>
          </w:p>
        </w:tc>
        <w:tc>
          <w:tcPr>
            <w:tcW w:w="7762" w:type="dxa"/>
            <w:vAlign w:val="center"/>
          </w:tcPr>
          <w:p w14:paraId="4CF2A851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Počet procesorů</w:t>
            </w:r>
          </w:p>
        </w:tc>
      </w:tr>
      <w:tr w:rsidR="00F83274" w14:paraId="61103845" w14:textId="77777777" w:rsidTr="00F83274">
        <w:trPr>
          <w:cantSplit/>
          <w:trHeight w:hRule="exact" w:val="397"/>
        </w:trPr>
        <w:tc>
          <w:tcPr>
            <w:tcW w:w="817" w:type="dxa"/>
            <w:vAlign w:val="center"/>
          </w:tcPr>
          <w:p w14:paraId="116671F5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-s</w:t>
            </w:r>
          </w:p>
        </w:tc>
        <w:tc>
          <w:tcPr>
            <w:tcW w:w="709" w:type="dxa"/>
            <w:vAlign w:val="center"/>
          </w:tcPr>
          <w:p w14:paraId="222E7010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INT</w:t>
            </w:r>
          </w:p>
        </w:tc>
        <w:tc>
          <w:tcPr>
            <w:tcW w:w="7762" w:type="dxa"/>
            <w:vAlign w:val="center"/>
          </w:tcPr>
          <w:p w14:paraId="6A8DE828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Počet systémových procesů</w:t>
            </w:r>
          </w:p>
        </w:tc>
      </w:tr>
      <w:tr w:rsidR="00F83274" w14:paraId="415153F7" w14:textId="77777777" w:rsidTr="00F83274">
        <w:trPr>
          <w:cantSplit/>
          <w:trHeight w:hRule="exact" w:val="397"/>
        </w:trPr>
        <w:tc>
          <w:tcPr>
            <w:tcW w:w="817" w:type="dxa"/>
            <w:vAlign w:val="center"/>
          </w:tcPr>
          <w:p w14:paraId="464BA4EE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-ho</w:t>
            </w:r>
          </w:p>
        </w:tc>
        <w:tc>
          <w:tcPr>
            <w:tcW w:w="709" w:type="dxa"/>
            <w:vAlign w:val="center"/>
          </w:tcPr>
          <w:p w14:paraId="5F030D95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INT</w:t>
            </w:r>
          </w:p>
        </w:tc>
        <w:tc>
          <w:tcPr>
            <w:tcW w:w="7762" w:type="dxa"/>
            <w:vAlign w:val="center"/>
          </w:tcPr>
          <w:p w14:paraId="132D0624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Celkový simulační čas v hodinách</w:t>
            </w:r>
          </w:p>
        </w:tc>
      </w:tr>
      <w:tr w:rsidR="00F83274" w14:paraId="3248A1AE" w14:textId="77777777" w:rsidTr="00F83274">
        <w:trPr>
          <w:cantSplit/>
          <w:trHeight w:hRule="exact" w:val="397"/>
        </w:trPr>
        <w:tc>
          <w:tcPr>
            <w:tcW w:w="817" w:type="dxa"/>
            <w:vAlign w:val="center"/>
          </w:tcPr>
          <w:p w14:paraId="680F101B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-m</w:t>
            </w:r>
          </w:p>
        </w:tc>
        <w:tc>
          <w:tcPr>
            <w:tcW w:w="709" w:type="dxa"/>
            <w:vAlign w:val="center"/>
          </w:tcPr>
          <w:p w14:paraId="24E9D2CC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INT</w:t>
            </w:r>
          </w:p>
        </w:tc>
        <w:tc>
          <w:tcPr>
            <w:tcW w:w="7762" w:type="dxa"/>
            <w:vAlign w:val="center"/>
          </w:tcPr>
          <w:p w14:paraId="3948A0AB" w14:textId="77777777" w:rsidR="00F83274" w:rsidRDefault="00F83274" w:rsidP="00F83274">
            <w:pPr>
              <w:pStyle w:val="ListParagraph"/>
              <w:ind w:left="0"/>
              <w:jc w:val="both"/>
            </w:pPr>
            <w:r>
              <w:t>Kolik procent dotazů je realizováno pomocí memcache</w:t>
            </w:r>
          </w:p>
        </w:tc>
      </w:tr>
    </w:tbl>
    <w:p w14:paraId="276F56B8" w14:textId="77777777" w:rsidR="003D7EBF" w:rsidRDefault="003D7EBF" w:rsidP="003D7EBF">
      <w:pPr>
        <w:jc w:val="both"/>
      </w:pPr>
    </w:p>
    <w:p w14:paraId="755EA7C2" w14:textId="77777777" w:rsidR="003D7EBF" w:rsidRDefault="003D7EBF" w:rsidP="003D7EBF">
      <w:pPr>
        <w:pStyle w:val="ListParagraph"/>
        <w:ind w:left="0" w:firstLine="708"/>
        <w:jc w:val="both"/>
      </w:pPr>
    </w:p>
    <w:p w14:paraId="4B56B24A" w14:textId="77777777" w:rsidR="003D7EBF" w:rsidRDefault="003D7EBF" w:rsidP="003D7EBF">
      <w:pPr>
        <w:pStyle w:val="ListParagraph"/>
        <w:ind w:left="0" w:firstLine="708"/>
        <w:jc w:val="both"/>
      </w:pPr>
    </w:p>
    <w:p w14:paraId="5802A19D" w14:textId="77777777" w:rsidR="00103163" w:rsidRDefault="00DE284C" w:rsidP="003D7EBF">
      <w:pPr>
        <w:pStyle w:val="Heading2"/>
        <w:jc w:val="both"/>
      </w:pPr>
      <w:r>
        <w:lastRenderedPageBreak/>
        <w:t xml:space="preserve">4.1 </w:t>
      </w:r>
      <w:r>
        <w:tab/>
        <w:t>Mapování</w:t>
      </w:r>
      <w:r w:rsidR="00103163">
        <w:t>abstraktního modelu do simulačního modelu</w:t>
      </w:r>
    </w:p>
    <w:p w14:paraId="77FEF0FA" w14:textId="77777777" w:rsidR="00E01CE8" w:rsidRDefault="008B69C3" w:rsidP="003D7EBF">
      <w:pPr>
        <w:ind w:firstLine="708"/>
        <w:jc w:val="both"/>
      </w:pPr>
      <w:r>
        <w:t xml:space="preserve">Jak je vidět na obrázku č.2. Model obsahuje 3 procesy. </w:t>
      </w:r>
    </w:p>
    <w:p w14:paraId="0A6FAB13" w14:textId="77777777" w:rsidR="00AD049C" w:rsidRDefault="00DE284C" w:rsidP="003D7EBF">
      <w:pPr>
        <w:ind w:firstLine="708"/>
        <w:jc w:val="both"/>
      </w:pPr>
      <w:r>
        <w:t>První proces</w:t>
      </w:r>
      <w:r w:rsidR="008B69C3">
        <w:t xml:space="preserve"> odpovídá požadavku na webový server. Ten je realizován pomocí třídy </w:t>
      </w:r>
      <w:r w:rsidR="00103163" w:rsidRPr="00103163">
        <w:rPr>
          <w:rStyle w:val="QuoteChar"/>
        </w:rPr>
        <w:t>WebRequest</w:t>
      </w:r>
      <w:r w:rsidR="008B69C3">
        <w:t xml:space="preserve">. </w:t>
      </w:r>
      <w:r w:rsidR="009A1373">
        <w:t>Procesy tohoto typu jsou generovány pomocí expenoneciálního rozložení</w:t>
      </w:r>
      <w:r w:rsidR="00103163">
        <w:t xml:space="preserve"> a třídy události </w:t>
      </w:r>
      <w:r w:rsidR="00103163" w:rsidRPr="00103163">
        <w:rPr>
          <w:rStyle w:val="QuoteChar"/>
        </w:rPr>
        <w:t>GeneratorWeb</w:t>
      </w:r>
      <w:r w:rsidR="009A1373">
        <w:t xml:space="preserve">. Podstatou této větve je zpracování uživatelského požadavku na webový server. Ten pokud jsou mu přiděleny všechny zdroje zpracuje poždavek v různých rychlostech a za pomocí různých komponent. </w:t>
      </w:r>
    </w:p>
    <w:p w14:paraId="79029BF1" w14:textId="77777777" w:rsidR="00E01CE8" w:rsidRDefault="00DE284C" w:rsidP="003D7EBF">
      <w:pPr>
        <w:ind w:firstLine="708"/>
        <w:jc w:val="both"/>
        <w:rPr>
          <w:color w:val="000000" w:themeColor="text1"/>
        </w:rPr>
      </w:pPr>
      <w:r>
        <w:t>Druhý proces</w:t>
      </w:r>
      <w:r w:rsidR="00E01CE8">
        <w:t xml:space="preserve"> simuluje systémové procesy</w:t>
      </w:r>
      <w:r w:rsidR="00103163">
        <w:t xml:space="preserve"> skrze třídu </w:t>
      </w:r>
      <w:r w:rsidR="00103163" w:rsidRPr="00103163">
        <w:rPr>
          <w:rStyle w:val="QuoteChar"/>
        </w:rPr>
        <w:t>SystemProcess</w:t>
      </w:r>
      <w:r w:rsidR="00E01CE8">
        <w:t xml:space="preserve">. Na počátku je vytvořeno </w:t>
      </w:r>
      <w:r w:rsidR="00103163" w:rsidRPr="00103163">
        <w:t>270</w:t>
      </w:r>
      <w:r w:rsidR="00E01CE8" w:rsidRPr="00E01CE8">
        <w:rPr>
          <w:color w:val="000000" w:themeColor="text1"/>
        </w:rPr>
        <w:t>procesů</w:t>
      </w:r>
      <w:r w:rsidR="00E01CE8">
        <w:rPr>
          <w:color w:val="000000" w:themeColor="text1"/>
        </w:rPr>
        <w:t xml:space="preserve">, které se nachází buďto v aktivním stavu, nebo ve stavu IDLE a podle toho je s nimi nakládáno. </w:t>
      </w:r>
    </w:p>
    <w:p w14:paraId="7425548C" w14:textId="77777777" w:rsidR="00E01CE8" w:rsidRDefault="00E01CE8" w:rsidP="003D7EBF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Uživatelské procesy simuluje</w:t>
      </w:r>
      <w:r w:rsidR="00DE284C">
        <w:rPr>
          <w:color w:val="000000" w:themeColor="text1"/>
        </w:rPr>
        <w:t xml:space="preserve"> třetí proces</w:t>
      </w:r>
      <w:r w:rsidR="00103163">
        <w:rPr>
          <w:color w:val="000000" w:themeColor="text1"/>
        </w:rPr>
        <w:t xml:space="preserve">, kterému odpovídá třída </w:t>
      </w:r>
      <w:r w:rsidR="00103163" w:rsidRPr="00103163">
        <w:rPr>
          <w:rStyle w:val="QuoteChar"/>
        </w:rPr>
        <w:t>UserProcess</w:t>
      </w:r>
      <w:r>
        <w:rPr>
          <w:color w:val="000000" w:themeColor="text1"/>
        </w:rPr>
        <w:t xml:space="preserve">. </w:t>
      </w:r>
      <w:r w:rsidR="00103163">
        <w:rPr>
          <w:color w:val="000000" w:themeColor="text1"/>
        </w:rPr>
        <w:t xml:space="preserve">Procesy jsou zde generovány exponenciálním rozložením v třídě udalásotí </w:t>
      </w:r>
      <w:r w:rsidR="00103163" w:rsidRPr="00103163">
        <w:rPr>
          <w:rStyle w:val="QuoteChar"/>
        </w:rPr>
        <w:t>GeneratorUser</w:t>
      </w:r>
      <w:r w:rsidR="00103163">
        <w:rPr>
          <w:color w:val="000000" w:themeColor="text1"/>
        </w:rPr>
        <w:t>. Proces</w:t>
      </w:r>
      <w:r>
        <w:rPr>
          <w:color w:val="000000" w:themeColor="text1"/>
        </w:rPr>
        <w:t xml:space="preserve"> v případě, že dostane potřebné zdroje zpracovává uživatelské procesy a to buďto s využitím databázového serveru, nebo pracuje pouze s daty na disku.</w:t>
      </w:r>
    </w:p>
    <w:p w14:paraId="5729838E" w14:textId="77777777" w:rsidR="00AD049C" w:rsidRPr="00A16AA4" w:rsidRDefault="00103163" w:rsidP="003D7EBF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Výstupem jsou statistiky, které jsou potřebné pro realizaci experimentů. </w:t>
      </w:r>
    </w:p>
    <w:p w14:paraId="6EA8D2CC" w14:textId="77777777" w:rsidR="00103163" w:rsidRDefault="00103163" w:rsidP="003D7EBF">
      <w:pPr>
        <w:pStyle w:val="Heading1"/>
        <w:numPr>
          <w:ilvl w:val="0"/>
          <w:numId w:val="4"/>
        </w:numPr>
        <w:jc w:val="both"/>
      </w:pPr>
      <w:proofErr w:type="spellStart"/>
      <w:r w:rsidRPr="00103163">
        <w:t>Podstatasimulačníchexperimentů</w:t>
      </w:r>
      <w:proofErr w:type="spellEnd"/>
      <w:r w:rsidRPr="00103163">
        <w:t xml:space="preserve"> a </w:t>
      </w:r>
      <w:proofErr w:type="spellStart"/>
      <w:r w:rsidRPr="00103163">
        <w:t>jejichprůběh</w:t>
      </w:r>
      <w:proofErr w:type="spellEnd"/>
    </w:p>
    <w:p w14:paraId="5DABD1BF" w14:textId="77777777" w:rsidR="00F83274" w:rsidRDefault="00B5749C" w:rsidP="00F83274">
      <w:pPr>
        <w:ind w:firstLine="708"/>
        <w:jc w:val="both"/>
      </w:pPr>
      <w:r>
        <w:t>Experimenty se budeme snažit najít nejvýhodnější způsob, jak aktualizovat zkoumaný server. Nakoupení ruzných komponent a testování různých konfigurací by bylo jak časově, tak i finančně náročné. Vytvoření simulačního modelu se proto jeví jako nejvhodnější způsob. Ve výsledku se tedy budeme snažit sestavit skóre pro několik konfigurací. U těch bude bráno v potaz několik klíčových ukazatelů výkonu a také odhad ceny výsledné konfigurace.</w:t>
      </w:r>
      <w:r w:rsidR="0000026E">
        <w:t xml:space="preserve"> Pro výpočet orientační ceny bylo využit cen na eshopu alza.cz. Cena a typ jednotlivých komponent se nachází v</w:t>
      </w:r>
      <w:r w:rsidR="00B46FCD">
        <w:t> </w:t>
      </w:r>
      <w:r w:rsidR="0000026E">
        <w:t>příloze</w:t>
      </w:r>
      <w:r w:rsidR="00B46FCD">
        <w:t xml:space="preserve"> [</w:t>
      </w:r>
      <w:r w:rsidR="00FE57B5" w:rsidRPr="00FE57B5">
        <w:rPr>
          <w:color w:val="000000" w:themeColor="text1"/>
        </w:rPr>
        <w:t>13</w:t>
      </w:r>
      <w:r w:rsidR="00B46FCD">
        <w:t>]</w:t>
      </w:r>
      <w:r w:rsidR="0000026E">
        <w:t>.</w:t>
      </w:r>
    </w:p>
    <w:p w14:paraId="239A6D1F" w14:textId="77777777" w:rsidR="002C38AD" w:rsidRPr="003407BE" w:rsidRDefault="0076001D" w:rsidP="003D7EBF">
      <w:pPr>
        <w:pStyle w:val="Heading2"/>
        <w:jc w:val="both"/>
      </w:pPr>
      <w:r>
        <w:t>5.1 Postup experimentování</w:t>
      </w:r>
    </w:p>
    <w:p w14:paraId="765904D7" w14:textId="77777777" w:rsidR="002C38AD" w:rsidRPr="002C38AD" w:rsidRDefault="0076001D" w:rsidP="003D7EBF">
      <w:pPr>
        <w:jc w:val="both"/>
      </w:pPr>
      <w:r>
        <w:tab/>
        <w:t xml:space="preserve">Bylo vytvořeno několik experimentálních konfigurací serveru (viz. tabulka č.1). </w:t>
      </w:r>
      <w:r w:rsidR="009016E7">
        <w:t>V</w:t>
      </w:r>
      <w:r w:rsidR="009F78BF">
        <w:t> </w:t>
      </w:r>
      <w:r w:rsidR="009016E7">
        <w:t>grafu</w:t>
      </w:r>
      <w:r w:rsidR="009F78BF">
        <w:t xml:space="preserve"> u každého experimentu</w:t>
      </w:r>
      <w:r w:rsidR="009016E7">
        <w:t xml:space="preserve"> je vždy zaznačeno číslo konfigurace 1-4, které odpovídá konfiguracím 1-4,5-8,9-12 vždy pouze s jiným diskem. </w:t>
      </w:r>
      <w:r>
        <w:t>Na každé</w:t>
      </w:r>
      <w:r w:rsidR="009016E7">
        <w:t xml:space="preserve"> konfiguraci</w:t>
      </w:r>
      <w:r>
        <w:t xml:space="preserve"> bude na 24 hodin spuštěn provoz a budeme měřit některé statistiky, kt</w:t>
      </w:r>
      <w:r w:rsidR="00B46FCD">
        <w:t>eré nám moh</w:t>
      </w:r>
      <w:r>
        <w:t xml:space="preserve">ou sloužit jako ukazatele výkonu. </w:t>
      </w:r>
      <w:r w:rsidR="009D1376">
        <w:t xml:space="preserve">Pro každou konfiguraci spustíme experiment 3krát a spočítáme průměrnou hodnotu. Každou z těchto specifikací převedeme do intervalu 0-1 podle nejnižší a nejvyšší naměřené hodnoty. Pro každou konfiguraci tedy budeme mít hodnotu 0-1 vyjadřující skóre. Pro každou konfiguraci poté spočteme celkové skóre a sestavíme </w:t>
      </w:r>
      <w:r w:rsidR="00B46FCD">
        <w:t>finální skóre podle všech statistik</w:t>
      </w:r>
      <w:r w:rsidR="009D1376">
        <w:t>.</w:t>
      </w:r>
      <w:r w:rsidR="00B46FCD">
        <w:t xml:space="preserve"> U každého grafu platí, že nižší </w:t>
      </w:r>
      <w:r w:rsidR="00F32792">
        <w:t>skóre je lepší.</w:t>
      </w:r>
    </w:p>
    <w:tbl>
      <w:tblPr>
        <w:tblStyle w:val="LightShading1"/>
        <w:tblpPr w:leftFromText="180" w:rightFromText="180" w:vertAnchor="page" w:horzAnchor="margin" w:tblpY="1281"/>
        <w:tblW w:w="4826" w:type="pct"/>
        <w:tblLook w:val="04A0" w:firstRow="1" w:lastRow="0" w:firstColumn="1" w:lastColumn="0" w:noHBand="0" w:noVBand="1"/>
      </w:tblPr>
      <w:tblGrid>
        <w:gridCol w:w="572"/>
        <w:gridCol w:w="3193"/>
        <w:gridCol w:w="834"/>
        <w:gridCol w:w="2914"/>
        <w:gridCol w:w="1452"/>
      </w:tblGrid>
      <w:tr w:rsidR="00F83274" w14:paraId="3258D735" w14:textId="77777777" w:rsidTr="00F8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BB05A" w14:textId="77777777" w:rsidR="00F83274" w:rsidRDefault="00F83274" w:rsidP="00F83274">
            <w:pPr>
              <w:jc w:val="both"/>
            </w:pPr>
            <w:r>
              <w:lastRenderedPageBreak/>
              <w:t>No.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95D76" w14:textId="77777777" w:rsidR="00F83274" w:rsidRDefault="00F83274" w:rsidP="00F832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 disku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35FDF" w14:textId="77777777" w:rsidR="00F83274" w:rsidRDefault="00F83274" w:rsidP="00F832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</w:t>
            </w:r>
          </w:p>
          <w:p w14:paraId="5ED1A5FB" w14:textId="77777777" w:rsidR="00F83274" w:rsidRDefault="00F83274" w:rsidP="00F832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98253" w14:textId="77777777" w:rsidR="00F83274" w:rsidRDefault="00F83274" w:rsidP="00F832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dotazůpřesMemcache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97275" w14:textId="77777777" w:rsidR="00F83274" w:rsidRDefault="00F83274" w:rsidP="00F832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Cena [CZK]</w:t>
            </w:r>
          </w:p>
        </w:tc>
      </w:tr>
      <w:tr w:rsidR="00F83274" w14:paraId="3CFF533C" w14:textId="77777777" w:rsidTr="00FA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4EAE4" w14:textId="77777777" w:rsidR="00F83274" w:rsidRDefault="00F83274" w:rsidP="00FA514D">
            <w:pPr>
              <w:jc w:val="center"/>
            </w:pPr>
            <w:r>
              <w:t>1.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3F01E" w14:textId="77777777" w:rsidR="00F83274" w:rsidRDefault="00F83274" w:rsidP="00FA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 7200 rpm – 123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F66B9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4870C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DA7E8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41160</w:t>
            </w:r>
          </w:p>
        </w:tc>
      </w:tr>
      <w:tr w:rsidR="00F83274" w14:paraId="360336F0" w14:textId="77777777" w:rsidTr="00FA51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90AA0" w14:textId="77777777" w:rsidR="00F83274" w:rsidRDefault="00F83274" w:rsidP="00FA514D">
            <w:pPr>
              <w:jc w:val="center"/>
            </w:pPr>
            <w:r>
              <w:t>8.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97033" w14:textId="77777777" w:rsidR="00F83274" w:rsidRDefault="00F83274" w:rsidP="00FA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HDD 7200 rpm – 123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2005C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4AD3A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A661D0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65156</w:t>
            </w:r>
          </w:p>
        </w:tc>
      </w:tr>
      <w:tr w:rsidR="00F83274" w14:paraId="1C345CAD" w14:textId="77777777" w:rsidTr="00FA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F6EE1" w14:textId="77777777" w:rsidR="00F83274" w:rsidRDefault="00F83274" w:rsidP="00FA514D">
            <w:pPr>
              <w:jc w:val="center"/>
            </w:pPr>
            <w:r>
              <w:t>3.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D7179" w14:textId="77777777" w:rsidR="00F83274" w:rsidRDefault="00F83274" w:rsidP="00FA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 7200 rpm – 123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71098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43E55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815AD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64340</w:t>
            </w:r>
          </w:p>
        </w:tc>
      </w:tr>
      <w:tr w:rsidR="00F83274" w14:paraId="72B5D1BA" w14:textId="77777777" w:rsidTr="00FA51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D40F9F" w14:textId="77777777" w:rsidR="00F83274" w:rsidRDefault="00F83274" w:rsidP="00FA514D">
            <w:pPr>
              <w:jc w:val="center"/>
            </w:pPr>
            <w:r>
              <w:t>4.</w:t>
            </w:r>
          </w:p>
        </w:tc>
        <w:tc>
          <w:tcPr>
            <w:tcW w:w="178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681823" w14:textId="77777777" w:rsidR="00F83274" w:rsidRDefault="00F83274" w:rsidP="00FA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HDD 7200 rpm – 123 MB/s</w:t>
            </w:r>
          </w:p>
        </w:tc>
        <w:tc>
          <w:tcPr>
            <w:tcW w:w="46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72B43C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2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791A25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0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ECC7B3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88336</w:t>
            </w:r>
          </w:p>
        </w:tc>
      </w:tr>
      <w:tr w:rsidR="00F83274" w14:paraId="35B165D4" w14:textId="77777777" w:rsidTr="00FA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BB326" w14:textId="77777777" w:rsidR="00F83274" w:rsidRDefault="00F83274" w:rsidP="00FA514D">
            <w:pPr>
              <w:jc w:val="center"/>
            </w:pPr>
            <w:r>
              <w:t>5.</w:t>
            </w:r>
          </w:p>
        </w:tc>
        <w:tc>
          <w:tcPr>
            <w:tcW w:w="1781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5485E8" w14:textId="77777777" w:rsidR="00F83274" w:rsidRDefault="00F83274" w:rsidP="00FA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 15000 rpm – 172 MB/s</w:t>
            </w:r>
          </w:p>
        </w:tc>
        <w:tc>
          <w:tcPr>
            <w:tcW w:w="465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1EB99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25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D83002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B6BE5B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79561</w:t>
            </w:r>
          </w:p>
        </w:tc>
      </w:tr>
      <w:tr w:rsidR="00F83274" w14:paraId="65DAC4FA" w14:textId="77777777" w:rsidTr="00FA51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C3567" w14:textId="77777777" w:rsidR="00F83274" w:rsidRDefault="00F83274" w:rsidP="00FA514D">
            <w:pPr>
              <w:jc w:val="center"/>
            </w:pPr>
            <w:r>
              <w:t>6.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9A3E3" w14:textId="77777777" w:rsidR="00F83274" w:rsidRDefault="00F83274" w:rsidP="00FA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HDD 15000 rpm – 172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0EB7F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72B2C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00E21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103557</w:t>
            </w:r>
          </w:p>
        </w:tc>
      </w:tr>
      <w:tr w:rsidR="00F83274" w14:paraId="14C1F1D0" w14:textId="77777777" w:rsidTr="00FA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3A57B" w14:textId="77777777" w:rsidR="00F83274" w:rsidRDefault="00F83274" w:rsidP="00FA514D">
            <w:pPr>
              <w:jc w:val="center"/>
            </w:pPr>
            <w:r>
              <w:t>7.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02BE3" w14:textId="77777777" w:rsidR="00F83274" w:rsidRDefault="00F83274" w:rsidP="00FA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 15000 rpm – 172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072E3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45CFC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00663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102741</w:t>
            </w:r>
          </w:p>
        </w:tc>
      </w:tr>
      <w:tr w:rsidR="00F83274" w14:paraId="79A37AAD" w14:textId="77777777" w:rsidTr="00FA51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6676FA" w14:textId="77777777" w:rsidR="00F83274" w:rsidRDefault="00F83274" w:rsidP="00FA514D">
            <w:pPr>
              <w:jc w:val="center"/>
            </w:pPr>
            <w:r>
              <w:t>8.</w:t>
            </w:r>
          </w:p>
        </w:tc>
        <w:tc>
          <w:tcPr>
            <w:tcW w:w="178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8EF3A6C" w14:textId="77777777" w:rsidR="00F83274" w:rsidRDefault="00F83274" w:rsidP="00FA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HDD 15000 rpm – 172 MB/s</w:t>
            </w:r>
          </w:p>
        </w:tc>
        <w:tc>
          <w:tcPr>
            <w:tcW w:w="46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A126C4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2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58E566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0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655CBD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126737</w:t>
            </w:r>
          </w:p>
        </w:tc>
      </w:tr>
      <w:tr w:rsidR="00F83274" w14:paraId="357F030E" w14:textId="77777777" w:rsidTr="00FA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62BA6" w14:textId="77777777" w:rsidR="00F83274" w:rsidRDefault="00F83274" w:rsidP="00FA514D">
            <w:pPr>
              <w:jc w:val="center"/>
            </w:pPr>
            <w:r>
              <w:t>9.</w:t>
            </w:r>
          </w:p>
        </w:tc>
        <w:tc>
          <w:tcPr>
            <w:tcW w:w="1781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E528E3" w14:textId="77777777" w:rsidR="00F83274" w:rsidRDefault="00F83274" w:rsidP="00FA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 – 497 MB/s</w:t>
            </w:r>
          </w:p>
        </w:tc>
        <w:tc>
          <w:tcPr>
            <w:tcW w:w="465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E8567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25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07A7D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7DE7C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180526</w:t>
            </w:r>
          </w:p>
        </w:tc>
      </w:tr>
      <w:tr w:rsidR="00F83274" w14:paraId="76DBBD85" w14:textId="77777777" w:rsidTr="00FA51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4F8EA" w14:textId="77777777" w:rsidR="00F83274" w:rsidRDefault="00F83274" w:rsidP="00FA514D">
            <w:pPr>
              <w:jc w:val="center"/>
            </w:pPr>
            <w:r>
              <w:t>10.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E1821" w14:textId="77777777" w:rsidR="00F83274" w:rsidRDefault="00F83274" w:rsidP="00FA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SSD – 497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06BC6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37734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0CB80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204522</w:t>
            </w:r>
          </w:p>
        </w:tc>
      </w:tr>
      <w:tr w:rsidR="00F83274" w14:paraId="4875B2E0" w14:textId="77777777" w:rsidTr="00FA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29738" w14:textId="77777777" w:rsidR="00F83274" w:rsidRDefault="00F83274" w:rsidP="00FA514D">
            <w:pPr>
              <w:jc w:val="center"/>
            </w:pPr>
            <w:r>
              <w:t>11.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01B94" w14:textId="77777777" w:rsidR="00F83274" w:rsidRDefault="00F83274" w:rsidP="00FA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 – 497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EED9C" w14:textId="77777777" w:rsidR="00F83274" w:rsidRDefault="00F83274" w:rsidP="00FA514D">
            <w:pPr>
              <w:tabs>
                <w:tab w:val="left" w:pos="69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E4247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17801" w14:textId="77777777" w:rsidR="00F83274" w:rsidRDefault="00F83274" w:rsidP="00FA5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203706</w:t>
            </w:r>
          </w:p>
        </w:tc>
      </w:tr>
      <w:tr w:rsidR="00F83274" w14:paraId="76D85C4F" w14:textId="77777777" w:rsidTr="00FA51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C2685" w14:textId="77777777" w:rsidR="00F83274" w:rsidRDefault="00F83274" w:rsidP="00FA514D">
            <w:pPr>
              <w:jc w:val="center"/>
            </w:pPr>
            <w:r>
              <w:t>12.</w:t>
            </w:r>
          </w:p>
        </w:tc>
        <w:tc>
          <w:tcPr>
            <w:tcW w:w="1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EB2C6" w14:textId="77777777" w:rsidR="00F83274" w:rsidRDefault="00F83274" w:rsidP="00FA514D">
            <w:pPr>
              <w:tabs>
                <w:tab w:val="right" w:pos="2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SSD – 497 MB/s</w:t>
            </w: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D5CCE" w14:textId="77777777" w:rsidR="00F83274" w:rsidRDefault="00F83274" w:rsidP="00FA5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DFC83" w14:textId="77777777" w:rsidR="00F83274" w:rsidRDefault="00F83274" w:rsidP="00FA514D">
            <w:pPr>
              <w:tabs>
                <w:tab w:val="right" w:pos="21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D17D7" w14:textId="77777777" w:rsidR="00F83274" w:rsidRDefault="00F83274" w:rsidP="00FA514D">
            <w:pPr>
              <w:tabs>
                <w:tab w:val="right" w:pos="21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227702</w:t>
            </w:r>
          </w:p>
        </w:tc>
      </w:tr>
    </w:tbl>
    <w:p w14:paraId="655A2E4B" w14:textId="77777777" w:rsidR="009D1376" w:rsidRDefault="0089663A" w:rsidP="003D7EBF">
      <w:pPr>
        <w:pStyle w:val="Heading2"/>
        <w:jc w:val="both"/>
      </w:pPr>
      <w:r>
        <w:rPr>
          <w:noProof/>
          <w:lang w:val="en-US" w:eastAsia="en-US"/>
        </w:rPr>
        <w:pict w14:anchorId="553DF98D">
          <v:shape id="_x0000_s1030" type="#_x0000_t202" style="position:absolute;left:0;text-align:left;margin-left:148.4pt;margin-top:271.55pt;width:225.5pt;height:27pt;z-index:251663360;mso-wrap-edited:f;mso-position-horizontal-relative:text;mso-position-vertical-relative:text" wrapcoords="0 0 21600 0 21600 21600 0 21600 0 0" filled="f" stroked="f">
            <v:fill o:detectmouseclick="t"/>
            <v:textbox style="mso-next-textbox:#_x0000_s1030" inset=",7.2pt,,7.2pt">
              <w:txbxContent>
                <w:p w14:paraId="632AD519" w14:textId="77777777" w:rsidR="0069605D" w:rsidRPr="001B410C" w:rsidRDefault="0069605D">
                  <w:pPr>
                    <w:rPr>
                      <w:sz w:val="20"/>
                      <w:szCs w:val="20"/>
                    </w:rPr>
                  </w:pPr>
                  <w:r w:rsidRPr="001B410C">
                    <w:rPr>
                      <w:sz w:val="20"/>
                      <w:szCs w:val="20"/>
                    </w:rPr>
                    <w:t>tabulka č.1, konfigurace serveru</w:t>
                  </w:r>
                </w:p>
              </w:txbxContent>
            </v:textbox>
            <w10:wrap type="tight"/>
          </v:shape>
        </w:pict>
      </w:r>
      <w:r w:rsidR="009D1376">
        <w:t>5.2 Prováděné experimenty</w:t>
      </w:r>
    </w:p>
    <w:p w14:paraId="4FAEED27" w14:textId="77777777" w:rsidR="00103163" w:rsidRDefault="009D1376" w:rsidP="003D7EBF">
      <w:pPr>
        <w:jc w:val="both"/>
      </w:pPr>
      <w:r>
        <w:tab/>
      </w:r>
      <w:r w:rsidR="001B410C">
        <w:t xml:space="preserve">Experiment č.1 byl zaměřen na průměrnou délku fronty. </w:t>
      </w:r>
      <w:r w:rsidR="00AE2D3C">
        <w:t>Ta nám může být ukazatelem, jak moc je celkově systém vytížen a jak moc tedy p</w:t>
      </w:r>
      <w:r w:rsidR="007F6C46">
        <w:t>rocesy čekají na přidělení procesoru</w:t>
      </w:r>
      <w:r w:rsidR="00AE2D3C">
        <w:t xml:space="preserve">. </w:t>
      </w:r>
      <w:r w:rsidR="009F78BF">
        <w:t xml:space="preserve">Z experimentu vyplývá, že navýšením počtu procesorů dosáhneme lepších výsledku. Stejně tak navýšením rychlosti disků zkrátíme průměrnou délku fronty. </w:t>
      </w:r>
      <w:r w:rsidR="00AE2D3C">
        <w:t>Výs</w:t>
      </w:r>
      <w:r w:rsidR="00F32792">
        <w:t>ledky jsou shrnuty v grafu č.1.</w:t>
      </w:r>
    </w:p>
    <w:p w14:paraId="04CCDF51" w14:textId="77777777" w:rsidR="009F78BF" w:rsidRDefault="0089663A" w:rsidP="003D7EBF">
      <w:pPr>
        <w:jc w:val="both"/>
      </w:pPr>
      <w:r>
        <w:rPr>
          <w:noProof/>
          <w:lang w:val="en-US" w:eastAsia="en-US"/>
        </w:rPr>
        <w:pict w14:anchorId="459B7EBF">
          <v:shape id="_x0000_s1034" type="#_x0000_t202" style="position:absolute;left:0;text-align:left;margin-left:165pt;margin-top:225pt;width:242pt;height:30.25pt;z-index:251664384;mso-wrap-edited:f" wrapcoords="0 0 21600 0 21600 21600 0 21600 0 0" filled="f" stroked="f">
            <v:fill o:detectmouseclick="t"/>
            <v:textbox inset=",7.2pt,,7.2pt">
              <w:txbxContent>
                <w:p w14:paraId="5202125B" w14:textId="77777777" w:rsidR="0069605D" w:rsidRPr="00A16AA4" w:rsidRDefault="0069605D">
                  <w:pPr>
                    <w:rPr>
                      <w:sz w:val="20"/>
                      <w:szCs w:val="20"/>
                    </w:rPr>
                  </w:pPr>
                  <w:r w:rsidRPr="00A16AA4">
                    <w:rPr>
                      <w:sz w:val="20"/>
                      <w:szCs w:val="20"/>
                    </w:rPr>
                    <w:t>graf č.1, průměrná délka fronty</w:t>
                  </w:r>
                </w:p>
              </w:txbxContent>
            </v:textbox>
            <w10:wrap type="tight"/>
          </v:shape>
        </w:pict>
      </w:r>
      <w:r w:rsidR="009016E7" w:rsidRPr="009016E7">
        <w:rPr>
          <w:noProof/>
          <w:lang w:val="en-US" w:eastAsia="en-US"/>
        </w:rPr>
        <w:drawing>
          <wp:inline distT="0" distB="0" distL="0" distR="0" wp14:anchorId="795A4E22" wp14:editId="18746C02">
            <wp:extent cx="5935345" cy="2779395"/>
            <wp:effectExtent l="0" t="0" r="8255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9FDA5A" w14:textId="77777777" w:rsidR="009D516F" w:rsidRDefault="009D516F" w:rsidP="003D7EBF">
      <w:pPr>
        <w:jc w:val="both"/>
      </w:pPr>
    </w:p>
    <w:p w14:paraId="098883D1" w14:textId="77777777" w:rsidR="009016E7" w:rsidRDefault="00AE2D3C" w:rsidP="003D7EBF">
      <w:pPr>
        <w:ind w:firstLine="708"/>
        <w:jc w:val="both"/>
      </w:pPr>
      <w:r>
        <w:lastRenderedPageBreak/>
        <w:t>Experiment č.2 byl zaměřen na</w:t>
      </w:r>
      <w:r w:rsidR="009F78BF">
        <w:t xml:space="preserve"> průměrnou dobu obsluhy web requestu</w:t>
      </w:r>
      <w:r>
        <w:t>.</w:t>
      </w:r>
      <w:r w:rsidR="009F78BF">
        <w:t xml:space="preserve"> Tímto experimentem jsme se snažili zjistit, jak metoda memcaching ovlivňuje rychlost zpracování požadavků</w:t>
      </w:r>
      <w:r>
        <w:t>.</w:t>
      </w:r>
      <w:r w:rsidR="009F78BF">
        <w:t xml:space="preserve"> Z výsledku experimentů dokážame vyčíst, že rychlost se s navýšením velikosti memcache zvyšuje, ale není tak výrazná, jak jsme očekávali. U rychlejších disků rozdíl mizí. Výsledek je nejspíše ovlivněn i tím, že na server nepřícházelo tolik požadavků. Pokud bychom generov</w:t>
      </w:r>
      <w:r w:rsidR="009D516F">
        <w:t>ali více požadavků, rozdíl mezi výsledky s různě velkou memcachí by byl razantnější.</w:t>
      </w:r>
      <w:r>
        <w:t xml:space="preserve"> Výsledky jsou shrnuty v grafu č.2. </w:t>
      </w:r>
    </w:p>
    <w:p w14:paraId="5535A997" w14:textId="77777777" w:rsidR="009F78BF" w:rsidRDefault="0089663A" w:rsidP="003D7EBF">
      <w:pPr>
        <w:jc w:val="both"/>
      </w:pPr>
      <w:r>
        <w:rPr>
          <w:noProof/>
          <w:lang w:val="en-US" w:eastAsia="en-US"/>
        </w:rPr>
        <w:pict w14:anchorId="456053BB">
          <v:shape id="_x0000_s1036" type="#_x0000_t202" style="position:absolute;left:0;text-align:left;margin-left:112.9pt;margin-top:243pt;width:308pt;height:26.5pt;z-index:251666432;mso-wrap-edited:f" wrapcoords="0 0 21600 0 21600 21600 0 21600 0 0" filled="f" stroked="f">
            <v:fill o:detectmouseclick="t"/>
            <v:textbox style="mso-next-textbox:#_x0000_s1036" inset=",7.2pt,,7.2pt">
              <w:txbxContent>
                <w:p w14:paraId="3D879B8D" w14:textId="77777777" w:rsidR="0069605D" w:rsidRPr="00A16AA4" w:rsidRDefault="0069605D" w:rsidP="006B1389">
                  <w:pPr>
                    <w:rPr>
                      <w:sz w:val="20"/>
                      <w:szCs w:val="20"/>
                    </w:rPr>
                  </w:pPr>
                  <w:r w:rsidRPr="00A16AA4">
                    <w:rPr>
                      <w:sz w:val="20"/>
                      <w:szCs w:val="20"/>
                    </w:rPr>
                    <w:t>graf č.2, průměrná doba vybavení webrequestu</w:t>
                  </w:r>
                </w:p>
              </w:txbxContent>
            </v:textbox>
            <w10:wrap type="through"/>
          </v:shape>
        </w:pict>
      </w:r>
      <w:r w:rsidR="002A3D19">
        <w:rPr>
          <w:noProof/>
          <w:lang w:val="en-US" w:eastAsia="en-US"/>
        </w:rPr>
        <w:drawing>
          <wp:inline distT="0" distB="0" distL="0" distR="0" wp14:anchorId="1B78FFF5" wp14:editId="0C001760">
            <wp:extent cx="5344795" cy="3058795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6B7D655" w14:textId="77777777" w:rsidR="00F83274" w:rsidRDefault="00F83274" w:rsidP="003D7EBF">
      <w:pPr>
        <w:ind w:firstLine="708"/>
        <w:jc w:val="both"/>
      </w:pPr>
    </w:p>
    <w:p w14:paraId="55A63180" w14:textId="77777777" w:rsidR="00AE2D3C" w:rsidRDefault="00AE2D3C" w:rsidP="003D7EBF">
      <w:pPr>
        <w:ind w:firstLine="708"/>
        <w:jc w:val="both"/>
      </w:pPr>
      <w:r>
        <w:t>Experiment č.3 bylzaměřen na</w:t>
      </w:r>
      <w:r w:rsidR="006B1389">
        <w:t xml:space="preserve"> průměrné</w:t>
      </w:r>
      <w:r w:rsidR="00373F70">
        <w:t xml:space="preserve"> vytížení procesorů</w:t>
      </w:r>
      <w:r>
        <w:t>.</w:t>
      </w:r>
      <w:r w:rsidR="00373F70">
        <w:t xml:space="preserve"> Jelikož jsme používali pouze konfigurace s multi – procesorovým řešením, je </w:t>
      </w:r>
      <w:r w:rsidR="006B1389">
        <w:t>průměrné</w:t>
      </w:r>
      <w:r w:rsidR="00373F70">
        <w:t xml:space="preserve"> v</w:t>
      </w:r>
      <w:r w:rsidR="00B46FCD">
        <w:t>ytížení aritmetickým průměrem vy</w:t>
      </w:r>
      <w:r w:rsidR="00373F70">
        <w:t xml:space="preserve">tížení </w:t>
      </w:r>
      <w:r w:rsidR="00B46FCD">
        <w:t>všech</w:t>
      </w:r>
      <w:r w:rsidR="00373F70">
        <w:t xml:space="preserve"> procesor</w:t>
      </w:r>
      <w:r w:rsidR="00B46FCD">
        <w:t>ů</w:t>
      </w:r>
      <w:r>
        <w:t xml:space="preserve">. </w:t>
      </w:r>
      <w:r w:rsidR="006B1389">
        <w:t>Ve výsledcích můžeme vidět, že i když se požadavky zpracovávají rychleji, tak pořád většina proc</w:t>
      </w:r>
      <w:r w:rsidR="00B46FCD">
        <w:t>esů čeká na disk. M</w:t>
      </w:r>
      <w:r w:rsidR="006B1389">
        <w:t>ůžeme</w:t>
      </w:r>
      <w:r w:rsidR="00B46FCD">
        <w:t xml:space="preserve"> také</w:t>
      </w:r>
      <w:r w:rsidR="006B1389">
        <w:t xml:space="preserve"> vidět, že memchaching nemá velký vliv na vytížení procesoru. Zejména potom u rychlejších disků. </w:t>
      </w:r>
      <w:r>
        <w:t>Výsledky jsou shrnuty v grafu č.3.</w:t>
      </w:r>
    </w:p>
    <w:p w14:paraId="63C5E54C" w14:textId="77777777" w:rsidR="007F6C46" w:rsidRDefault="0089663A" w:rsidP="003D7EBF">
      <w:pPr>
        <w:jc w:val="both"/>
      </w:pPr>
      <w:r>
        <w:rPr>
          <w:noProof/>
          <w:lang w:val="en-US" w:eastAsia="en-US"/>
        </w:rPr>
        <w:lastRenderedPageBreak/>
        <w:pict w14:anchorId="7A8D6848">
          <v:shape id="_x0000_s1035" type="#_x0000_t202" style="position:absolute;left:0;text-align:left;margin-left:137.5pt;margin-top:252.4pt;width:308pt;height:28.7pt;z-index:251665408;mso-wrap-edited:f" wrapcoords="0 0 21600 0 21600 21600 0 21600 0 0" filled="f" stroked="f">
            <v:fill o:detectmouseclick="t"/>
            <v:textbox style="mso-next-textbox:#_x0000_s1035" inset=",7.2pt,,7.2pt">
              <w:txbxContent>
                <w:p w14:paraId="1391197D" w14:textId="77777777" w:rsidR="0069605D" w:rsidRPr="002C38AD" w:rsidRDefault="0069605D" w:rsidP="009D516F">
                  <w:pPr>
                    <w:rPr>
                      <w:sz w:val="20"/>
                      <w:szCs w:val="20"/>
                    </w:rPr>
                  </w:pPr>
                  <w:r w:rsidRPr="002C38AD">
                    <w:rPr>
                      <w:sz w:val="20"/>
                      <w:szCs w:val="20"/>
                    </w:rPr>
                    <w:t>graf č.3, průměrné využití procesoru</w:t>
                  </w:r>
                </w:p>
              </w:txbxContent>
            </v:textbox>
            <w10:wrap type="through"/>
          </v:shape>
        </w:pict>
      </w:r>
      <w:r w:rsidR="009016E7" w:rsidRPr="009016E7">
        <w:rPr>
          <w:noProof/>
          <w:lang w:val="en-US" w:eastAsia="en-US"/>
        </w:rPr>
        <w:drawing>
          <wp:inline distT="0" distB="0" distL="0" distR="0" wp14:anchorId="1DE68B05" wp14:editId="306FF1D8">
            <wp:extent cx="5795645" cy="3200400"/>
            <wp:effectExtent l="0" t="0" r="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FA80BB" w14:textId="77777777" w:rsidR="007F6C46" w:rsidRDefault="007F6C46" w:rsidP="003D7EBF">
      <w:pPr>
        <w:jc w:val="both"/>
      </w:pPr>
    </w:p>
    <w:p w14:paraId="5A2963E4" w14:textId="77777777" w:rsidR="00536FA6" w:rsidRDefault="00AE2D3C" w:rsidP="00F83274">
      <w:pPr>
        <w:ind w:firstLine="708"/>
        <w:jc w:val="both"/>
      </w:pPr>
      <w:r>
        <w:t xml:space="preserve">Experiment č.4byl zaměřen na </w:t>
      </w:r>
      <w:r w:rsidR="006B1389">
        <w:t xml:space="preserve">průměrné </w:t>
      </w:r>
      <w:r w:rsidR="00F32792">
        <w:t>vytížení disku</w:t>
      </w:r>
      <w:r>
        <w:t>.</w:t>
      </w:r>
      <w:r w:rsidR="006B1389">
        <w:t xml:space="preserve">Z tohoto experimentu můžeme vidět, jak ostatní komponenty ovlivňují zatížení disku. </w:t>
      </w:r>
      <w:r w:rsidR="00F32792">
        <w:t>Podle</w:t>
      </w:r>
      <w:r w:rsidR="006B1389">
        <w:t xml:space="preserve"> všech</w:t>
      </w:r>
      <w:r w:rsidR="00F32792">
        <w:t xml:space="preserve"> předpokladů by k největšímu zpomalení systé</w:t>
      </w:r>
      <w:r w:rsidR="009016E7">
        <w:t>m</w:t>
      </w:r>
      <w:r w:rsidR="00F32792">
        <w:t>u mělo docházet právě u disků.</w:t>
      </w:r>
      <w:r w:rsidR="006B1389">
        <w:t xml:space="preserve"> Ve výsledcích můžeme vidět, že ostatní komponenty průměrné vytížení neovlivňují nějakým zásadním zp</w:t>
      </w:r>
      <w:r w:rsidR="00B46FCD">
        <w:t>ů</w:t>
      </w:r>
      <w:r w:rsidR="006B1389">
        <w:t>sobem. Z toho můžeme usoudit, že právě disk je nejvytěžovanějším zařízením a je tedy i největší brzdou systému</w:t>
      </w:r>
      <w:r>
        <w:t>. Výsledky jsou shrnuty v grafu č.4.</w:t>
      </w:r>
      <w:r w:rsidR="006B1389">
        <w:t>V grafu č.5 můžeme vidět závislost rychlosti disku na průměrném vytížení. V grafu můžeme vidět, že</w:t>
      </w:r>
      <w:r w:rsidR="00E70799">
        <w:t xml:space="preserve"> vytížení je tím menší, čím je většírychlost disku.</w:t>
      </w:r>
    </w:p>
    <w:p w14:paraId="00EA197E" w14:textId="77777777" w:rsidR="009016E7" w:rsidRDefault="0089663A" w:rsidP="003D7EBF">
      <w:pPr>
        <w:jc w:val="both"/>
      </w:pPr>
      <w:r>
        <w:rPr>
          <w:noProof/>
          <w:lang w:val="en-US" w:eastAsia="en-US"/>
        </w:rPr>
        <w:pict w14:anchorId="519DB9B1">
          <v:shape id="_x0000_s1037" type="#_x0000_t202" style="position:absolute;left:0;text-align:left;margin-left:158.45pt;margin-top:249.85pt;width:308pt;height:25.85pt;z-index:251667456;mso-wrap-edited:f" wrapcoords="0 0 21600 0 21600 21600 0 21600 0 0" filled="f" stroked="f">
            <v:fill o:detectmouseclick="t"/>
            <v:textbox style="mso-next-textbox:#_x0000_s1037" inset=",7.2pt,,7.2pt">
              <w:txbxContent>
                <w:p w14:paraId="433E2DEA" w14:textId="77777777" w:rsidR="0069605D" w:rsidRPr="002C38AD" w:rsidRDefault="0069605D" w:rsidP="00536FA6">
                  <w:pPr>
                    <w:rPr>
                      <w:sz w:val="20"/>
                      <w:szCs w:val="20"/>
                    </w:rPr>
                  </w:pPr>
                  <w:r w:rsidRPr="002C38AD">
                    <w:rPr>
                      <w:sz w:val="20"/>
                      <w:szCs w:val="20"/>
                    </w:rPr>
                    <w:t>graf č.4, průměrné využití disku</w:t>
                  </w:r>
                </w:p>
              </w:txbxContent>
            </v:textbox>
            <w10:wrap type="through"/>
          </v:shape>
        </w:pict>
      </w:r>
      <w:r w:rsidR="009016E7" w:rsidRPr="009016E7">
        <w:rPr>
          <w:noProof/>
          <w:lang w:val="en-US" w:eastAsia="en-US"/>
        </w:rPr>
        <w:drawing>
          <wp:inline distT="0" distB="0" distL="0" distR="0" wp14:anchorId="2AE9AD6B" wp14:editId="61AEADD9">
            <wp:extent cx="5787025" cy="3081403"/>
            <wp:effectExtent l="0" t="0" r="4445" b="50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FE0AD53" w14:textId="77777777" w:rsidR="00536FA6" w:rsidRDefault="0089663A" w:rsidP="00FA514D">
      <w:pPr>
        <w:tabs>
          <w:tab w:val="left" w:pos="7161"/>
        </w:tabs>
        <w:jc w:val="both"/>
      </w:pPr>
      <w:r>
        <w:rPr>
          <w:noProof/>
          <w:lang w:val="en-US" w:eastAsia="en-US"/>
        </w:rPr>
        <w:lastRenderedPageBreak/>
        <w:pict w14:anchorId="05503EB8">
          <v:shape id="_x0000_s1038" type="#_x0000_t202" style="position:absolute;left:0;text-align:left;margin-left:99pt;margin-top:290.15pt;width:346.5pt;height:29.6pt;z-index:251668480;mso-wrap-edited:f" wrapcoords="0 0 21600 0 21600 21600 0 21600 0 0" filled="f" stroked="f">
            <v:fill o:detectmouseclick="t"/>
            <v:textbox style="mso-next-textbox:#_x0000_s1038" inset=",7.2pt,,7.2pt">
              <w:txbxContent>
                <w:p w14:paraId="5C3F45D1" w14:textId="77777777" w:rsidR="0069605D" w:rsidRPr="002C38AD" w:rsidRDefault="0069605D" w:rsidP="00536FA6">
                  <w:pPr>
                    <w:rPr>
                      <w:sz w:val="20"/>
                      <w:szCs w:val="20"/>
                    </w:rPr>
                  </w:pPr>
                  <w:r w:rsidRPr="002C38AD">
                    <w:rPr>
                      <w:sz w:val="20"/>
                      <w:szCs w:val="20"/>
                    </w:rPr>
                    <w:t>graf č.5, průměrné využití disku ve vztahu s rychlostí disku</w:t>
                  </w:r>
                </w:p>
              </w:txbxContent>
            </v:textbox>
            <w10:wrap type="through"/>
          </v:shape>
        </w:pict>
      </w:r>
      <w:r w:rsidR="00A16AA4" w:rsidRPr="009016E7">
        <w:rPr>
          <w:noProof/>
          <w:lang w:val="en-US" w:eastAsia="en-US"/>
        </w:rPr>
        <w:drawing>
          <wp:inline distT="0" distB="0" distL="0" distR="0" wp14:anchorId="7282C6FF" wp14:editId="1E1920A5">
            <wp:extent cx="5760720" cy="3587590"/>
            <wp:effectExtent l="0" t="0" r="508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66059F" w14:textId="77777777" w:rsidR="00A16AA4" w:rsidRDefault="00A16AA4" w:rsidP="003D7EBF">
      <w:pPr>
        <w:ind w:firstLine="708"/>
        <w:jc w:val="both"/>
      </w:pPr>
    </w:p>
    <w:p w14:paraId="39F27A25" w14:textId="77777777" w:rsidR="00AE2D3C" w:rsidRDefault="00AE2D3C" w:rsidP="00F83274">
      <w:pPr>
        <w:ind w:firstLine="708"/>
        <w:jc w:val="both"/>
      </w:pPr>
      <w:r>
        <w:t xml:space="preserve">Experiment č.5 bylzaměřen na </w:t>
      </w:r>
      <w:r w:rsidR="002352E2">
        <w:t>celkovou orientační c</w:t>
      </w:r>
      <w:r w:rsidR="00F32792">
        <w:t>e</w:t>
      </w:r>
      <w:r w:rsidR="002352E2">
        <w:t>n</w:t>
      </w:r>
      <w:r w:rsidR="00F32792">
        <w:t>u použitých komponent</w:t>
      </w:r>
      <w:r>
        <w:t xml:space="preserve">. </w:t>
      </w:r>
      <w:r w:rsidR="00F32792">
        <w:t>Tato data nebyla naměřena pomocí simulačního modelu, ale pomohou nám objektivně systém zhodnotit nejen podle hrubého výpočetního výkonu</w:t>
      </w:r>
      <w:r>
        <w:t>. V</w:t>
      </w:r>
      <w:r w:rsidR="00CE2E4C">
        <w:t>ýsledky jsou shrnuty v grafu č.6</w:t>
      </w:r>
      <w:r>
        <w:t>.</w:t>
      </w:r>
    </w:p>
    <w:p w14:paraId="2644A347" w14:textId="77777777" w:rsidR="00FA514D" w:rsidRDefault="0089663A" w:rsidP="00F83274">
      <w:pPr>
        <w:jc w:val="both"/>
      </w:pPr>
      <w:r>
        <w:rPr>
          <w:noProof/>
          <w:lang w:val="en-US" w:eastAsia="en-US"/>
        </w:rPr>
        <w:pict w14:anchorId="45062518">
          <v:shape id="_x0000_s1040" type="#_x0000_t202" style="position:absolute;left:0;text-align:left;margin-left:88pt;margin-top:245.4pt;width:346.5pt;height:28.7pt;z-index:251669504;mso-wrap-edited:f" wrapcoords="0 0 21600 0 21600 21600 0 21600 0 0" filled="f" stroked="f">
            <v:fill o:detectmouseclick="t"/>
            <v:textbox style="mso-next-textbox:#_x0000_s1040" inset=",7.2pt,,7.2pt">
              <w:txbxContent>
                <w:p w14:paraId="284430B8" w14:textId="77777777" w:rsidR="0069605D" w:rsidRPr="002C38AD" w:rsidRDefault="0069605D" w:rsidP="0009748F">
                  <w:pPr>
                    <w:rPr>
                      <w:sz w:val="20"/>
                      <w:szCs w:val="20"/>
                    </w:rPr>
                  </w:pPr>
                  <w:r w:rsidRPr="002C38AD">
                    <w:rPr>
                      <w:sz w:val="20"/>
                      <w:szCs w:val="20"/>
                    </w:rPr>
                    <w:t>graf č.6, celková cena komponent použitých v konfiguraci</w:t>
                  </w:r>
                </w:p>
              </w:txbxContent>
            </v:textbox>
            <w10:wrap type="through"/>
          </v:shape>
        </w:pict>
      </w:r>
      <w:r w:rsidR="0009748F">
        <w:rPr>
          <w:noProof/>
          <w:lang w:val="en-US" w:eastAsia="en-US"/>
        </w:rPr>
        <w:drawing>
          <wp:inline distT="0" distB="0" distL="0" distR="0" wp14:anchorId="17C9EAAE" wp14:editId="383CCA56">
            <wp:extent cx="5789706" cy="3058795"/>
            <wp:effectExtent l="0" t="0" r="190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BE182F">
        <w:tab/>
      </w:r>
    </w:p>
    <w:p w14:paraId="3238995C" w14:textId="77777777" w:rsidR="00FA514D" w:rsidRDefault="00FA514D" w:rsidP="00F83274">
      <w:pPr>
        <w:jc w:val="both"/>
      </w:pPr>
    </w:p>
    <w:p w14:paraId="40602B99" w14:textId="77777777" w:rsidR="00A16AA4" w:rsidRDefault="00BE182F" w:rsidP="00FA514D">
      <w:pPr>
        <w:ind w:firstLine="708"/>
        <w:jc w:val="both"/>
      </w:pPr>
      <w:r>
        <w:lastRenderedPageBreak/>
        <w:t>Záverečným experimentembylosesumování skóre z předešlých experimentů. Konfigurace s nějnižším celkový</w:t>
      </w:r>
      <w:r w:rsidR="00B46FCD">
        <w:t>m hodnocením dosáhla celkového nejlepšího výsledku</w:t>
      </w:r>
      <w:r>
        <w:t>. Je to tedy sestava s SSD diskem 8</w:t>
      </w:r>
      <w:r w:rsidR="00B46FCD">
        <w:t>x</w:t>
      </w:r>
      <w:r>
        <w:t xml:space="preserve"> CPU a 30% podílem memcache hitů. </w:t>
      </w:r>
      <w:r w:rsidR="00A16AA4">
        <w:t>Výsledky v</w:t>
      </w:r>
      <w:r w:rsidR="0069605D">
        <w:t> </w:t>
      </w:r>
      <w:r w:rsidR="00A16AA4">
        <w:t>grafu</w:t>
      </w:r>
      <w:r w:rsidR="0069605D">
        <w:t xml:space="preserve"> č.7.</w:t>
      </w:r>
    </w:p>
    <w:p w14:paraId="447569DE" w14:textId="77777777" w:rsidR="000F5526" w:rsidRDefault="0089663A" w:rsidP="003D7EBF">
      <w:pPr>
        <w:jc w:val="both"/>
      </w:pPr>
      <w:r>
        <w:rPr>
          <w:noProof/>
          <w:lang w:val="en-US" w:eastAsia="en-US"/>
        </w:rPr>
        <w:pict w14:anchorId="0F2B16C4">
          <v:shape id="_x0000_s1045" type="#_x0000_t202" style="position:absolute;left:0;text-align:left;margin-left:88pt;margin-top:236.8pt;width:346.5pt;height:28.7pt;z-index:251671552;mso-wrap-edited:f" wrapcoords="0 0 21600 0 21600 21600 0 21600 0 0" filled="f" stroked="f">
            <v:fill o:detectmouseclick="t"/>
            <v:textbox style="mso-next-textbox:#_x0000_s1045" inset=",7.2pt,,7.2pt">
              <w:txbxContent>
                <w:p w14:paraId="3D37157E" w14:textId="77777777" w:rsidR="0069605D" w:rsidRPr="002C38AD" w:rsidRDefault="0069605D" w:rsidP="0069605D">
                  <w:pPr>
                    <w:rPr>
                      <w:sz w:val="20"/>
                      <w:szCs w:val="20"/>
                    </w:rPr>
                  </w:pPr>
                  <w:r w:rsidRPr="002C38AD">
                    <w:rPr>
                      <w:sz w:val="20"/>
                      <w:szCs w:val="20"/>
                    </w:rPr>
                    <w:t>graf č.6, celková cena komponent použitých v konfiguraci</w:t>
                  </w:r>
                </w:p>
              </w:txbxContent>
            </v:textbox>
            <w10:wrap type="through"/>
          </v:shape>
        </w:pict>
      </w:r>
      <w:r w:rsidR="00A16AA4" w:rsidRPr="00BE182F">
        <w:rPr>
          <w:noProof/>
          <w:lang w:val="en-US" w:eastAsia="en-US"/>
        </w:rPr>
        <w:drawing>
          <wp:inline distT="0" distB="0" distL="0" distR="0" wp14:anchorId="031528A9" wp14:editId="5DC58B7F">
            <wp:extent cx="5760720" cy="2984089"/>
            <wp:effectExtent l="0" t="0" r="508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76B48F5" w14:textId="77777777" w:rsidR="00F32792" w:rsidRDefault="00F32792" w:rsidP="003D7EBF">
      <w:pPr>
        <w:pStyle w:val="Heading2"/>
        <w:jc w:val="both"/>
      </w:pPr>
      <w:r>
        <w:t>5.3 Poznatky získané z experimentů</w:t>
      </w:r>
    </w:p>
    <w:p w14:paraId="19DABAA5" w14:textId="77777777" w:rsidR="002C38AD" w:rsidRDefault="00F32792" w:rsidP="003D7EBF">
      <w:pPr>
        <w:jc w:val="both"/>
        <w:rPr>
          <w:noProof/>
          <w:lang w:val="en-US" w:eastAsia="en-US"/>
        </w:rPr>
      </w:pPr>
      <w:r>
        <w:tab/>
        <w:t>Bylo provedeno celkem 5 experimentů, z toho 4 na simulačním modelu. V průběhu experimentování byly vhodně opraveny některé parametry serveru, abychom docílili co možná nejlepších výsledků. Naměřené hodnoty byly změřeny na výsledných konfiguracích uvedených v tabulce č.1. Z experimentů můžeme odvodit chování systémů s obdobnými parametry. Dalšími experimenty bychom nezískali již da</w:t>
      </w:r>
      <w:r w:rsidR="00B46FCD">
        <w:t>lší významné a směrodatné data a proto není provádění dalších experimentů potřeba.</w:t>
      </w:r>
      <w:r w:rsidR="002C38AD">
        <w:rPr>
          <w:noProof/>
          <w:lang w:val="en-US" w:eastAsia="en-US"/>
        </w:rPr>
        <w:br w:type="page"/>
      </w:r>
    </w:p>
    <w:p w14:paraId="77370509" w14:textId="77777777" w:rsidR="004F6FB7" w:rsidRDefault="009D1376" w:rsidP="003D7EBF">
      <w:pPr>
        <w:pStyle w:val="Heading1"/>
        <w:jc w:val="both"/>
      </w:pPr>
      <w:proofErr w:type="spellStart"/>
      <w:r>
        <w:lastRenderedPageBreak/>
        <w:t>Z</w:t>
      </w:r>
      <w:r w:rsidR="00695DAD">
        <w:t>ávěr</w:t>
      </w:r>
      <w:proofErr w:type="spellEnd"/>
    </w:p>
    <w:p w14:paraId="14C913D9" w14:textId="77777777" w:rsidR="0069605D" w:rsidRDefault="002352E2" w:rsidP="003D7EBF">
      <w:pPr>
        <w:jc w:val="both"/>
      </w:pPr>
      <w:r>
        <w:tab/>
        <w:t>Z výsledků experimentů vyplývá, že jako nejvýhodnější konfigurace se jeví konfigurace č</w:t>
      </w:r>
      <w:r w:rsidR="00FE57B5">
        <w:t>.10</w:t>
      </w:r>
      <w:r>
        <w:t xml:space="preserve">, která používá </w:t>
      </w:r>
      <w:r w:rsidR="00FE57B5">
        <w:t>8 procesorů, SSD</w:t>
      </w:r>
      <w:r>
        <w:t xml:space="preserve"> disk a </w:t>
      </w:r>
      <w:r w:rsidR="00FE57B5">
        <w:t>30</w:t>
      </w:r>
      <w:r>
        <w:t>% memcache hit. Výsledky experimentů můžeme považovat za validní, neboť odpovídají výsledkům naměřených při jiných typech experimentů. Můžem</w:t>
      </w:r>
      <w:r w:rsidR="007F6C46">
        <w:t xml:space="preserve">e tedy říci, že v současnosti </w:t>
      </w:r>
      <w:r>
        <w:t>největším problémem serverů</w:t>
      </w:r>
      <w:r w:rsidR="007F6C46">
        <w:t xml:space="preserve"> jsou</w:t>
      </w:r>
      <w:r>
        <w:t xml:space="preserve"> pevné disky. Z experimentů také vyplývá, že řešením můžou být například rychlé SSD disky u kterých je ale nutné počítat s vysokými pořizovacími náklady. Dále můžeme vypozorovat, že navyšovaní počtu procesorů nezískáme až takový výkon, jak by se mohlo zdát. Tento jev je dán zejména pomalou obsluhou dalších periferií. </w:t>
      </w:r>
      <w:r w:rsidR="00FE57B5">
        <w:t>V našich experimentech jsme také zjistili, že metoda memcachingu neovlivňuje až tak zásadním způsobem, jak jsme očekávali. Tento jev je nejspíše způsoben malým provozem na straně webového server. V případě většího zatížení bychom mohli vidět větší rozdíly.</w:t>
      </w:r>
      <w:r w:rsidR="0069605D">
        <w:br w:type="page"/>
      </w:r>
    </w:p>
    <w:p w14:paraId="010B1CC4" w14:textId="77777777" w:rsidR="004F6FB7" w:rsidRPr="005432E3" w:rsidRDefault="00695DAD" w:rsidP="003D7EBF">
      <w:pPr>
        <w:pStyle w:val="Heading1"/>
        <w:jc w:val="both"/>
      </w:pPr>
      <w:proofErr w:type="spellStart"/>
      <w:r>
        <w:lastRenderedPageBreak/>
        <w:t>Literatu</w:t>
      </w:r>
      <w:r w:rsidR="004F6FB7" w:rsidRPr="005432E3">
        <w:t>ra</w:t>
      </w:r>
      <w:proofErr w:type="spellEnd"/>
      <w:r w:rsidR="004F6FB7" w:rsidRPr="005432E3">
        <w:t xml:space="preserve"> a </w:t>
      </w:r>
      <w:proofErr w:type="spellStart"/>
      <w:r w:rsidR="004F6FB7" w:rsidRPr="005432E3">
        <w:t>zdroje</w:t>
      </w:r>
      <w:proofErr w:type="spellEnd"/>
    </w:p>
    <w:p w14:paraId="225B2FC5" w14:textId="77777777" w:rsidR="00617E1B" w:rsidRDefault="00617E1B" w:rsidP="003D7EBF">
      <w:pPr>
        <w:jc w:val="both"/>
        <w:rPr>
          <w:szCs w:val="24"/>
        </w:rPr>
      </w:pPr>
      <w:r>
        <w:rPr>
          <w:szCs w:val="24"/>
        </w:rPr>
        <w:t xml:space="preserve">[1] </w:t>
      </w:r>
      <w:r>
        <w:rPr>
          <w:rFonts w:cs="Arial"/>
          <w:color w:val="000000"/>
          <w:szCs w:val="24"/>
          <w:shd w:val="clear" w:color="auto" w:fill="FFFFFF"/>
        </w:rPr>
        <w:t>Traditional Hard Drives VS Solid-State Drives. [online]. [cit. 2012-12-07]. Dostupné z: http://www.vaultnetworks.com/dedicated-servers/hard-disk-vs-solid-state.html</w:t>
      </w:r>
    </w:p>
    <w:p w14:paraId="1F44649F" w14:textId="77777777" w:rsidR="00617E1B" w:rsidRDefault="00617E1B" w:rsidP="003D7EBF">
      <w:pPr>
        <w:jc w:val="both"/>
        <w:rPr>
          <w:szCs w:val="24"/>
        </w:rPr>
      </w:pPr>
      <w:r>
        <w:rPr>
          <w:szCs w:val="24"/>
        </w:rPr>
        <w:t xml:space="preserve">[2] </w:t>
      </w:r>
      <w:r>
        <w:rPr>
          <w:rFonts w:cs="Arial"/>
          <w:color w:val="000000"/>
          <w:szCs w:val="24"/>
          <w:shd w:val="clear" w:color="auto" w:fill="FFFFFF"/>
        </w:rPr>
        <w:t>Increasing productivity by selecting a multi-processor workstation. [online]. [cit. 2012-12-07]. Dostupné z: http://h20331.www2.hp.com/Hpsub/downloads/Multi-Processor_WhitePaper_090611.pdf</w:t>
      </w:r>
    </w:p>
    <w:p w14:paraId="1DD4F4C1" w14:textId="77777777" w:rsidR="00617E1B" w:rsidRDefault="00617E1B" w:rsidP="003D7EBF">
      <w:pPr>
        <w:jc w:val="both"/>
      </w:pPr>
      <w:r>
        <w:t>[3] Memcached. [online]. [cit. 2012-12-07]. Dostupné z: http://memcached.org</w:t>
      </w:r>
    </w:p>
    <w:p w14:paraId="0DBE48CD" w14:textId="77777777" w:rsidR="00617E1B" w:rsidRDefault="00617E1B" w:rsidP="003D7EBF">
      <w:pPr>
        <w:jc w:val="both"/>
      </w:pPr>
      <w:r>
        <w:t>[4] A Bunch Of Great Strategies For Using Memcached And MySQL Better Together. [online]. [cit. 2012-12-07]. Dostupné z: http://highscalability.com/bunch-great-strategies-using-memcached-and-mysql-better-together</w:t>
      </w:r>
    </w:p>
    <w:p w14:paraId="57FB908A" w14:textId="77777777" w:rsidR="00617E1B" w:rsidRDefault="00617E1B" w:rsidP="003D7EBF">
      <w:pPr>
        <w:jc w:val="both"/>
      </w:pPr>
      <w:r>
        <w:t>[5] Reddit. [online]. [cit. 2012-12-07]. Dostupné z: http://www.reddit.com</w:t>
      </w:r>
    </w:p>
    <w:p w14:paraId="68E4D8D5" w14:textId="77777777" w:rsidR="00617E1B" w:rsidRDefault="00617E1B" w:rsidP="003D7EBF">
      <w:pPr>
        <w:jc w:val="both"/>
      </w:pPr>
      <w:r>
        <w:t>[6] Facebook. [online]. [cit. 2012-12-07]. Dostupné z: https://www.facebook.com</w:t>
      </w:r>
    </w:p>
    <w:p w14:paraId="2E5F4BAE" w14:textId="77777777" w:rsidR="00617E1B" w:rsidRDefault="00617E1B" w:rsidP="003D7EBF">
      <w:pPr>
        <w:jc w:val="both"/>
        <w:rPr>
          <w:rFonts w:cs="Arial"/>
          <w:lang w:val="en-US"/>
        </w:rPr>
      </w:pPr>
      <w:r>
        <w:t>[7] Barracuda 7200.12 Serial ATA. [online]. [cit. 2012-12-07]. Dostupné z: http://www.seagate.com/staticfiles/support/disc/manuals/desktop/Barracuda%207200.12/100529369b.pdf</w:t>
      </w:r>
    </w:p>
    <w:p w14:paraId="18E7260F" w14:textId="77777777" w:rsidR="00617E1B" w:rsidRDefault="00617E1B" w:rsidP="003D7EBF">
      <w:pPr>
        <w:jc w:val="both"/>
        <w:rPr>
          <w:rFonts w:cs="Arial"/>
          <w:lang w:val="en-US"/>
        </w:rPr>
      </w:pPr>
      <w:r>
        <w:t>[8] Memory speeds and compatibility. [online]. [cit. 2012-12-07]. Dostupné z: http://www.crucial.com/support/memory_speeds.aspx</w:t>
      </w:r>
    </w:p>
    <w:p w14:paraId="76ABCABD" w14:textId="77777777" w:rsidR="00617E1B" w:rsidRDefault="00617E1B" w:rsidP="003D7EBF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[9] </w:t>
      </w:r>
      <w:r>
        <w:t>IPZ HDD. [online]. [cit. 2012-12-07]. Dostupné z: https://www.fit.vutbr.cz/study/courses/IPZ/public/texty/rok2010/hdd10/hdd00.pdf</w:t>
      </w:r>
    </w:p>
    <w:p w14:paraId="378DA4D4" w14:textId="77777777" w:rsidR="00617E1B" w:rsidRDefault="00DC62E6" w:rsidP="003D7EBF">
      <w:pPr>
        <w:jc w:val="both"/>
      </w:pPr>
      <w:r>
        <w:t>[10</w:t>
      </w:r>
      <w:r w:rsidR="00617E1B">
        <w:t>] Using Memcached as an object cache. [online]. [cit. 2012-12-07]. Dostupné z: http://cerberusweb.com/book/la</w:t>
      </w:r>
      <w:bookmarkStart w:id="0" w:name="_GoBack"/>
      <w:r w:rsidR="00617E1B">
        <w:t>test</w:t>
      </w:r>
      <w:bookmarkEnd w:id="0"/>
      <w:r w:rsidR="00617E1B">
        <w:t>/admin_guide/performance/memcache.html</w:t>
      </w:r>
    </w:p>
    <w:p w14:paraId="4FF92FB5" w14:textId="77777777" w:rsidR="00617E1B" w:rsidRDefault="00617E1B" w:rsidP="003D7EBF">
      <w:pPr>
        <w:pStyle w:val="Heading1"/>
        <w:jc w:val="both"/>
        <w:rPr>
          <w:rFonts w:ascii="Malgun Gothic" w:eastAsia="Malgun Gothic" w:hAnsi="Malgun Gothic" w:cs="Malgun Gothic"/>
          <w:lang w:val="cs-CZ"/>
        </w:rPr>
      </w:pPr>
      <w:proofErr w:type="spellStart"/>
      <w:r>
        <w:t>P</w:t>
      </w:r>
      <w:r>
        <w:rPr>
          <w:rFonts w:ascii="MS Gothic" w:eastAsia="MS Gothic" w:hAnsi="MS Gothic" w:cs="MS Gothic" w:hint="eastAsia"/>
        </w:rPr>
        <w:t>ř</w:t>
      </w:r>
      <w:r>
        <w:rPr>
          <w:rFonts w:ascii="Malgun Gothic" w:eastAsia="Malgun Gothic" w:hAnsi="Malgun Gothic" w:cs="Malgun Gothic" w:hint="eastAsia"/>
        </w:rPr>
        <w:t>íloha</w:t>
      </w:r>
      <w:proofErr w:type="spellEnd"/>
    </w:p>
    <w:p w14:paraId="25A812AA" w14:textId="77777777" w:rsidR="00DC62E6" w:rsidRPr="00DC62E6" w:rsidRDefault="00DC62E6" w:rsidP="003D7EBF">
      <w:pPr>
        <w:jc w:val="both"/>
        <w:rPr>
          <w:lang w:val="cs-CZ"/>
        </w:rPr>
      </w:pPr>
      <w:r>
        <w:rPr>
          <w:lang w:val="cs-CZ"/>
        </w:rPr>
        <w:t xml:space="preserve">[11] </w:t>
      </w:r>
      <w:hyperlink r:id="rId19" w:history="1">
        <w:r>
          <w:rPr>
            <w:rStyle w:val="Hyperlink"/>
            <w:rFonts w:cs="Arial"/>
            <w:lang w:val="en-US"/>
          </w:rPr>
          <w:t>http://goo.gl/zpajl</w:t>
        </w:r>
      </w:hyperlink>
    </w:p>
    <w:p w14:paraId="3BE0CA6A" w14:textId="77777777" w:rsidR="00617E1B" w:rsidRDefault="00617E1B" w:rsidP="003D7EBF">
      <w:pPr>
        <w:jc w:val="both"/>
      </w:pPr>
      <w:r>
        <w:t xml:space="preserve">[12] </w:t>
      </w:r>
      <w:hyperlink r:id="rId20" w:history="1">
        <w:r>
          <w:rPr>
            <w:rStyle w:val="Hyperlink"/>
          </w:rPr>
          <w:t>http://goo.gl/s0Ti5</w:t>
        </w:r>
      </w:hyperlink>
    </w:p>
    <w:p w14:paraId="39C2295D" w14:textId="77777777" w:rsidR="00DC62E6" w:rsidRPr="00DC62E6" w:rsidRDefault="00617E1B" w:rsidP="003D7EBF">
      <w:pPr>
        <w:jc w:val="both"/>
        <w:rPr>
          <w:color w:val="0000FF" w:themeColor="hyperlink"/>
          <w:u w:val="single"/>
        </w:rPr>
      </w:pPr>
      <w:r>
        <w:t xml:space="preserve">[13] </w:t>
      </w:r>
      <w:hyperlink r:id="rId21" w:history="1">
        <w:r>
          <w:rPr>
            <w:rStyle w:val="Hyperlink"/>
          </w:rPr>
          <w:t>http://goo.gl/wtJ1x</w:t>
        </w:r>
      </w:hyperlink>
    </w:p>
    <w:sectPr w:rsidR="00DC62E6" w:rsidRPr="00DC62E6" w:rsidSect="00C877D4">
      <w:footerReference w:type="default" r:id="rId22"/>
      <w:head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58FD2CE" w14:textId="77777777" w:rsidR="00993F97" w:rsidRDefault="00993F97" w:rsidP="00732489">
      <w:pPr>
        <w:spacing w:after="0" w:line="240" w:lineRule="auto"/>
      </w:pPr>
      <w:r>
        <w:separator/>
      </w:r>
    </w:p>
  </w:endnote>
  <w:endnote w:type="continuationSeparator" w:id="0">
    <w:p w14:paraId="504044AD" w14:textId="77777777" w:rsidR="00993F97" w:rsidRDefault="00993F97" w:rsidP="0073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altName w:val="Arial Unicode MS"/>
    <w:charset w:val="81"/>
    <w:family w:val="swiss"/>
    <w:pitch w:val="variable"/>
    <w:sig w:usb0="900002AF" w:usb1="29D77CFB" w:usb2="00000012" w:usb3="00000000" w:csb0="0008008D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755472"/>
      <w:docPartObj>
        <w:docPartGallery w:val="Page Numbers (Bottom of Page)"/>
        <w:docPartUnique/>
      </w:docPartObj>
    </w:sdtPr>
    <w:sdtEndPr/>
    <w:sdtContent>
      <w:p w14:paraId="6AC8FDEB" w14:textId="77777777" w:rsidR="0069605D" w:rsidRDefault="009423E0" w:rsidP="00C877D4">
        <w:pPr>
          <w:pStyle w:val="Footer"/>
          <w:jc w:val="center"/>
        </w:pPr>
        <w:r>
          <w:fldChar w:fldCharType="begin"/>
        </w:r>
        <w:r w:rsidR="0069605D">
          <w:instrText xml:space="preserve"> PAGE   \* MERGEFORMAT </w:instrText>
        </w:r>
        <w:r>
          <w:fldChar w:fldCharType="separate"/>
        </w:r>
        <w:r w:rsidR="0089663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BC20440" w14:textId="77777777" w:rsidR="0069605D" w:rsidRDefault="0069605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E857881" w14:textId="77777777" w:rsidR="00993F97" w:rsidRDefault="00993F97" w:rsidP="00732489">
      <w:pPr>
        <w:spacing w:after="0" w:line="240" w:lineRule="auto"/>
      </w:pPr>
      <w:r>
        <w:separator/>
      </w:r>
    </w:p>
  </w:footnote>
  <w:footnote w:type="continuationSeparator" w:id="0">
    <w:p w14:paraId="277C9D34" w14:textId="77777777" w:rsidR="00993F97" w:rsidRDefault="00993F97" w:rsidP="0073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b/>
        <w:bCs/>
        <w:color w:val="000000" w:themeColor="text1"/>
        <w:sz w:val="32"/>
        <w:szCs w:val="32"/>
      </w:rPr>
      <w:alias w:val="Title"/>
      <w:id w:val="7780764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C042C7D" w14:textId="77777777" w:rsidR="0069605D" w:rsidRPr="004B3942" w:rsidRDefault="00ED10D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cs="Arial"/>
            <w:b/>
            <w:bCs/>
            <w:color w:val="000000" w:themeColor="text1"/>
            <w:sz w:val="32"/>
            <w:szCs w:val="32"/>
          </w:rPr>
        </w:pPr>
        <w:r>
          <w:rPr>
            <w:rFonts w:cs="Arial"/>
            <w:b/>
            <w:bCs/>
            <w:color w:val="000000" w:themeColor="text1"/>
            <w:sz w:val="32"/>
            <w:szCs w:val="32"/>
          </w:rPr>
          <w:t>6:</w:t>
        </w:r>
        <w:r w:rsidR="0069605D" w:rsidRPr="004B3942">
          <w:rPr>
            <w:rFonts w:cs="Arial"/>
            <w:b/>
            <w:bCs/>
            <w:color w:val="000000" w:themeColor="text1"/>
            <w:sz w:val="32"/>
            <w:szCs w:val="32"/>
          </w:rPr>
          <w:t>SHO Počítačový server</w:t>
        </w:r>
      </w:p>
    </w:sdtContent>
  </w:sdt>
  <w:sdt>
    <w:sdtPr>
      <w:rPr>
        <w:rFonts w:cs="Arial"/>
        <w:color w:val="000000" w:themeColor="text1"/>
        <w:sz w:val="20"/>
        <w:szCs w:val="20"/>
      </w:rPr>
      <w:alias w:val="Subtitle"/>
      <w:id w:val="7780765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72BB3B7" w14:textId="77777777" w:rsidR="0069605D" w:rsidRPr="004B3942" w:rsidRDefault="0069605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cs="Arial"/>
            <w:color w:val="000000" w:themeColor="text1"/>
            <w:sz w:val="20"/>
            <w:szCs w:val="20"/>
          </w:rPr>
        </w:pPr>
        <w:r w:rsidRPr="004B3942">
          <w:rPr>
            <w:rFonts w:cs="Arial"/>
            <w:color w:val="000000" w:themeColor="text1"/>
            <w:sz w:val="20"/>
            <w:szCs w:val="20"/>
          </w:rPr>
          <w:t>PROJEKT NA VUT FIT 2012</w:t>
        </w:r>
        <w:r w:rsidRPr="004B3942">
          <w:rPr>
            <w:rFonts w:cs="Arial"/>
            <w:color w:val="000000" w:themeColor="text1"/>
            <w:sz w:val="20"/>
            <w:szCs w:val="20"/>
            <w:lang w:val="en-US"/>
          </w:rPr>
          <w:t>/2013 DO IMS</w:t>
        </w:r>
      </w:p>
    </w:sdtContent>
  </w:sdt>
  <w:sdt>
    <w:sdtPr>
      <w:rPr>
        <w:rFonts w:cs="Arial"/>
        <w:color w:val="000000" w:themeColor="text1"/>
        <w:sz w:val="18"/>
        <w:szCs w:val="18"/>
      </w:rPr>
      <w:alias w:val="Author"/>
      <w:id w:val="7780765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29A5A81" w14:textId="77777777" w:rsidR="0069605D" w:rsidRPr="004B3942" w:rsidRDefault="0069605D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rFonts w:cs="Arial"/>
            <w:color w:val="000000" w:themeColor="text1"/>
            <w:sz w:val="18"/>
            <w:szCs w:val="18"/>
          </w:rPr>
        </w:pPr>
        <w:r w:rsidRPr="004B3942">
          <w:rPr>
            <w:rFonts w:cs="Arial"/>
            <w:color w:val="000000" w:themeColor="text1"/>
            <w:sz w:val="18"/>
            <w:szCs w:val="18"/>
          </w:rPr>
          <w:t xml:space="preserve">Michal Lukáč (xlukac05), Jakub Sznapka </w:t>
        </w:r>
        <w:r w:rsidRPr="004B3942">
          <w:rPr>
            <w:rFonts w:cs="Arial"/>
            <w:color w:val="000000" w:themeColor="text1"/>
            <w:sz w:val="18"/>
            <w:szCs w:val="18"/>
            <w:lang w:val="en-US"/>
          </w:rPr>
          <w:t>(xsznap01)</w:t>
        </w:r>
      </w:p>
    </w:sdtContent>
  </w:sdt>
  <w:p w14:paraId="568EFDC6" w14:textId="77777777" w:rsidR="0069605D" w:rsidRDefault="006960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0286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EA6F77"/>
    <w:multiLevelType w:val="multilevel"/>
    <w:tmpl w:val="29920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B4834DD"/>
    <w:multiLevelType w:val="multilevel"/>
    <w:tmpl w:val="75CA3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6C66588"/>
    <w:multiLevelType w:val="multilevel"/>
    <w:tmpl w:val="CDD0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2489"/>
    <w:rsid w:val="0000026E"/>
    <w:rsid w:val="00001BF0"/>
    <w:rsid w:val="00004F22"/>
    <w:rsid w:val="000131FF"/>
    <w:rsid w:val="00031A09"/>
    <w:rsid w:val="00043346"/>
    <w:rsid w:val="0007163C"/>
    <w:rsid w:val="00085F23"/>
    <w:rsid w:val="0009748F"/>
    <w:rsid w:val="000F5526"/>
    <w:rsid w:val="00103163"/>
    <w:rsid w:val="00127604"/>
    <w:rsid w:val="00154EE4"/>
    <w:rsid w:val="001950BA"/>
    <w:rsid w:val="001A2E31"/>
    <w:rsid w:val="001B410C"/>
    <w:rsid w:val="001B50B7"/>
    <w:rsid w:val="001F3685"/>
    <w:rsid w:val="002323BC"/>
    <w:rsid w:val="00233AF1"/>
    <w:rsid w:val="002352E2"/>
    <w:rsid w:val="002A3D19"/>
    <w:rsid w:val="002B4AF3"/>
    <w:rsid w:val="002C38AD"/>
    <w:rsid w:val="002C5878"/>
    <w:rsid w:val="002D5B45"/>
    <w:rsid w:val="002F7EA3"/>
    <w:rsid w:val="003407BE"/>
    <w:rsid w:val="00373F70"/>
    <w:rsid w:val="003D7EBF"/>
    <w:rsid w:val="00402E6A"/>
    <w:rsid w:val="00415C0B"/>
    <w:rsid w:val="00436416"/>
    <w:rsid w:val="0043745A"/>
    <w:rsid w:val="004B3942"/>
    <w:rsid w:val="004D3D1A"/>
    <w:rsid w:val="004F6FB7"/>
    <w:rsid w:val="005017A4"/>
    <w:rsid w:val="00536FA6"/>
    <w:rsid w:val="005432E3"/>
    <w:rsid w:val="0057206C"/>
    <w:rsid w:val="005C3B3B"/>
    <w:rsid w:val="005F33B1"/>
    <w:rsid w:val="00617E1B"/>
    <w:rsid w:val="00684221"/>
    <w:rsid w:val="006918C9"/>
    <w:rsid w:val="00692C13"/>
    <w:rsid w:val="00695DAD"/>
    <w:rsid w:val="0069605D"/>
    <w:rsid w:val="006B09F2"/>
    <w:rsid w:val="006B1389"/>
    <w:rsid w:val="006E48DA"/>
    <w:rsid w:val="00732489"/>
    <w:rsid w:val="0076001D"/>
    <w:rsid w:val="00784812"/>
    <w:rsid w:val="007F6C46"/>
    <w:rsid w:val="00810B9F"/>
    <w:rsid w:val="00842DF3"/>
    <w:rsid w:val="00857A7F"/>
    <w:rsid w:val="0089663A"/>
    <w:rsid w:val="008B69C3"/>
    <w:rsid w:val="008C7AA7"/>
    <w:rsid w:val="009016E7"/>
    <w:rsid w:val="009343E3"/>
    <w:rsid w:val="009423E0"/>
    <w:rsid w:val="00972606"/>
    <w:rsid w:val="00981ED2"/>
    <w:rsid w:val="00985013"/>
    <w:rsid w:val="00993F97"/>
    <w:rsid w:val="009A1373"/>
    <w:rsid w:val="009B095F"/>
    <w:rsid w:val="009D1376"/>
    <w:rsid w:val="009D516F"/>
    <w:rsid w:val="009F78BF"/>
    <w:rsid w:val="00A16AA4"/>
    <w:rsid w:val="00A2770D"/>
    <w:rsid w:val="00A33095"/>
    <w:rsid w:val="00A4347D"/>
    <w:rsid w:val="00A575F7"/>
    <w:rsid w:val="00AB04D2"/>
    <w:rsid w:val="00AB17D0"/>
    <w:rsid w:val="00AC661E"/>
    <w:rsid w:val="00AD049C"/>
    <w:rsid w:val="00AD6E42"/>
    <w:rsid w:val="00AE2D3C"/>
    <w:rsid w:val="00B2077C"/>
    <w:rsid w:val="00B27163"/>
    <w:rsid w:val="00B46FCD"/>
    <w:rsid w:val="00B54BF7"/>
    <w:rsid w:val="00B55349"/>
    <w:rsid w:val="00B5749C"/>
    <w:rsid w:val="00B65630"/>
    <w:rsid w:val="00BD0B9C"/>
    <w:rsid w:val="00BD3B32"/>
    <w:rsid w:val="00BE182F"/>
    <w:rsid w:val="00C17899"/>
    <w:rsid w:val="00C21ABE"/>
    <w:rsid w:val="00C5184E"/>
    <w:rsid w:val="00C6038B"/>
    <w:rsid w:val="00C877D4"/>
    <w:rsid w:val="00CB343E"/>
    <w:rsid w:val="00CD5BAC"/>
    <w:rsid w:val="00CE2E4C"/>
    <w:rsid w:val="00CF2FF8"/>
    <w:rsid w:val="00CF3F6F"/>
    <w:rsid w:val="00D10F45"/>
    <w:rsid w:val="00D25016"/>
    <w:rsid w:val="00D41FCB"/>
    <w:rsid w:val="00D80368"/>
    <w:rsid w:val="00DC62E6"/>
    <w:rsid w:val="00DE02CB"/>
    <w:rsid w:val="00DE1953"/>
    <w:rsid w:val="00DE284C"/>
    <w:rsid w:val="00E01CE8"/>
    <w:rsid w:val="00E70799"/>
    <w:rsid w:val="00E7280C"/>
    <w:rsid w:val="00EC5817"/>
    <w:rsid w:val="00ED10DF"/>
    <w:rsid w:val="00EF5036"/>
    <w:rsid w:val="00F32792"/>
    <w:rsid w:val="00F53DAF"/>
    <w:rsid w:val="00F62A24"/>
    <w:rsid w:val="00F82537"/>
    <w:rsid w:val="00F83274"/>
    <w:rsid w:val="00F959F0"/>
    <w:rsid w:val="00FA514D"/>
    <w:rsid w:val="00FD5A13"/>
    <w:rsid w:val="00FE5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F71E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2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23"/>
    <w:pPr>
      <w:keepNext/>
      <w:keepLines/>
      <w:spacing w:before="600" w:after="120"/>
      <w:outlineLvl w:val="0"/>
    </w:pPr>
    <w:rPr>
      <w:rFonts w:eastAsiaTheme="majorEastAsia" w:cs="Times"/>
      <w:b/>
      <w:color w:val="000000" w:themeColor="text1"/>
      <w:sz w:val="32"/>
      <w:szCs w:val="3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23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89"/>
  </w:style>
  <w:style w:type="paragraph" w:styleId="Footer">
    <w:name w:val="footer"/>
    <w:basedOn w:val="Normal"/>
    <w:link w:val="FooterChar"/>
    <w:uiPriority w:val="99"/>
    <w:unhideWhenUsed/>
    <w:rsid w:val="00732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89"/>
  </w:style>
  <w:style w:type="paragraph" w:styleId="BalloonText">
    <w:name w:val="Balloon Text"/>
    <w:basedOn w:val="Normal"/>
    <w:link w:val="BalloonTextChar"/>
    <w:uiPriority w:val="99"/>
    <w:semiHidden/>
    <w:unhideWhenUsed/>
    <w:rsid w:val="0073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5F23"/>
    <w:rPr>
      <w:rFonts w:ascii="Arial" w:eastAsiaTheme="majorEastAsia" w:hAnsi="Arial" w:cs="Times"/>
      <w:b/>
      <w:color w:val="000000" w:themeColor="text1"/>
      <w:sz w:val="32"/>
      <w:szCs w:val="38"/>
      <w:lang w:val="en-US"/>
    </w:rPr>
  </w:style>
  <w:style w:type="character" w:styleId="Hyperlink">
    <w:name w:val="Hyperlink"/>
    <w:basedOn w:val="DefaultParagraphFont"/>
    <w:uiPriority w:val="99"/>
    <w:unhideWhenUsed/>
    <w:rsid w:val="00F53D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5F2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6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D0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E01CE8"/>
    <w:rPr>
      <w:rFonts w:ascii="Courier New" w:hAnsi="Courier New"/>
      <w:iCs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E01CE8"/>
    <w:rPr>
      <w:rFonts w:ascii="Courier New" w:hAnsi="Courier New"/>
      <w:iCs/>
      <w:sz w:val="24"/>
    </w:rPr>
  </w:style>
  <w:style w:type="table" w:customStyle="1" w:styleId="MediumShading2-Accent11">
    <w:name w:val="Medium Shading 2 - Accent 11"/>
    <w:basedOn w:val="TableNormal"/>
    <w:uiPriority w:val="64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5F33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5F3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1">
    <w:name w:val="Medium List 11"/>
    <w:basedOn w:val="TableNormal"/>
    <w:uiPriority w:val="65"/>
    <w:rsid w:val="005F3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Shading21">
    <w:name w:val="Medium Shading 21"/>
    <w:basedOn w:val="TableNormal"/>
    <w:uiPriority w:val="64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F33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DarkList1">
    <w:name w:val="Dark List1"/>
    <w:basedOn w:val="TableNormal"/>
    <w:uiPriority w:val="70"/>
    <w:rsid w:val="005F33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F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ColorfulGrid1">
    <w:name w:val="Colorful Grid1"/>
    <w:basedOn w:val="TableNormal"/>
    <w:uiPriority w:val="73"/>
    <w:rsid w:val="005F3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Shading1">
    <w:name w:val="Light Shading1"/>
    <w:basedOn w:val="TableNormal"/>
    <w:uiPriority w:val="60"/>
    <w:rsid w:val="005F33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goo.gl/s0Ti5" TargetMode="External"/><Relationship Id="rId21" Type="http://schemas.openxmlformats.org/officeDocument/2006/relationships/hyperlink" Target="http://goo.gl/wtJ1x" TargetMode="External"/><Relationship Id="rId22" Type="http://schemas.openxmlformats.org/officeDocument/2006/relationships/footer" Target="footer1.xml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chart" Target="charts/chart1.xml"/><Relationship Id="rId13" Type="http://schemas.openxmlformats.org/officeDocument/2006/relationships/chart" Target="charts/chart2.xml"/><Relationship Id="rId14" Type="http://schemas.openxmlformats.org/officeDocument/2006/relationships/chart" Target="charts/chart3.xml"/><Relationship Id="rId15" Type="http://schemas.openxmlformats.org/officeDocument/2006/relationships/chart" Target="charts/chart4.xml"/><Relationship Id="rId16" Type="http://schemas.openxmlformats.org/officeDocument/2006/relationships/chart" Target="charts/chart5.xml"/><Relationship Id="rId17" Type="http://schemas.openxmlformats.org/officeDocument/2006/relationships/chart" Target="charts/chart6.xml"/><Relationship Id="rId18" Type="http://schemas.openxmlformats.org/officeDocument/2006/relationships/chart" Target="charts/chart7.xml"/><Relationship Id="rId19" Type="http://schemas.openxmlformats.org/officeDocument/2006/relationships/hyperlink" Target="http://goo.gl/zpaj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sk-SK" b="1" i="0"/>
              <a:t>Průměrná</a:t>
            </a:r>
            <a:r>
              <a:rPr lang="en-US" b="1" i="0" baseline="0"/>
              <a:t> d</a:t>
            </a:r>
            <a:r>
              <a:rPr lang="sk-SK" b="1" i="0" baseline="0"/>
              <a:t>élka fronty</a:t>
            </a:r>
            <a:endParaRPr lang="sk-SK" b="0" i="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1.0</c:v>
                </c:pt>
                <c:pt idx="1">
                  <c:v>0.097332180097064</c:v>
                </c:pt>
                <c:pt idx="2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0.00E+00</c:formatCode>
                <c:ptCount val="3"/>
                <c:pt idx="0" formatCode="General">
                  <c:v>0.0177808851088367</c:v>
                </c:pt>
                <c:pt idx="1">
                  <c:v>3.90703954639375E-5</c:v>
                </c:pt>
                <c:pt idx="2" formatCode="General">
                  <c:v>0.0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0.276407669021191</c:v>
                </c:pt>
                <c:pt idx="1">
                  <c:v>0.0287009754456778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0.00E+00</c:formatCode>
                <c:ptCount val="3"/>
                <c:pt idx="0">
                  <c:v>0.00112070539618471</c:v>
                </c:pt>
                <c:pt idx="1">
                  <c:v>3.43805199173514E-6</c:v>
                </c:pt>
                <c:pt idx="2" formatCode="General">
                  <c:v>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2127747160"/>
        <c:axId val="-2138797128"/>
      </c:barChart>
      <c:catAx>
        <c:axId val="2127747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-2138797128"/>
        <c:crosses val="autoZero"/>
        <c:auto val="1"/>
        <c:lblAlgn val="ctr"/>
        <c:lblOffset val="100"/>
        <c:noMultiLvlLbl val="0"/>
      </c:catAx>
      <c:valAx>
        <c:axId val="-2138797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sk-SK"/>
                  <a:t>average utilization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27747160"/>
        <c:crosses val="autoZero"/>
        <c:crossBetween val="between"/>
      </c:valAx>
    </c:plotArea>
    <c:legend>
      <c:legendPos val="r"/>
      <c:layout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sk-SK" sz="1800" b="1" i="0" baseline="0"/>
              <a:t>Průměrná doba </a:t>
            </a:r>
            <a:r>
              <a:rPr lang="en-US" sz="1800" b="1" i="0" baseline="0"/>
              <a:t>vybaven</a:t>
            </a:r>
            <a:r>
              <a:rPr lang="sk-SK" sz="1800" b="1" i="0" baseline="0"/>
              <a:t>í web requestu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0.996459106163556</c:v>
                </c:pt>
                <c:pt idx="1">
                  <c:v>0.596998269292843</c:v>
                </c:pt>
                <c:pt idx="2">
                  <c:v>0.234274814236891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1.0</c:v>
                </c:pt>
                <c:pt idx="1">
                  <c:v>0.596182387662183</c:v>
                </c:pt>
                <c:pt idx="2">
                  <c:v>0.234248861739693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0.68687987724469</c:v>
                </c:pt>
                <c:pt idx="1">
                  <c:v>0.429036951489917</c:v>
                </c:pt>
                <c:pt idx="2">
                  <c:v>0.210891614261546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0.684573349056219</c:v>
                </c:pt>
                <c:pt idx="1">
                  <c:v>0.428240534232155</c:v>
                </c:pt>
                <c:pt idx="2">
                  <c:v>0.210362787074719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1425640"/>
        <c:axId val="2112777384"/>
      </c:barChart>
      <c:catAx>
        <c:axId val="2111425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12777384"/>
        <c:crosses val="autoZero"/>
        <c:auto val="1"/>
        <c:lblAlgn val="ctr"/>
        <c:lblOffset val="100"/>
        <c:noMultiLvlLbl val="0"/>
      </c:catAx>
      <c:valAx>
        <c:axId val="21127773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sk-SK"/>
                  <a:t>time</a:t>
                </a:r>
                <a:r>
                  <a:rPr lang="en-US"/>
                  <a:t>[ms]</a:t>
                </a:r>
                <a:endParaRPr lang="sk-SK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11425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sk-SK" sz="1800" b="1" i="0" u="none" strike="noStrike" baseline="0"/>
              <a:t>Průměrné využití procesorů</a:t>
            </a:r>
            <a:endParaRPr lang="sk-SK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1.0</c:v>
                </c:pt>
                <c:pt idx="1">
                  <c:v>0.628226763492253</c:v>
                </c:pt>
                <c:pt idx="2">
                  <c:v>0.276502738189855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0.5089113653932</c:v>
                </c:pt>
                <c:pt idx="1">
                  <c:v>0.314407342486037</c:v>
                </c:pt>
                <c:pt idx="2">
                  <c:v>0.138210541214384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0.80995438164814</c:v>
                </c:pt>
                <c:pt idx="1">
                  <c:v>0.531404805713726</c:v>
                </c:pt>
                <c:pt idx="2">
                  <c:v>0.264722533723829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0.405491622118913</c:v>
                </c:pt>
                <c:pt idx="1">
                  <c:v>0.265337673790678</c:v>
                </c:pt>
                <c:pt idx="2">
                  <c:v>0.132119021437359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28743496"/>
        <c:axId val="2083392664"/>
      </c:barChart>
      <c:catAx>
        <c:axId val="2128743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083392664"/>
        <c:crosses val="autoZero"/>
        <c:auto val="1"/>
        <c:lblAlgn val="ctr"/>
        <c:lblOffset val="100"/>
        <c:noMultiLvlLbl val="0"/>
      </c:catAx>
      <c:valAx>
        <c:axId val="2083392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sk-SK"/>
                  <a:t>average utilization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2874349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sk-SK" b="1" i="0"/>
              <a:t>Průměrné</a:t>
            </a:r>
            <a:r>
              <a:rPr lang="sk-SK" b="1" i="0" baseline="0"/>
              <a:t> využití disk</a:t>
            </a:r>
            <a:r>
              <a:rPr lang="sk-SK" sz="1800" b="1" i="0" u="none" strike="noStrike" baseline="0"/>
              <a:t>u</a:t>
            </a:r>
            <a:endParaRPr lang="sk-SK" b="0" i="0"/>
          </a:p>
        </c:rich>
      </c:tx>
      <c:layout>
        <c:manualLayout>
          <c:xMode val="edge"/>
          <c:yMode val="edge"/>
          <c:x val="0.290242964421114"/>
          <c:y val="0.0238095238095238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1.0</c:v>
                </c:pt>
                <c:pt idx="1">
                  <c:v>0.68191777735371</c:v>
                </c:pt>
                <c:pt idx="2">
                  <c:v>0.256292232739613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0.999213686454025</c:v>
                </c:pt>
                <c:pt idx="1">
                  <c:v>0.682269549203225</c:v>
                </c:pt>
                <c:pt idx="2">
                  <c:v>0.256278437765122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0.860854690636201</c:v>
                </c:pt>
                <c:pt idx="1">
                  <c:v>0.585959934795754</c:v>
                </c:pt>
                <c:pt idx="2">
                  <c:v>0.239156575259633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0.862073246716221</c:v>
                </c:pt>
                <c:pt idx="1">
                  <c:v>0.586472648014328</c:v>
                </c:pt>
                <c:pt idx="2">
                  <c:v>0.239616407742659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138063128"/>
        <c:axId val="2128808488"/>
      </c:barChart>
      <c:catAx>
        <c:axId val="-2138063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28808488"/>
        <c:crosses val="autoZero"/>
        <c:auto val="1"/>
        <c:lblAlgn val="ctr"/>
        <c:lblOffset val="100"/>
        <c:noMultiLvlLbl val="0"/>
      </c:catAx>
      <c:valAx>
        <c:axId val="2128808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sk-SK"/>
                  <a:t>average utilization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-213806312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en-US"/>
              <a:t>Vyu</a:t>
            </a:r>
            <a:r>
              <a:rPr lang="sk-SK"/>
              <a:t>žití</a:t>
            </a:r>
            <a:r>
              <a:rPr lang="sk-SK" baseline="0"/>
              <a:t> disku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25400"/>
            </c:spPr>
            <c:trendlineType val="powe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123.0</c:v>
                </c:pt>
                <c:pt idx="1">
                  <c:v>172.0</c:v>
                </c:pt>
                <c:pt idx="2">
                  <c:v>493.0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0.3</c:v>
                </c:pt>
                <c:pt idx="2">
                  <c:v>0.1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867704"/>
        <c:axId val="2107978408"/>
      </c:scatterChart>
      <c:valAx>
        <c:axId val="2127867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rychlost </a:t>
                </a:r>
                <a:r>
                  <a:rPr lang="sk-SK"/>
                  <a:t>čtení</a:t>
                </a:r>
                <a:r>
                  <a:rPr lang="sk-SK" baseline="0"/>
                  <a:t> disku</a:t>
                </a:r>
                <a:r>
                  <a:rPr lang="en-US" baseline="0"/>
                  <a:t>[MB/s]</a:t>
                </a:r>
                <a:endParaRPr lang="sk-SK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07978408"/>
        <c:crosses val="autoZero"/>
        <c:crossBetween val="midCat"/>
      </c:valAx>
      <c:valAx>
        <c:axId val="210797840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sk-SK" sz="1000" b="1" i="0" u="none" strike="noStrike" baseline="0"/>
                  <a:t>average utilization</a:t>
                </a:r>
                <a:endParaRPr lang="sk-SK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278677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sk-SK" sz="1800" b="1" i="0" baseline="0"/>
              <a:t>Celková cena použitých komponent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0.180762575647118</c:v>
                </c:pt>
                <c:pt idx="1">
                  <c:v>0.349408437343545</c:v>
                </c:pt>
                <c:pt idx="2">
                  <c:v>0.79281692738755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0.286145927572002</c:v>
                </c:pt>
                <c:pt idx="1">
                  <c:v>0.45479178926843</c:v>
                </c:pt>
                <c:pt idx="2">
                  <c:v>0.898200279312435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0.282562296334683</c:v>
                </c:pt>
                <c:pt idx="1">
                  <c:v>0.451208158031111</c:v>
                </c:pt>
                <c:pt idx="2">
                  <c:v>0.894616648075116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0.387945648259567</c:v>
                </c:pt>
                <c:pt idx="1">
                  <c:v>0.556591509955995</c:v>
                </c:pt>
                <c:pt idx="2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1985128"/>
        <c:axId val="2098154136"/>
      </c:barChart>
      <c:catAx>
        <c:axId val="208198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098154136"/>
        <c:crosses val="autoZero"/>
        <c:auto val="1"/>
        <c:lblAlgn val="ctr"/>
        <c:lblOffset val="100"/>
        <c:noMultiLvlLbl val="0"/>
      </c:catAx>
      <c:valAx>
        <c:axId val="20981541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sk-SK"/>
                  <a:t>time</a:t>
                </a:r>
                <a:r>
                  <a:rPr lang="en-US"/>
                  <a:t>[ms]</a:t>
                </a:r>
                <a:endParaRPr lang="sk-SK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081985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4.177221682163563</c:v>
                </c:pt>
                <c:pt idx="1">
                  <c:v>3.256551246292845</c:v>
                </c:pt>
                <c:pt idx="2">
                  <c:v>2.559886712236891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3.794270979</c:v>
                </c:pt>
                <c:pt idx="1">
                  <c:v>3.047651067662185</c:v>
                </c:pt>
                <c:pt idx="2">
                  <c:v>2.526938119739693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3.640251246244691</c:v>
                </c:pt>
                <c:pt idx="1">
                  <c:v>2.997609850489918</c:v>
                </c:pt>
                <c:pt idx="2">
                  <c:v>2.60938737126155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3.340083866056221</c:v>
                </c:pt>
                <c:pt idx="1">
                  <c:v>2.836642366232141</c:v>
                </c:pt>
                <c:pt idx="2">
                  <c:v>2.582098216074719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5422008"/>
        <c:axId val="2085777864"/>
      </c:barChart>
      <c:catAx>
        <c:axId val="21254220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085777864"/>
        <c:crosses val="autoZero"/>
        <c:auto val="1"/>
        <c:lblAlgn val="ctr"/>
        <c:lblOffset val="100"/>
        <c:noMultiLvlLbl val="0"/>
      </c:catAx>
      <c:valAx>
        <c:axId val="2085777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2125422008"/>
        <c:crosses val="autoZero"/>
        <c:crossBetween val="between"/>
      </c:valAx>
    </c:plotArea>
    <c:legend>
      <c:legendPos val="r"/>
      <c:layout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CA235-3886-6342-97B1-9EA0FD68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2644</Words>
  <Characters>15076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6:SHO Počítačový server</dc:title>
  <dc:subject>PROJEKT NA VUT FIT 2012/2013 DO IMS</dc:subject>
  <dc:creator>Michal Lukáč (xlukac05), Jakub Sznapka (xsznap01)</dc:creator>
  <cp:keywords/>
  <dc:description/>
  <cp:lastModifiedBy>Jakub Sznapka</cp:lastModifiedBy>
  <cp:revision>16</cp:revision>
  <cp:lastPrinted>2012-12-07T23:28:00Z</cp:lastPrinted>
  <dcterms:created xsi:type="dcterms:W3CDTF">2012-12-07T21:36:00Z</dcterms:created>
  <dcterms:modified xsi:type="dcterms:W3CDTF">2012-12-08T09:52:00Z</dcterms:modified>
</cp:coreProperties>
</file>