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word/document.xml><?xml version="1.0" encoding="utf-8"?>
<ns0:document xmlns:ns0="http://schemas.openxmlformats.org/wordprocessingml/2006/main">
  <ns0:body>
    <ns0:p>
      <ns0:pPr>
        <ns0:pStyle ns0:val="Title"/>
      </ns0:pPr>
      <ns0:r>
        <ns0:t xml:space="preserve">Договор подряда</ns0:t>
      </ns0:r>
    </ns0:p>
    <ns0:p>
      <ns0:pPr>
        <ns0:pStyle ns0:val="Heading1"/>
      </ns0:pPr>
      <ns0:r>
        <ns0:t xml:space="preserve">1. Стороны</ns0:t>
      </ns0:r>
    </ns0:p>
    <ns0:p>
      <ns0:r>
        <ns0:t xml:space="preserve">Заказчик: </ns0:t>
      </ns0:r>
      <ns0:sdt>
        <ns0:sdtPr>
          <ns0:alias ns0:val="customer"/>
          <ns0:tag ns0:val="customer"/>
        </ns0:sdtPr>
        <ns0:sdtContent>
          <ns0:r>
            <ns0:t xml:space="preserve">Общество с ограниченной ответственностью «Ромашка» (ООО «Ромашка»), ИНН 7701234567, г. Москва</ns0:t>
          </ns0:r>
        </ns0:sdtContent>
      </ns0:sdt>
    </ns0:p>
    <ns0:p>
      <ns0:r>
        <ns0:t xml:space="preserve">Реквизиты заказчика: </ns0:t>
      </ns0:r>
      <ns0:sdt>
        <ns0:sdtPr>
          <ns0:alias ns0:val="customer_details"/>
          <ns0:tag ns0:val="customer_details"/>
        </ns0:sdtPr>
        <ns0:sdtContent>
          <ns0:r>
            <ns0:t xml:space="preserve">ИНН 7701234567; место нахождения: г. Москва. Иные реквизиты и сведения о представителе в исходных данных не указаны.</ns0:t>
          </ns0:r>
        </ns0:sdtContent>
      </ns0:sdt>
    </ns0:p>
    <ns0:p>
      <ns0:r>
        <ns0:t xml:space="preserve">Подрядчик: </ns0:t>
      </ns0:r>
      <ns0:sdt>
        <ns0:sdtPr>
          <ns0:alias ns0:val="contractor"/>
          <ns0:tag ns0:val="contractor"/>
        </ns0:sdtPr>
        <ns0:sdtContent>
          <ns0:r>
            <ns0:t xml:space="preserve">Индивидуальный предприниматель Смирнов А. П. (ИП Смирнов А. П.), ИНН 7709876543, г. Казань</ns0:t>
          </ns0:r>
        </ns0:sdtContent>
      </ns0:sdt>
    </ns0:p>
    <ns0:p>
      <ns0:r>
        <ns0:t xml:space="preserve">Реквизиты подрядчика: </ns0:t>
      </ns0:r>
      <ns0:sdt>
        <ns0:sdtPr>
          <ns0:alias ns0:val="contractor_details"/>
          <ns0:tag ns0:val="contractor_details"/>
        </ns0:sdtPr>
        <ns0:sdtContent>
          <ns0:r>
            <ns0:t xml:space="preserve">ИНН 7709876543; место ведения деятельности: г. Казань. Иные реквизиты в исходных данных не указаны.</ns0:t>
          </ns0:r>
        </ns0:sdtContent>
      </ns0:sdt>
    </ns0:p>
    <ns0:p>
      <ns0:pPr>
        <ns0:pStyle ns0:val="Heading1"/>
      </ns0:pPr>
      <ns0:r>
        <ns0:t xml:space="preserve">2. Работы</ns0:t>
      </ns0:r>
    </ns0:p>
    <ns0:p>
      <ns0:pPr>
        <ns0:ind ns0:left="0"/>
      </ns0:pPr>
      <ns0:sdt>
        <ns0:sdtPr>
          <ns0:alias ns0:val="works"/>
          <ns0:tag ns0:val="works"/>
        </ns0:sdtPr>
        <ns0:sdtContent>
          <ns0:r>
            <ns0:t xml:space="preserve">Подрядчик обязуется выполнить разработку и вёрстку сайта-каталога из 12 страниц с адаптивной вёрсткой, подключить аналитику, провести тестирование и приёмку в браузерах и передать результат работ и документацию Заказчику. Результат: готовый сайт-каталог, размещённый на указанном объекте, с подключённой аналитикой и проверенный в браузерах.</ns0:t>
          </ns0:r>
        </ns0:sdtContent>
      </ns0:sdt>
    </ns0:p>
    <ns0:p>
      <ns0:r>
        <ns0:t xml:space="preserve">Объект или место выполнения работ: </ns0:t>
      </ns0:r>
      <ns0:sdt>
        <ns0:sdtPr>
          <ns0:alias ns0:val="object"/>
          <ns0:tag ns0:val="object"/>
        </ns0:sdtPr>
        <ns0:sdtContent>
          <ns0:r>
            <ns0:t xml:space="preserve">Сайт rodomashka.example.ru.</ns0:t>
          </ns0:r>
        </ns0:sdtContent>
      </ns0:sdt>
    </ns0:p>
    <ns0:p>
      <ns0:r>
        <ns0:t xml:space="preserve">Материалы предоставляет: </ns0:t>
      </ns0:r>
      <ns0:sdt>
        <ns0:sdtPr>
          <ns0:alias ns0:val="materials"/>
          <ns0:tag ns0:val="materials"/>
        </ns0:sdtPr>
        <ns0:sdtContent>
          <ns0:r>
            <ns0:t xml:space="preserve">Материалы для выполнения работ предоставляет Подрядчик; тексты и изображения предоставляет Заказчик.</ns0:t>
          </ns0:r>
        </ns0:sdtContent>
      </ns0:sdt>
    </ns0:p>
    <ns0:p>
      <ns0:pPr>
        <ns0:pStyle ns0:val="Heading1"/>
      </ns0:pPr>
      <ns0:r>
        <ns0:t xml:space="preserve">3. Сроки, цена и порядок расчётов</ns0:t>
      </ns0:r>
    </ns0:p>
    <ns0:p>
      <ns0:r>
        <ns0:t xml:space="preserve">Начало работ: </ns0:t>
      </ns0:r>
      <ns0:sdt>
        <ns0:sdtPr>
          <ns0:alias ns0:val="start"/>
          <ns0:tag ns0:val="start"/>
        </ns0:sdtPr>
        <ns0:sdtContent>
          <ns0:r>
            <ns0:t xml:space="preserve">01 ноября 2026 года.</ns0:t>
          </ns0:r>
        </ns0:sdtContent>
      </ns0:sdt>
    </ns0:p>
    <ns0:p>
      <ns0:r>
        <ns0:t xml:space="preserve">Окончание работ: </ns0:t>
      </ns0:r>
      <ns0:sdt>
        <ns0:sdtPr>
          <ns0:alias ns0:val="deadline"/>
          <ns0:tag ns0:val="deadline"/>
        </ns0:sdtPr>
        <ns0:sdtContent>
          <ns0:r>
            <ns0:t xml:space="preserve">15 декабря 2026 года.</ns0:t>
          </ns0:r>
        </ns0:sdtContent>
      </ns0:sdt>
    </ns0:p>
    <ns0:p>
      <ns0:r>
        <ns0:t xml:space="preserve">Цена работ: </ns0:t>
      </ns0:r>
      <ns0:sdt>
        <ns0:sdtPr>
          <ns0:alias ns0:val="price"/>
          <ns0:tag ns0:val="price"/>
        </ns0:sdtPr>
        <ns0:sdtContent>
          <ns0:r>
            <ns0:t xml:space="preserve">180 000 (Сто восемьдесят тысяч) рублей 00 копеек, в том числе НДС 20% — 30 000 (Тридцать тысяч) рублей 00 копеек.</ns0:t>
          </ns0:r>
        </ns0:sdtContent>
      </ns0:sdt>
    </ns0:p>
    <ns0:p>
      <ns0:r>
        <ns0:t xml:space="preserve">Порядок оплаты: </ns0:t>
      </ns0:r>
      <ns0:sdt>
        <ns0:sdtPr>
          <ns0:alias ns0:val="payment"/>
          <ns0:tag ns0:val="payment"/>
        </ns0:sdtPr>
        <ns0:sdtContent>
          <ns0:r>
            <ns0:t xml:space="preserve">Заказчик оплачивает 50% цены договора (90 000 рублей) в качестве предоплаты в течение 3 (трёх) рабочих дней после подписания договора и оставшиеся 50% (90 000 рублей) в течение 5 (пяти) рабочих дней после подписания акта приёмки работ.</ns0:t>
          </ns0:r>
        </ns0:sdtContent>
      </ns0:sdt>
    </ns0:p>
    <ns0:p>
      <ns0:pPr>
        <ns0:pStyle ns0:val="Heading2"/>
      </ns0:pPr>
      <ns0:r>
        <ns0:t xml:space="preserve">Этапы работ</ns0:t>
      </ns0:r>
    </ns0:p>
    <ns0:p>
      <ns0:pPr>
        <ns0:pStyle ns0:val="ListParagraph"/>
        <ns0:ind ns0:left="360"/>
      </ns0:pPr>
      <ns0:r>
        <ns0:t xml:space="preserve">1. Этап 1</ns0:t>
      </ns0:r>
    </ns0:p>
    <ns0:p>
      <ns0:pPr>
        <ns0:ind ns0:left="0"/>
      </ns0:pPr>
      <ns0:sdt>
        <ns0:sdtPr>
          <ns0:alias ns0:val="stage_1"/>
          <ns0:tag ns0:val="stage_1"/>
        </ns0:sdtPr>
        <ns0:sdtContent>
          <ns0:r>
            <ns0:t xml:space="preserve">1) Анализ и прототип; 2) дизайн и вёрстка; 3) разработка и подключение аналитики; 4) тестирование и сдача результата. Работы выполняются в пределах общего срока, указанного в договоре.</ns0:t>
          </ns0:r>
        </ns0:sdtContent>
      </ns0:sdt>
    </ns0:p>
    <ns0:p>
      <ns0:pPr>
        <ns0:pStyle ns0:val="Heading1"/>
      </ns0:pPr>
      <ns0:r>
        <ns0:t xml:space="preserve">4. Сдача и приёмка</ns0:t>
      </ns0:r>
    </ns0:p>
    <ns0:p>
      <ns0:pPr>
        <ns0:ind ns0:left="0"/>
      </ns0:pPr>
      <ns0:sdt>
        <ns0:sdtPr>
          <ns0:alias ns0:val="acceptance"/>
          <ns0:tag ns0:val="acceptance"/>
        </ns0:sdtPr>
        <ns0:sdtContent>
          <ns0:r>
            <ns0:t xml:space="preserve">Подрядчик передаёт Заказчику результат работ и документацию и уведомляет о готовности к сдаче. Заказчик в течение 5 (пяти) рабочих дней с момента уведомления принимает работы и подписывает акт приёмки либо направляет мотивированный отказ с перечнем выявленных недостатков. При мотивированном отказе Подрядчик за свой счёт устраняет недостатки и дорабатывает работы в течение 10 (десяти) рабочих дней, после чего повторно предъявляет результат к приёмке.</ns0:t>
          </ns0:r>
        </ns0:sdtContent>
      </ns0:sdt>
    </ns0:p>
    <ns0:p>
      <ns0:r>
        <ns0:t xml:space="preserve">Гарантия: </ns0:t>
      </ns0:r>
      <ns0:sdt>
        <ns0:sdtPr>
          <ns0:alias ns0:val="warranty"/>
          <ns0:tag ns0:val="warranty"/>
        </ns0:sdtPr>
        <ns0:sdtContent>
          <ns0:r>
            <ns0:t xml:space="preserve">Гарантийный срок составляет 3 (три) месяца. В течение гарантийного срока Подрядчик устраняет выявленные дефекты результата работ за свой счёт.</ns0:t>
          </ns0:r>
        </ns0:sdtContent>
      </ns0:sdt>
    </ns0:p>
    <ns0:p>
      <ns0:pPr>
        <ns0:pStyle ns0:val="Heading1"/>
      </ns0:pPr>
      <ns0:r>
        <ns0:t xml:space="preserve">5. Особые условия</ns0:t>
      </ns0:r>
    </ns0:p>
    <ns0:p>
      <ns0:pPr>
        <ns0:ind ns0:left="0"/>
      </ns0:pPr>
      <ns0:sdt>
        <ns0:sdtPr>
          <ns0:alias ns0:val="special"/>
          <ns0:tag ns0:val="special"/>
        </ns0:sdtPr>
        <ns0:sdtContent>
          <ns0:r>
            <ns0:t xml:space="preserve">Работы выполняются в рабочем пространстве Заказчика. Доступ к нему предоставляется Заказчиком по заявке Подрядчика.</ns0:t>
          </ns0:r>
        </ns0:sdtContent>
      </ns0:sdt>
    </ns0:p>
    <ns0:p>
      <ns0:pPr>
        <ns0:pStyle ns0:val="Heading1"/>
      </ns0:pPr>
      <ns0:r>
        <ns0:t xml:space="preserve">6. Подписи сторон</ns0:t>
      </ns0:r>
    </ns0:p>
    <ns0:tbl>
      <ns0:tblPr>
        <ns0:tblBorders>
          <ns0:top ns0:val="single" ns0:sz="4" ns0:space="0" ns0:color="999999"/>
          <ns0:left ns0:val="single" ns0:sz="4" ns0:space="0" ns0:color="999999"/>
          <ns0:bottom ns0:val="single" ns0:sz="4" ns0:space="0" ns0:color="999999"/>
          <ns0:right ns0:val="single" ns0:sz="4" ns0:space="0" ns0:color="999999"/>
          <ns0:insideH ns0:val="single" ns0:sz="4" ns0:space="0" ns0:color="999999"/>
          <ns0:insideV ns0:val="single" ns0:sz="4" ns0:space="0" ns0:color="999999"/>
        </ns0:tblBorders>
        <ns0:tblW ns0:w="9000" ns0:type="dxa"/>
      </ns0:tblPr>
      <ns0:tblGrid>
        <ns0:gridCol ns0:w="2250"/>
        <ns0:gridCol ns0:w="2250"/>
        <ns0:gridCol ns0:w="2250"/>
        <ns0:gridCol ns0:w="2250"/>
      </ns0:tblGrid>
      <ns0:tr>
        <ns0:tc>
          <ns0:tcPr>
            <ns0:tcW ns0:w="2250" ns0:type="dxa"/>
          </ns0:tcPr>
          <ns0:p>
            <ns0:r>
              <ns0:rPr>
                <ns0:b/>
              </ns0:rPr>
              <ns0:t xml:space="preserve">Сторона</ns0:t>
            </ns0:r>
          </ns0:p>
        </ns0:tc>
        <ns0:tc>
          <ns0:tcPr>
            <ns0:tcW ns0:w="2250" ns0:type="dxa"/>
          </ns0:tcPr>
          <ns0:p>
            <ns0:r>
              <ns0:rPr>
                <ns0:b/>
              </ns0:rPr>
              <ns0:t xml:space="preserve">Должность</ns0:t>
            </ns0:r>
          </ns0:p>
        </ns0:tc>
        <ns0:tc>
          <ns0:tcPr>
            <ns0:tcW ns0:w="2250" ns0:type="dxa"/>
          </ns0:tcPr>
          <ns0:p>
            <ns0:r>
              <ns0:rPr>
                <ns0:b/>
              </ns0:rPr>
              <ns0:t xml:space="preserve">ФИО</ns0:t>
            </ns0:r>
          </ns0:p>
        </ns0:tc>
        <ns0:tc>
          <ns0:tcPr>
            <ns0:tcW ns0:w="2250" ns0:type="dxa"/>
          </ns0:tcPr>
          <ns0:p>
            <ns0:r>
              <ns0:rPr>
                <ns0:b/>
              </ns0:rPr>
              <ns0:t xml:space="preserve">Подпись</ns0:t>
            </ns0:r>
          </ns0:p>
        </ns0:tc>
      </ns0:tr>
      <ns0:tr>
        <ns0:tc>
          <ns0:tcPr>
            <ns0:tcW ns0:w="2250" ns0:type="dxa"/>
          </ns0:tcPr>
          <ns0:p>
            <ns0:r>
              <ns0:t xml:space="preserve">Заказчик</ns0:t>
            </ns0:r>
          </ns0:p>
        </ns0:tc>
        <ns0:tc>
          <ns0:tcPr>
            <ns0:tcW ns0:w="2250" ns0:type="dxa"/>
          </ns0:tcPr>
          <ns0:p>
            <ns0:r>
              <ns0:t xml:space="preserve"/>
            </ns0:r>
          </ns0:p>
        </ns0:tc>
        <ns0:tc>
          <ns0:tcPr>
            <ns0:tcW ns0:w="2250" ns0:type="dxa"/>
          </ns0:tcPr>
          <ns0:p>
            <ns0:r>
              <ns0:t xml:space="preserve">Общество с ограниченной ответственностью «Ромашка» (ООО «Ромашка»), ИНН 7701234567, г. Москва</ns0:t>
            </ns0:r>
          </ns0:p>
        </ns0:tc>
        <ns0:tc>
          <ns0:tcPr>
            <ns0:tcW ns0:w="2250" ns0:type="dxa"/>
          </ns0:tcPr>
          <ns0:p>
            <ns0:r>
              <ns0:t xml:space="preserve"/>
            </ns0:r>
          </ns0:p>
        </ns0:tc>
      </ns0:tr>
      <ns0:tr>
        <ns0:tc>
          <ns0:tcPr>
            <ns0:tcW ns0:w="2250" ns0:type="dxa"/>
          </ns0:tcPr>
          <ns0:p>
            <ns0:r>
              <ns0:t xml:space="preserve">Подрядчик</ns0:t>
            </ns0:r>
          </ns0:p>
        </ns0:tc>
        <ns0:tc>
          <ns0:tcPr>
            <ns0:tcW ns0:w="2250" ns0:type="dxa"/>
          </ns0:tcPr>
          <ns0:p>
            <ns0:r>
              <ns0:t xml:space="preserve"/>
            </ns0:r>
          </ns0:p>
        </ns0:tc>
        <ns0:tc>
          <ns0:tcPr>
            <ns0:tcW ns0:w="2250" ns0:type="dxa"/>
          </ns0:tcPr>
          <ns0:p>
            <ns0:r>
              <ns0:t xml:space="preserve">Индивидуальный предприниматель Смирнов А. П. (ИП Смирнов А. П.), ИНН 7709876543, г. Казань</ns0:t>
            </ns0:r>
          </ns0:p>
        </ns0:tc>
        <ns0:tc>
          <ns0:tcPr>
            <ns0:tcW ns0:w="2250" ns0:type="dxa"/>
          </ns0:tcPr>
          <ns0:p>
            <ns0:r>
              <ns0:t xml:space="preserve"/>
            </ns0:r>
          </ns0:p>
        </ns0:tc>
      </ns0:tr>
    </ns0:tbl>
    <ns0:sectPr>
      <ns0:pgSz ns0:w="11906" ns0:h="16838"/>
      <ns0:pgMar ns0:top="1134" ns0:right="850" ns0:bottom="1134" ns0:left="1701" ns0:header="708" ns0:footer="708" ns0:gutter="0"/>
    </ns0:sectPr>
  </ns0:body>
</ns0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  <w:style w:type="paragraph" w:styleId="ListParagraph">
    <w:name w:val="List Paragraph"/>
  </w:style>
</w:styles>
</file>