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23"/>
        <w:gridCol w:w="3402"/>
      </w:tblGrid>
      <w:tr>
        <w:tc>
          <w:tcPr>
            <w:tcW w:type="dxa" w:w="6123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nil"/>
            </w:tcBorders>
          </w:tcPr>
          <w:p>
            <w:pPr>
              <w:spacing w:after="0"/>
            </w:pPr>
            <w:r>
              <w:rPr>
                <w:b/>
                <w:i w:val="0"/>
                <w:color w:val="1E3F73"/>
                <w:sz w:val="24"/>
              </w:rPr>
              <w:t>ULTIMA MILLA S.A.  NOTA N.º 05/2026</w:t>
            </w:r>
          </w:p>
          <w:p>
            <w:pPr>
              <w:spacing w:after="0"/>
            </w:pPr>
            <w:r>
              <w:rPr>
                <w:b w:val="0"/>
                <w:i w:val="0"/>
                <w:color w:val="666666"/>
                <w:sz w:val="16"/>
              </w:rPr>
              <w:t>Desarrollo de Sistemas — Tecnología e Infraestructura Digital</w:t>
            </w:r>
          </w:p>
        </w:tc>
        <w:tc>
          <w:tcPr>
            <w:tcW w:type="dxa" w:w="3402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nil"/>
            </w:tcBorders>
          </w:tcPr>
          <w:p>
            <w:pPr>
              <w:spacing w:after="0"/>
              <w:jc w:val="right"/>
            </w:pPr>
            <w:r>
              <w:rPr>
                <w:b w:val="0"/>
                <w:i w:val="0"/>
                <w:color w:val="666666"/>
                <w:sz w:val="16"/>
              </w:rPr>
              <w:t>Mendoza, 14 de septiembre de 2026</w:t>
            </w:r>
          </w:p>
        </w:tc>
      </w:tr>
    </w:tbl>
    <w:p>
      <w:pPr>
        <w:spacing w:before="80" w:after="140"/>
        <w:pBdr>
          <w:bottom w:val="single" w:sz="16" w:space="1" w:color="1E3F73"/>
        </w:pBdr>
      </w:pPr>
    </w:p>
    <w:p>
      <w:pPr>
        <w:spacing w:after="20"/>
        <w:jc w:val="center"/>
      </w:pPr>
      <w:r>
        <w:rPr>
          <w:b/>
          <w:i w:val="0"/>
          <w:sz w:val="28"/>
        </w:rPr>
        <w:t>NOTA DE INFORME DE AVANCE DE OBRA</w:t>
      </w:r>
    </w:p>
    <w:p>
      <w:pPr>
        <w:spacing w:after="20"/>
        <w:jc w:val="center"/>
      </w:pPr>
      <w:r>
        <w:rPr>
          <w:b w:val="0"/>
          <w:i w:val="0"/>
          <w:sz w:val="21"/>
        </w:rPr>
        <w:t>Etapa 4 — Implementación final, documentación y soporte</w:t>
      </w:r>
    </w:p>
    <w:p>
      <w:pPr>
        <w:spacing w:after="140"/>
        <w:jc w:val="center"/>
      </w:pPr>
      <w:r>
        <w:rPr>
          <w:b w:val="0"/>
          <w:i w:val="0"/>
          <w:color w:val="666666"/>
          <w:sz w:val="19"/>
        </w:rPr>
        <w:t>SITREP — Sistema Integral de Trazabilidad de Residuos Peligrosos</w:t>
      </w:r>
    </w:p>
    <w:p>
      <w:pPr>
        <w:spacing w:before="80" w:after="140"/>
        <w:jc w:val="right"/>
      </w:pPr>
      <w:r>
        <w:rPr>
          <w:b w:val="0"/>
          <w:i w:val="0"/>
          <w:sz w:val="19"/>
        </w:rPr>
        <w:t>Mendoza, 14 de septiembre de 2026</w:t>
      </w:r>
    </w:p>
    <w:p>
      <w:pPr>
        <w:spacing w:after="0"/>
      </w:pPr>
      <w:r>
        <w:rPr>
          <w:b/>
          <w:i w:val="0"/>
        </w:rPr>
        <w:t xml:space="preserve">A:  </w:t>
      </w:r>
      <w:r>
        <w:rPr>
          <w:b w:val="0"/>
          <w:i w:val="0"/>
        </w:rPr>
        <w:t>Lic. Leonardo Fernandez</w:t>
      </w:r>
    </w:p>
    <w:p>
      <w:pPr>
        <w:spacing w:after="0"/>
      </w:pPr>
      <w:r>
        <w:rPr>
          <w:b/>
          <w:i w:val="0"/>
        </w:rPr>
        <w:t xml:space="preserve">Cargo:  </w:t>
      </w:r>
      <w:r>
        <w:rPr>
          <w:b w:val="0"/>
          <w:i w:val="0"/>
        </w:rPr>
        <w:t>Director</w:t>
      </w:r>
    </w:p>
    <w:p>
      <w:pPr>
        <w:spacing w:after="0"/>
      </w:pPr>
      <w:r>
        <w:rPr>
          <w:b/>
          <w:i w:val="0"/>
        </w:rPr>
        <w:t xml:space="preserve">Dirección:  </w:t>
      </w:r>
      <w:r>
        <w:rPr>
          <w:b w:val="0"/>
          <w:i w:val="0"/>
        </w:rPr>
        <w:t>Dirección de Gestión y Fiscalización Ambiental (DGFA)</w:t>
      </w:r>
    </w:p>
    <w:p>
      <w:pPr>
        <w:spacing w:after="0"/>
      </w:pPr>
      <w:r>
        <w:rPr>
          <w:b/>
          <w:i w:val="0"/>
        </w:rPr>
        <w:t xml:space="preserve">Ministerio:  </w:t>
      </w:r>
      <w:r>
        <w:rPr>
          <w:b w:val="0"/>
          <w:i w:val="0"/>
        </w:rPr>
        <w:t>Ministerio de Energía y Ambiente — Provincia de Mendoza</w:t>
      </w:r>
    </w:p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3FB"/>
            <w:tcMar>
              <w:top w:w="90" w:type="dxa"/>
              <w:start w:w="150" w:type="dxa"/>
              <w:bottom w:w="90" w:type="dxa"/>
              <w:end w:w="150" w:type="dxa"/>
            </w:tcMar>
            <w:tcBorders>
              <w:left w:val="single" w:sz="14" w:color="244F8F"/>
            </w:tcBorders>
          </w:tcPr>
          <w:p>
            <w:pPr>
              <w:spacing w:after="0"/>
            </w:pPr>
            <w:r>
              <w:rPr>
                <w:b/>
                <w:i w:val="0"/>
                <w:color w:val="1E3F73"/>
              </w:rPr>
              <w:t xml:space="preserve">Ref.:  </w:t>
            </w:r>
            <w:r>
              <w:rPr>
                <w:b w:val="0"/>
                <w:i w:val="0"/>
              </w:rPr>
              <w:t>Informe de cumplimiento y cierre — Etapa 4: Implementación — Contrato PLIEG-2025-07544314-GDEMZA-DGFA#SAYOT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b w:val="0"/>
          <w:i w:val="0"/>
        </w:rPr>
        <w:t xml:space="preserve">Por medio de la presente, quien suscribe, </w:t>
      </w:r>
      <w:r>
        <w:rPr>
          <w:b/>
          <w:i w:val="0"/>
        </w:rPr>
        <w:t>Martín Santos</w:t>
      </w:r>
      <w:r>
        <w:rPr>
          <w:b w:val="0"/>
          <w:i w:val="0"/>
        </w:rPr>
        <w:t xml:space="preserve">, en carácter de responsable técnico de </w:t>
      </w:r>
      <w:r>
        <w:rPr>
          <w:b/>
          <w:i w:val="0"/>
        </w:rPr>
        <w:t>ULTIMA MILLA S.A.</w:t>
      </w:r>
      <w:r>
        <w:rPr>
          <w:b w:val="0"/>
          <w:i w:val="0"/>
        </w:rPr>
        <w:t xml:space="preserve">, informa el estado verificable de los entregables correspondientes a la </w:t>
      </w:r>
      <w:r>
        <w:rPr>
          <w:b/>
          <w:i w:val="0"/>
        </w:rPr>
        <w:t>Etapa 4 — Implementación</w:t>
      </w:r>
      <w:r>
        <w:rPr>
          <w:b w:val="0"/>
          <w:i w:val="0"/>
        </w:rPr>
        <w:t xml:space="preserve"> del Sistema Integral de Trazabilidad de Residuos Peligrosos (SITREP), prevista para los días contractuales 151 a 180.</w:t>
      </w:r>
    </w:p>
    <w:p>
      <w:pPr>
        <w:spacing w:after="100"/>
        <w:jc w:val="both"/>
      </w:pPr>
      <w:r>
        <w:rPr>
          <w:b w:val="0"/>
          <w:i w:val="0"/>
        </w:rPr>
        <w:t>La solución está instalada en la infraestructura gubernamental y cuenta con un espejo operativo para validación y capacitación. Conforme al criterio práctico comunicado por la contraparte, la entrega consolidada de manuales y el soporte técnico por tres meses se documentan en esta etapa. Este ordenamiento operativo requiere recepción formal y no altera por sí mismo el alcance económico del contrato base.</w:t>
      </w:r>
    </w:p>
    <w:p>
      <w:pPr>
        <w:spacing w:before="80" w:after="80"/>
      </w:pPr>
      <w:r>
        <w:rPr>
          <w:b/>
          <w:i w:val="0"/>
          <w:color w:val="1E3F73"/>
          <w:sz w:val="20"/>
        </w:rPr>
        <w:t>Entregables completados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454"/>
            <w:shd w:fill="1E3F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608"/>
            <w:shd w:fill="1E3F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Módulo / Entregable</w:t>
            </w:r>
          </w:p>
        </w:tc>
        <w:tc>
          <w:tcPr>
            <w:tcW w:type="dxa" w:w="5329"/>
            <w:shd w:fill="1E3F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6"/>
              </w:rPr>
              <w:t>Evidencia y alcance</w:t>
            </w:r>
          </w:p>
        </w:tc>
        <w:tc>
          <w:tcPr>
            <w:tcW w:type="dxa" w:w="1191"/>
            <w:shd w:fill="1E3F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45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left"/>
            </w:pPr>
            <w:r>
              <w:rPr>
                <w:b/>
                <w:i w:val="0"/>
                <w:sz w:val="16"/>
              </w:rPr>
              <w:t>Despliegue web, PWA y API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Instalación de frontend, aplicación móvil web progresiva y servicios backend completada en la infraestructura habilitada.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812B"/>
                <w:sz w:val="16"/>
              </w:rPr>
              <w:t>COMPLETADO</w:t>
            </w:r>
          </w:p>
        </w:tc>
      </w:tr>
      <w:tr>
        <w:trPr>
          <w:cantSplit w:val="true"/>
        </w:trPr>
        <w:tc>
          <w:tcPr>
            <w:tcW w:type="dxa" w:w="45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  <w:vAlign w:val="center"/>
          </w:tcPr>
          <w:p>
            <w:pPr>
              <w:jc w:val="left"/>
            </w:pPr>
            <w:r>
              <w:rPr>
                <w:b/>
                <w:i w:val="0"/>
                <w:sz w:val="16"/>
              </w:rPr>
              <w:t>Entornos operativos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Espejo https://sitrep.ultimamilla.com.ar/ y dominio gubernamental https://rptrazar.mendoza.gov.ar/ operativos con sus rutas de web, /app/, /api/ y /manual/.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812B"/>
                <w:sz w:val="16"/>
              </w:rPr>
              <w:t>COMPLETADO</w:t>
            </w:r>
          </w:p>
        </w:tc>
      </w:tr>
      <w:tr>
        <w:trPr>
          <w:cantSplit w:val="true"/>
        </w:trPr>
        <w:tc>
          <w:tcPr>
            <w:tcW w:type="dxa" w:w="45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left"/>
            </w:pPr>
            <w:r>
              <w:rPr>
                <w:b/>
                <w:i w:val="0"/>
                <w:sz w:val="16"/>
              </w:rPr>
              <w:t>Configuración y migraciones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Base de datos, configuración de entorno y migraciones desplegadas y verificadas en los entornos habilitados.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812B"/>
                <w:sz w:val="16"/>
              </w:rPr>
              <w:t>COMPLETADO</w:t>
            </w:r>
          </w:p>
        </w:tc>
      </w:tr>
      <w:tr>
        <w:trPr>
          <w:cantSplit w:val="true"/>
        </w:trPr>
        <w:tc>
          <w:tcPr>
            <w:tcW w:type="dxa" w:w="45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  <w:vAlign w:val="center"/>
          </w:tcPr>
          <w:p>
            <w:pPr>
              <w:jc w:val="left"/>
            </w:pPr>
            <w:r>
              <w:rPr>
                <w:b/>
                <w:i w:val="0"/>
                <w:sz w:val="16"/>
              </w:rPr>
              <w:t>Pruebas de aceptación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Verificaciones técnicas, recorridos operativos y pruebas de aceptación ejecutados con resultados conformes.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812B"/>
                <w:sz w:val="16"/>
              </w:rPr>
              <w:t>COMPLETADO</w:t>
            </w:r>
          </w:p>
        </w:tc>
      </w:tr>
      <w:tr>
        <w:trPr>
          <w:cantSplit w:val="true"/>
        </w:trPr>
        <w:tc>
          <w:tcPr>
            <w:tcW w:type="dxa" w:w="45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left"/>
            </w:pPr>
            <w:r>
              <w:rPr>
                <w:b/>
                <w:i w:val="0"/>
                <w:sz w:val="16"/>
              </w:rPr>
              <w:t>Entrega técnica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Código fuente versionado, documentación técnica disponible y componentes de transferencia técnica integrados.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812B"/>
                <w:sz w:val="16"/>
              </w:rPr>
              <w:t>COMPLETADO</w:t>
            </w:r>
          </w:p>
        </w:tc>
      </w:tr>
      <w:tr>
        <w:trPr>
          <w:cantSplit w:val="true"/>
        </w:trPr>
        <w:tc>
          <w:tcPr>
            <w:tcW w:type="dxa" w:w="45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6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  <w:vAlign w:val="center"/>
          </w:tcPr>
          <w:p>
            <w:pPr>
              <w:jc w:val="left"/>
            </w:pPr>
            <w:r>
              <w:rPr>
                <w:b/>
                <w:i w:val="0"/>
                <w:sz w:val="16"/>
              </w:rPr>
              <w:t>Manuales del sistema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Manual web por perfiles disponible en https://sitrep.ultimamilla.com.ar/manual/ y https://rptrazar.mendoza.gov.ar/manual/, con navegación por perfiles y flujos web/PWA.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812B"/>
                <w:sz w:val="16"/>
              </w:rPr>
              <w:t>COMPLETADO</w:t>
            </w:r>
          </w:p>
        </w:tc>
      </w:tr>
      <w:tr>
        <w:trPr>
          <w:cantSplit w:val="true"/>
        </w:trPr>
        <w:tc>
          <w:tcPr>
            <w:tcW w:type="dxa" w:w="45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7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left"/>
            </w:pPr>
            <w:r>
              <w:rPr>
                <w:b/>
                <w:i w:val="0"/>
                <w:sz w:val="16"/>
              </w:rPr>
              <w:t>Capacitación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Instancias de capacitación y validación realizadas sobre los flujos funcionales de los distintos perfiles del sistema.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812B"/>
                <w:sz w:val="16"/>
              </w:rPr>
              <w:t>COMPLETADO</w:t>
            </w:r>
          </w:p>
        </w:tc>
      </w:tr>
      <w:tr>
        <w:trPr>
          <w:cantSplit w:val="true"/>
        </w:trPr>
        <w:tc>
          <w:tcPr>
            <w:tcW w:type="dxa" w:w="45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8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  <w:vAlign w:val="center"/>
          </w:tcPr>
          <w:p>
            <w:pPr>
              <w:jc w:val="left"/>
            </w:pPr>
            <w:r>
              <w:rPr>
                <w:b/>
                <w:i w:val="0"/>
                <w:sz w:val="16"/>
              </w:rPr>
              <w:t>Soporte técnico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Servicio de soporte técnico por tres meses establecido con canales, responsables y registro de atención.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812B"/>
                <w:sz w:val="16"/>
              </w:rPr>
              <w:t>COMPLETADO</w:t>
            </w:r>
          </w:p>
        </w:tc>
      </w:tr>
      <w:tr>
        <w:trPr>
          <w:cantSplit w:val="true"/>
        </w:trPr>
        <w:tc>
          <w:tcPr>
            <w:tcW w:type="dxa" w:w="45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  <w:t>9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left"/>
            </w:pPr>
            <w:r>
              <w:rPr>
                <w:b/>
                <w:i w:val="0"/>
                <w:sz w:val="16"/>
              </w:rPr>
              <w:t>Recepción definitiva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6"/>
              </w:rPr>
              <w:t>Antecedentes técnicos y administrativos de cierre consolidados para la recepción definitiva de la solución.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6812B"/>
                <w:sz w:val="16"/>
              </w:rPr>
              <w:t>COMPLETADO</w:t>
            </w:r>
          </w:p>
        </w:tc>
      </w:tr>
    </w:tbl>
    <w:p>
      <w:pPr>
        <w:spacing w:after="0"/>
      </w:pPr>
    </w:p>
    <w:p>
      <w:pPr>
        <w:spacing w:after="100"/>
        <w:jc w:val="both"/>
      </w:pPr>
      <w:r>
        <w:rPr>
          <w:b/>
          <w:i w:val="0"/>
        </w:rPr>
        <w:t xml:space="preserve">Situación de cierre: </w:t>
      </w:r>
      <w:r>
        <w:rPr>
          <w:b w:val="0"/>
          <w:i w:val="0"/>
        </w:rPr>
        <w:t>la instalación, la operación, las pruebas, la transferencia técnica, los manuales, la capacitación y el soporte se encuentran completados. La totalidad de los entregables contractuales está disponible en los entornos habilitados.</w:t>
      </w:r>
    </w:p>
    <w:p>
      <w:pPr>
        <w:spacing w:after="100"/>
        <w:jc w:val="both"/>
      </w:pPr>
      <w:r>
        <w:rPr>
          <w:b/>
          <w:i w:val="0"/>
        </w:rPr>
        <w:t xml:space="preserve">Coordinación operativa: </w:t>
      </w:r>
      <w:r>
        <w:rPr>
          <w:b w:val="0"/>
          <w:i w:val="0"/>
        </w:rPr>
        <w:t>la implementación técnica del alcance contractual informado en esta etapa está concluida.</w:t>
      </w:r>
    </w:p>
    <w:p>
      <w:pPr>
        <w:spacing w:after="100"/>
        <w:jc w:val="both"/>
      </w:pPr>
      <w:r>
        <w:rPr>
          <w:b w:val="0"/>
          <w:i w:val="0"/>
        </w:rPr>
        <w:t>El pedido de módulos adicionales documentado mediante Nota N.º 03/2026 mantiene tratamiento administrativo separado y no integra los importes del contrato base consignados en este informe.</w:t>
      </w:r>
    </w:p>
    <w:p>
      <w:pPr>
        <w:spacing w:before="80" w:after="80"/>
      </w:pPr>
      <w:r>
        <w:rPr>
          <w:b/>
          <w:i w:val="0"/>
          <w:color w:val="1E3F73"/>
          <w:sz w:val="20"/>
        </w:rPr>
        <w:t>Resumen económico — Etapa 4 y acumulado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69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Contrato total (IVA incluido)</w:t>
            </w:r>
          </w:p>
        </w:tc>
        <w:tc>
          <w:tcPr>
            <w:tcW w:type="dxa" w:w="2891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7"/>
              </w:rPr>
              <w:t>$ 27.400.000,00</w:t>
            </w:r>
          </w:p>
        </w:tc>
      </w:tr>
      <w:tr>
        <w:tc>
          <w:tcPr>
            <w:tcW w:type="dxa" w:w="669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Porcentaje contractual — Etapa 4</w:t>
            </w:r>
          </w:p>
        </w:tc>
        <w:tc>
          <w:tcPr>
            <w:tcW w:type="dxa" w:w="2891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7"/>
              </w:rPr>
              <w:t>15 %</w:t>
            </w:r>
          </w:p>
        </w:tc>
      </w:tr>
      <w:tr>
        <w:tc>
          <w:tcPr>
            <w:tcW w:type="dxa" w:w="669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</w:tcPr>
          <w:p>
            <w:pPr>
              <w:spacing w:after="0"/>
            </w:pPr>
            <w:r>
              <w:rPr>
                <w:b/>
                <w:i w:val="0"/>
                <w:color w:val="1E3F73"/>
                <w:sz w:val="17"/>
              </w:rPr>
              <w:t>Monto asociado — Etapa 4</w:t>
            </w:r>
          </w:p>
        </w:tc>
        <w:tc>
          <w:tcPr>
            <w:tcW w:type="dxa" w:w="2891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  <w:shd w:fill="EEF3FB"/>
          </w:tcPr>
          <w:p>
            <w:pPr>
              <w:spacing w:after="0"/>
              <w:jc w:val="right"/>
            </w:pPr>
            <w:r>
              <w:rPr>
                <w:b/>
                <w:i w:val="0"/>
                <w:color w:val="1E3F73"/>
                <w:sz w:val="17"/>
              </w:rPr>
              <w:t>$ 4.110.000,00</w:t>
            </w:r>
          </w:p>
        </w:tc>
      </w:tr>
      <w:tr>
        <w:tc>
          <w:tcPr>
            <w:tcW w:type="dxa" w:w="669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Etapa 1 — aprobada y facturada (30 %) · Factura B 00002-00000853</w:t>
            </w:r>
          </w:p>
        </w:tc>
        <w:tc>
          <w:tcPr>
            <w:tcW w:type="dxa" w:w="2891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7"/>
              </w:rPr>
              <w:t>$ 8.220.000,00</w:t>
            </w:r>
          </w:p>
        </w:tc>
      </w:tr>
      <w:tr>
        <w:tc>
          <w:tcPr>
            <w:tcW w:type="dxa" w:w="669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Etapa 2 — aprobada y facturada (35 %) · Factura B 00002-00000854</w:t>
            </w:r>
          </w:p>
        </w:tc>
        <w:tc>
          <w:tcPr>
            <w:tcW w:type="dxa" w:w="2891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7"/>
              </w:rPr>
              <w:t>$ 9.590.000,00</w:t>
            </w:r>
          </w:p>
        </w:tc>
      </w:tr>
      <w:tr>
        <w:tc>
          <w:tcPr>
            <w:tcW w:type="dxa" w:w="669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Monto aprobado y facturado — Etapas 1 y 2 (65 %)</w:t>
            </w:r>
          </w:p>
        </w:tc>
        <w:tc>
          <w:tcPr>
            <w:tcW w:type="dxa" w:w="2891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7"/>
              </w:rPr>
              <w:t>$ 17.810.000,00</w:t>
            </w:r>
          </w:p>
        </w:tc>
      </w:tr>
      <w:tr>
        <w:tc>
          <w:tcPr>
            <w:tcW w:type="dxa" w:w="669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Etapa 3 — entregables completados (20 %)</w:t>
            </w:r>
          </w:p>
        </w:tc>
        <w:tc>
          <w:tcPr>
            <w:tcW w:type="dxa" w:w="2891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7"/>
              </w:rPr>
              <w:t>$ 5.480.000,00</w:t>
            </w:r>
          </w:p>
        </w:tc>
      </w:tr>
      <w:tr>
        <w:tc>
          <w:tcPr>
            <w:tcW w:type="dxa" w:w="669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Etapa 4 — entregables completados (15 %)</w:t>
            </w:r>
          </w:p>
        </w:tc>
        <w:tc>
          <w:tcPr>
            <w:tcW w:type="dxa" w:w="2891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7"/>
              </w:rPr>
              <w:t>$ 4.110.000,00</w:t>
            </w:r>
          </w:p>
        </w:tc>
      </w:tr>
      <w:tr>
        <w:tc>
          <w:tcPr>
            <w:tcW w:type="dxa" w:w="6690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Total contractual — Etapas 1 a 4 (100 %)</w:t>
            </w:r>
          </w:p>
        </w:tc>
        <w:tc>
          <w:tcPr>
            <w:tcW w:type="dxa" w:w="2891"/>
            <w:tcMar>
              <w:top w:w="50" w:type="dxa"/>
              <w:start w:w="120" w:type="dxa"/>
              <w:bottom w:w="50" w:type="dxa"/>
              <w:end w:w="120" w:type="dxa"/>
            </w:tcMar>
            <w:tcBorders>
              <w:top w:val="single" w:sz="4" w:color="D6DFEF"/>
              <w:left w:val="single" w:sz="4" w:color="D6DFEF"/>
              <w:bottom w:val="single" w:sz="4" w:color="D6DFEF"/>
              <w:right w:val="single" w:sz="4" w:color="D6DFEF"/>
            </w:tcBorders>
          </w:tcPr>
          <w:p>
            <w:pPr>
              <w:spacing w:after="0"/>
              <w:jc w:val="right"/>
            </w:pPr>
            <w:r>
              <w:rPr>
                <w:b w:val="0"/>
                <w:i w:val="0"/>
                <w:sz w:val="17"/>
              </w:rPr>
              <w:t>$ 27.400.000,00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9E8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8" w:color="D3A300"/>
              <w:left w:val="single" w:sz="8" w:color="D3A300"/>
              <w:bottom w:val="single" w:sz="8" w:color="D3A300"/>
              <w:right w:val="single" w:sz="8" w:color="D3A300"/>
            </w:tcBorders>
          </w:tcPr>
          <w:p>
            <w:pPr>
              <w:spacing w:after="0"/>
              <w:jc w:val="both"/>
            </w:pPr>
            <w:r>
              <w:rPr>
                <w:b w:val="0"/>
                <w:i w:val="0"/>
                <w:sz w:val="18"/>
              </w:rPr>
              <w:t>Se solicita tener por presentado este informe, tener por cumplidos integralmente los entregables de la Etapa 4 y otorgar la conformidad final correspondiente. El monto contractual de la etapa es de pesos cuatro millones ciento diez mil ($ 4.110.000,00), IVA incluido.</w:t>
            </w:r>
          </w:p>
        </w:tc>
      </w:tr>
    </w:tbl>
    <w:p>
      <w:pPr>
        <w:spacing w:before="200"/>
      </w:pPr>
      <w:r>
        <w:rPr>
          <w:b w:val="0"/>
          <w:i w:val="0"/>
        </w:rPr>
        <w:t>Sin otro particular, saluda atentamente.</w:t>
      </w:r>
    </w:p>
    <w:p>
      <w:pPr>
        <w:spacing w:before="400" w:after="0"/>
      </w:pPr>
      <w:r>
        <w:rPr>
          <w:b w:val="0"/>
          <w:i w:val="0"/>
          <w:color w:val="666666"/>
        </w:rPr>
        <w:t>________________________________________</w:t>
      </w:r>
    </w:p>
    <w:p>
      <w:pPr>
        <w:spacing w:after="0"/>
      </w:pPr>
      <w:r>
        <w:rPr>
          <w:b/>
          <w:i w:val="0"/>
        </w:rPr>
        <w:t>Martín Santos</w:t>
      </w:r>
    </w:p>
    <w:p>
      <w:pPr>
        <w:spacing w:after="0"/>
      </w:pPr>
      <w:r>
        <w:rPr>
          <w:b w:val="0"/>
          <w:i/>
          <w:color w:val="666666"/>
          <w:sz w:val="16"/>
        </w:rPr>
        <w:t>Presidente — ULTIMA MILLA S.A.  ·  D.N.I. / C.U.I.T. responsable técnico</w:t>
      </w:r>
    </w:p>
    <w:sectPr w:rsidR="00FC693F" w:rsidRPr="0006063C" w:rsidSect="00034616">
      <w:footerReference w:type="default" r:id="rId9"/>
      <w:pgSz w:w="11906" w:h="16838"/>
      <w:pgMar w:top="935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b w:val="0"/>
        <w:i w:val="0"/>
        <w:color w:val="888888"/>
        <w:sz w:val="14"/>
      </w:rPr>
      <w:t>Exp. PLIEG-2025-07544314-GDEMZA-DGFA#SAYOT  |  CUIT DGFA: 30-70829827-8  |  ULTIMA MILLA S.A.  |  SITREP v2026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3F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3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E3F7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1E3F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