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123"/>
        <w:gridCol w:w="3402"/>
      </w:tblGrid>
      <w:tr>
        <w:tc>
          <w:tcPr>
            <w:tcW w:type="dxa" w:w="6123"/>
            <w:tcMar>
              <w:top w:w="0" w:type="dxa"/>
              <w:start w:w="0" w:type="dxa"/>
              <w:bottom w:w="0" w:type="dxa"/>
              <w:end w:w="0" w:type="dxa"/>
            </w:tcMar>
            <w:tcBorders>
              <w:bottom w:val="nil"/>
            </w:tcBorders>
          </w:tcPr>
          <w:p>
            <w:pPr>
              <w:spacing w:after="0"/>
            </w:pPr>
            <w:r>
              <w:rPr>
                <w:b/>
                <w:i w:val="0"/>
                <w:color w:val="1E3F73"/>
                <w:sz w:val="24"/>
              </w:rPr>
              <w:t>ULTIMA MILLA S.A.  NOTA N.º 04/2026</w:t>
            </w:r>
          </w:p>
          <w:p>
            <w:pPr>
              <w:spacing w:after="0"/>
            </w:pPr>
            <w:r>
              <w:rPr>
                <w:b w:val="0"/>
                <w:i w:val="0"/>
                <w:color w:val="666666"/>
                <w:sz w:val="16"/>
              </w:rPr>
              <w:t>Desarrollo de Sistemas — Tecnología e Infraestructura Digital</w:t>
            </w:r>
          </w:p>
        </w:tc>
        <w:tc>
          <w:tcPr>
            <w:tcW w:type="dxa" w:w="3402"/>
            <w:tcMar>
              <w:top w:w="0" w:type="dxa"/>
              <w:start w:w="0" w:type="dxa"/>
              <w:bottom w:w="0" w:type="dxa"/>
              <w:end w:w="0" w:type="dxa"/>
            </w:tcMar>
            <w:tcBorders>
              <w:bottom w:val="nil"/>
            </w:tcBorders>
          </w:tcPr>
          <w:p>
            <w:pPr>
              <w:spacing w:after="0"/>
              <w:jc w:val="right"/>
            </w:pPr>
            <w:r>
              <w:rPr>
                <w:b w:val="0"/>
                <w:i w:val="0"/>
                <w:color w:val="666666"/>
                <w:sz w:val="16"/>
              </w:rPr>
              <w:t>Mendoza, 14 de septiembre de 2026</w:t>
            </w:r>
          </w:p>
        </w:tc>
      </w:tr>
    </w:tbl>
    <w:p>
      <w:pPr>
        <w:spacing w:before="80" w:after="140"/>
        <w:pBdr>
          <w:bottom w:val="single" w:sz="16" w:space="1" w:color="1E3F73"/>
        </w:pBdr>
      </w:pPr>
    </w:p>
    <w:p>
      <w:pPr>
        <w:spacing w:after="20"/>
        <w:jc w:val="center"/>
      </w:pPr>
      <w:r>
        <w:rPr>
          <w:b/>
          <w:i w:val="0"/>
          <w:sz w:val="28"/>
        </w:rPr>
        <w:t>NOTA DE INFORME DE AVANCE DE OBRA</w:t>
      </w:r>
    </w:p>
    <w:p>
      <w:pPr>
        <w:spacing w:after="20"/>
        <w:jc w:val="center"/>
      </w:pPr>
      <w:r>
        <w:rPr>
          <w:b w:val="0"/>
          <w:i w:val="0"/>
          <w:sz w:val="21"/>
        </w:rPr>
        <w:t>Etapa 3 — Reportes y soporte</w:t>
      </w:r>
    </w:p>
    <w:p>
      <w:pPr>
        <w:spacing w:after="140"/>
        <w:jc w:val="center"/>
      </w:pPr>
      <w:r>
        <w:rPr>
          <w:b w:val="0"/>
          <w:i w:val="0"/>
          <w:color w:val="666666"/>
          <w:sz w:val="19"/>
        </w:rPr>
        <w:t>SITREP — Sistema Integral de Trazabilidad de Residuos Peligrosos</w:t>
      </w:r>
    </w:p>
    <w:p>
      <w:pPr>
        <w:spacing w:before="80" w:after="140"/>
        <w:jc w:val="right"/>
      </w:pPr>
      <w:r>
        <w:rPr>
          <w:b w:val="0"/>
          <w:i w:val="0"/>
          <w:sz w:val="19"/>
        </w:rPr>
        <w:t>Mendoza, 14 de septiembre de 2026</w:t>
      </w:r>
    </w:p>
    <w:p>
      <w:pPr>
        <w:spacing w:after="0"/>
      </w:pPr>
      <w:r>
        <w:rPr>
          <w:b/>
          <w:i w:val="0"/>
        </w:rPr>
        <w:t xml:space="preserve">A:  </w:t>
      </w:r>
      <w:r>
        <w:rPr>
          <w:b w:val="0"/>
          <w:i w:val="0"/>
        </w:rPr>
        <w:t>Lic. Leonardo Fernandez</w:t>
      </w:r>
    </w:p>
    <w:p>
      <w:pPr>
        <w:spacing w:after="0"/>
      </w:pPr>
      <w:r>
        <w:rPr>
          <w:b/>
          <w:i w:val="0"/>
        </w:rPr>
        <w:t xml:space="preserve">Cargo:  </w:t>
      </w:r>
      <w:r>
        <w:rPr>
          <w:b w:val="0"/>
          <w:i w:val="0"/>
        </w:rPr>
        <w:t>Director</w:t>
      </w:r>
    </w:p>
    <w:p>
      <w:pPr>
        <w:spacing w:after="0"/>
      </w:pPr>
      <w:r>
        <w:rPr>
          <w:b/>
          <w:i w:val="0"/>
        </w:rPr>
        <w:t xml:space="preserve">Dirección:  </w:t>
      </w:r>
      <w:r>
        <w:rPr>
          <w:b w:val="0"/>
          <w:i w:val="0"/>
        </w:rPr>
        <w:t>Dirección de Gestión y Fiscalización Ambiental (DGFA)</w:t>
      </w:r>
    </w:p>
    <w:p>
      <w:pPr>
        <w:spacing w:after="0"/>
      </w:pPr>
      <w:r>
        <w:rPr>
          <w:b/>
          <w:i w:val="0"/>
        </w:rPr>
        <w:t xml:space="preserve">Ministerio:  </w:t>
      </w:r>
      <w:r>
        <w:rPr>
          <w:b w:val="0"/>
          <w:i w:val="0"/>
        </w:rPr>
        <w:t>Ministerio de Energía y Ambiente — Provincia de Mendoza</w:t>
      </w:r>
    </w:p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EF3FB"/>
            <w:tcMar>
              <w:top w:w="90" w:type="dxa"/>
              <w:start w:w="150" w:type="dxa"/>
              <w:bottom w:w="90" w:type="dxa"/>
              <w:end w:w="150" w:type="dxa"/>
            </w:tcMar>
            <w:tcBorders>
              <w:left w:val="single" w:sz="14" w:color="244F8F"/>
            </w:tcBorders>
          </w:tcPr>
          <w:p>
            <w:pPr>
              <w:spacing w:after="0"/>
            </w:pPr>
            <w:r>
              <w:rPr>
                <w:b/>
                <w:i w:val="0"/>
                <w:color w:val="1E3F73"/>
              </w:rPr>
              <w:t xml:space="preserve">Ref.:  </w:t>
            </w:r>
            <w:r>
              <w:rPr>
                <w:b w:val="0"/>
                <w:i w:val="0"/>
              </w:rPr>
              <w:t>Informe de cumplimiento — Etapa 3: Reportes y soporte — Contrato PLIEG-2025-07544314-GDEMZA-DGFA#SAYOT</w:t>
            </w:r>
          </w:p>
        </w:tc>
      </w:tr>
    </w:tbl>
    <w:p>
      <w:pPr>
        <w:spacing w:after="20"/>
      </w:pPr>
    </w:p>
    <w:p>
      <w:pPr>
        <w:spacing w:after="100"/>
        <w:jc w:val="both"/>
      </w:pPr>
      <w:r>
        <w:rPr>
          <w:b w:val="0"/>
          <w:i w:val="0"/>
        </w:rPr>
        <w:t xml:space="preserve">Por medio de la presente, quien suscribe, </w:t>
      </w:r>
      <w:r>
        <w:rPr>
          <w:b/>
          <w:i w:val="0"/>
        </w:rPr>
        <w:t>Martín Santos</w:t>
      </w:r>
      <w:r>
        <w:rPr>
          <w:b w:val="0"/>
          <w:i w:val="0"/>
        </w:rPr>
        <w:t xml:space="preserve">, en carácter de responsable técnico de </w:t>
      </w:r>
      <w:r>
        <w:rPr>
          <w:b/>
          <w:i w:val="0"/>
        </w:rPr>
        <w:t>ULTIMA MILLA S.A.</w:t>
      </w:r>
      <w:r>
        <w:rPr>
          <w:b w:val="0"/>
          <w:i w:val="0"/>
        </w:rPr>
        <w:t xml:space="preserve">, informa a esa Dirección el cumplimiento verificable de los entregables correspondientes a la </w:t>
      </w:r>
      <w:r>
        <w:rPr>
          <w:b/>
          <w:i w:val="0"/>
        </w:rPr>
        <w:t>Etapa 3 — Reportes y soporte</w:t>
      </w:r>
      <w:r>
        <w:rPr>
          <w:b w:val="0"/>
          <w:i w:val="0"/>
        </w:rPr>
        <w:t xml:space="preserve"> del Sistema Integral de Trazabilidad de Residuos Peligrosos (SITREP), prevista para los días contractuales 91 a 150.</w:t>
      </w:r>
    </w:p>
    <w:p>
      <w:pPr>
        <w:spacing w:after="100"/>
        <w:jc w:val="both"/>
      </w:pPr>
      <w:r>
        <w:rPr>
          <w:b w:val="0"/>
          <w:i w:val="0"/>
        </w:rPr>
        <w:t>El pliego asigna a esta etapa reportes estadísticos, exportación de datos, manuales y soporte técnico por tres meses. La totalidad de estos componentes se encuentra implementada, operativa y documentada; los manuales están publicados y el soporte técnico se encuentra formalizado como parte de la entrega consolidada. Esta presentación no modifica el monto total ni los porcentajes del contrato.</w:t>
      </w:r>
    </w:p>
    <w:p>
      <w:pPr>
        <w:spacing w:before="80" w:after="80"/>
      </w:pPr>
      <w:r>
        <w:rPr>
          <w:b/>
          <w:i w:val="0"/>
          <w:color w:val="1E3F73"/>
          <w:sz w:val="20"/>
        </w:rPr>
        <w:t>Módulos y entregables completados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454"/>
            <w:shd w:fill="1E3F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608"/>
            <w:shd w:fill="1E3F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6"/>
              </w:rPr>
              <w:t>Módulo / Entregable</w:t>
            </w:r>
          </w:p>
        </w:tc>
        <w:tc>
          <w:tcPr>
            <w:tcW w:type="dxa" w:w="5329"/>
            <w:shd w:fill="1E3F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6"/>
              </w:rPr>
              <w:t>Evidencia y alcance</w:t>
            </w:r>
          </w:p>
        </w:tc>
        <w:tc>
          <w:tcPr>
            <w:tcW w:type="dxa" w:w="1191"/>
            <w:shd w:fill="1E3F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Estado</w:t>
            </w:r>
          </w:p>
        </w:tc>
      </w:tr>
      <w:tr>
        <w:trPr>
          <w:cantSplit w:val="true"/>
        </w:trPr>
        <w:tc>
          <w:tcPr>
            <w:tcW w:type="dxa" w:w="45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6DFEF"/>
              <w:left w:val="single" w:sz="4" w:color="D6DFEF"/>
              <w:bottom w:val="single" w:sz="4" w:color="D6DFEF"/>
              <w:right w:val="single" w:sz="4" w:color="D6DFEF"/>
            </w:tcBorders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1</w:t>
            </w:r>
          </w:p>
        </w:tc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6DFEF"/>
              <w:left w:val="single" w:sz="4" w:color="D6DFEF"/>
              <w:bottom w:val="single" w:sz="4" w:color="D6DFEF"/>
              <w:right w:val="single" w:sz="4" w:color="D6DFEF"/>
            </w:tcBorders>
            <w:vAlign w:val="center"/>
          </w:tcPr>
          <w:p>
            <w:pPr>
              <w:jc w:val="left"/>
            </w:pPr>
            <w:r>
              <w:rPr>
                <w:b/>
                <w:i w:val="0"/>
                <w:sz w:val="16"/>
              </w:rPr>
              <w:t>Tableros e indicadores</w:t>
            </w:r>
          </w:p>
        </w:tc>
        <w:tc>
          <w:tcPr>
            <w:tcW w:type="dxa" w:w="5329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6DFEF"/>
              <w:left w:val="single" w:sz="4" w:color="D6DFEF"/>
              <w:bottom w:val="single" w:sz="4" w:color="D6DFEF"/>
              <w:right w:val="single" w:sz="4" w:color="D6DFEF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Dashboard general y centro de control con indicadores de manifiestos por estado, actividad, actores y evolución temporal.</w:t>
            </w:r>
          </w:p>
        </w:tc>
        <w:tc>
          <w:tcPr>
            <w:tcW w:type="dxa" w:w="1191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6DFEF"/>
              <w:left w:val="single" w:sz="4" w:color="D6DFEF"/>
              <w:bottom w:val="single" w:sz="4" w:color="D6DFEF"/>
              <w:right w:val="single" w:sz="4" w:color="D6DFEF"/>
            </w:tcBorders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6812B"/>
                <w:sz w:val="16"/>
              </w:rPr>
              <w:t>COMPLETADO</w:t>
            </w:r>
          </w:p>
        </w:tc>
      </w:tr>
      <w:tr>
        <w:trPr>
          <w:cantSplit w:val="true"/>
        </w:trPr>
        <w:tc>
          <w:tcPr>
            <w:tcW w:type="dxa" w:w="45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6DFEF"/>
              <w:left w:val="single" w:sz="4" w:color="D6DFEF"/>
              <w:bottom w:val="single" w:sz="4" w:color="D6DFEF"/>
              <w:right w:val="single" w:sz="4" w:color="D6DFEF"/>
            </w:tcBorders>
            <w:shd w:fill="EEF3FB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2</w:t>
            </w:r>
          </w:p>
        </w:tc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6DFEF"/>
              <w:left w:val="single" w:sz="4" w:color="D6DFEF"/>
              <w:bottom w:val="single" w:sz="4" w:color="D6DFEF"/>
              <w:right w:val="single" w:sz="4" w:color="D6DFEF"/>
            </w:tcBorders>
            <w:shd w:fill="EEF3FB"/>
            <w:vAlign w:val="center"/>
          </w:tcPr>
          <w:p>
            <w:pPr>
              <w:jc w:val="left"/>
            </w:pPr>
            <w:r>
              <w:rPr>
                <w:b/>
                <w:i w:val="0"/>
                <w:sz w:val="16"/>
              </w:rPr>
              <w:t>Reportes de manifiestos</w:t>
            </w:r>
          </w:p>
        </w:tc>
        <w:tc>
          <w:tcPr>
            <w:tcW w:type="dxa" w:w="5329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6DFEF"/>
              <w:left w:val="single" w:sz="4" w:color="D6DFEF"/>
              <w:bottom w:val="single" w:sz="4" w:color="D6DFEF"/>
              <w:right w:val="single" w:sz="4" w:color="D6DFEF"/>
            </w:tcBorders>
            <w:shd w:fill="EEF3FB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Consulta por período y estado, detalle operativo y trazabilidad del ciclo completo del manifiesto.</w:t>
            </w:r>
          </w:p>
        </w:tc>
        <w:tc>
          <w:tcPr>
            <w:tcW w:type="dxa" w:w="1191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6DFEF"/>
              <w:left w:val="single" w:sz="4" w:color="D6DFEF"/>
              <w:bottom w:val="single" w:sz="4" w:color="D6DFEF"/>
              <w:right w:val="single" w:sz="4" w:color="D6DFEF"/>
            </w:tcBorders>
            <w:shd w:fill="EEF3FB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6812B"/>
                <w:sz w:val="16"/>
              </w:rPr>
              <w:t>COMPLETADO</w:t>
            </w:r>
          </w:p>
        </w:tc>
      </w:tr>
      <w:tr>
        <w:trPr>
          <w:cantSplit w:val="true"/>
        </w:trPr>
        <w:tc>
          <w:tcPr>
            <w:tcW w:type="dxa" w:w="45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6DFEF"/>
              <w:left w:val="single" w:sz="4" w:color="D6DFEF"/>
              <w:bottom w:val="single" w:sz="4" w:color="D6DFEF"/>
              <w:right w:val="single" w:sz="4" w:color="D6DFEF"/>
            </w:tcBorders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3</w:t>
            </w:r>
          </w:p>
        </w:tc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6DFEF"/>
              <w:left w:val="single" w:sz="4" w:color="D6DFEF"/>
              <w:bottom w:val="single" w:sz="4" w:color="D6DFEF"/>
              <w:right w:val="single" w:sz="4" w:color="D6DFEF"/>
            </w:tcBorders>
            <w:vAlign w:val="center"/>
          </w:tcPr>
          <w:p>
            <w:pPr>
              <w:jc w:val="left"/>
            </w:pPr>
            <w:r>
              <w:rPr>
                <w:b/>
                <w:i w:val="0"/>
                <w:sz w:val="16"/>
              </w:rPr>
              <w:t>Residuos tratados</w:t>
            </w:r>
          </w:p>
        </w:tc>
        <w:tc>
          <w:tcPr>
            <w:tcW w:type="dxa" w:w="5329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6DFEF"/>
              <w:left w:val="single" w:sz="4" w:color="D6DFEF"/>
              <w:bottom w:val="single" w:sz="4" w:color="D6DFEF"/>
              <w:right w:val="single" w:sz="4" w:color="D6DFEF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Totales por tipo, cantidades y unidades, detalle por generador y seguimiento de tratamiento.</w:t>
            </w:r>
          </w:p>
        </w:tc>
        <w:tc>
          <w:tcPr>
            <w:tcW w:type="dxa" w:w="1191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6DFEF"/>
              <w:left w:val="single" w:sz="4" w:color="D6DFEF"/>
              <w:bottom w:val="single" w:sz="4" w:color="D6DFEF"/>
              <w:right w:val="single" w:sz="4" w:color="D6DFEF"/>
            </w:tcBorders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6812B"/>
                <w:sz w:val="16"/>
              </w:rPr>
              <w:t>COMPLETADO</w:t>
            </w:r>
          </w:p>
        </w:tc>
      </w:tr>
      <w:tr>
        <w:trPr>
          <w:cantSplit w:val="true"/>
        </w:trPr>
        <w:tc>
          <w:tcPr>
            <w:tcW w:type="dxa" w:w="45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6DFEF"/>
              <w:left w:val="single" w:sz="4" w:color="D6DFEF"/>
              <w:bottom w:val="single" w:sz="4" w:color="D6DFEF"/>
              <w:right w:val="single" w:sz="4" w:color="D6DFEF"/>
            </w:tcBorders>
            <w:shd w:fill="EEF3FB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4</w:t>
            </w:r>
          </w:p>
        </w:tc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6DFEF"/>
              <w:left w:val="single" w:sz="4" w:color="D6DFEF"/>
              <w:bottom w:val="single" w:sz="4" w:color="D6DFEF"/>
              <w:right w:val="single" w:sz="4" w:color="D6DFEF"/>
            </w:tcBorders>
            <w:shd w:fill="EEF3FB"/>
            <w:vAlign w:val="center"/>
          </w:tcPr>
          <w:p>
            <w:pPr>
              <w:jc w:val="left"/>
            </w:pPr>
            <w:r>
              <w:rPr>
                <w:b/>
                <w:i w:val="0"/>
                <w:sz w:val="16"/>
              </w:rPr>
              <w:t>Transporte y operadores</w:t>
            </w:r>
          </w:p>
        </w:tc>
        <w:tc>
          <w:tcPr>
            <w:tcW w:type="dxa" w:w="5329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6DFEF"/>
              <w:left w:val="single" w:sz="4" w:color="D6DFEF"/>
              <w:bottom w:val="single" w:sz="4" w:color="D6DFEF"/>
              <w:right w:val="single" w:sz="4" w:color="D6DFEF"/>
            </w:tcBorders>
            <w:shd w:fill="EEF3FB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Indicadores de completitud, actividad por transportista y operador, y consultas sectoriales.</w:t>
            </w:r>
          </w:p>
        </w:tc>
        <w:tc>
          <w:tcPr>
            <w:tcW w:type="dxa" w:w="1191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6DFEF"/>
              <w:left w:val="single" w:sz="4" w:color="D6DFEF"/>
              <w:bottom w:val="single" w:sz="4" w:color="D6DFEF"/>
              <w:right w:val="single" w:sz="4" w:color="D6DFEF"/>
            </w:tcBorders>
            <w:shd w:fill="EEF3FB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6812B"/>
                <w:sz w:val="16"/>
              </w:rPr>
              <w:t>COMPLETADO</w:t>
            </w:r>
          </w:p>
        </w:tc>
      </w:tr>
      <w:tr>
        <w:trPr>
          <w:cantSplit w:val="true"/>
        </w:trPr>
        <w:tc>
          <w:tcPr>
            <w:tcW w:type="dxa" w:w="45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6DFEF"/>
              <w:left w:val="single" w:sz="4" w:color="D6DFEF"/>
              <w:bottom w:val="single" w:sz="4" w:color="D6DFEF"/>
              <w:right w:val="single" w:sz="4" w:color="D6DFEF"/>
            </w:tcBorders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5</w:t>
            </w:r>
          </w:p>
        </w:tc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6DFEF"/>
              <w:left w:val="single" w:sz="4" w:color="D6DFEF"/>
              <w:bottom w:val="single" w:sz="4" w:color="D6DFEF"/>
              <w:right w:val="single" w:sz="4" w:color="D6DFEF"/>
            </w:tcBorders>
            <w:vAlign w:val="center"/>
          </w:tcPr>
          <w:p>
            <w:pPr>
              <w:jc w:val="left"/>
            </w:pPr>
            <w:r>
              <w:rPr>
                <w:b/>
                <w:i w:val="0"/>
                <w:sz w:val="16"/>
              </w:rPr>
              <w:t>Establecimientos y territorio</w:t>
            </w:r>
          </w:p>
        </w:tc>
        <w:tc>
          <w:tcPr>
            <w:tcW w:type="dxa" w:w="5329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6DFEF"/>
              <w:left w:val="single" w:sz="4" w:color="D6DFEF"/>
              <w:bottom w:val="single" w:sz="4" w:color="D6DFEF"/>
              <w:right w:val="single" w:sz="4" w:color="D6DFEF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Reportes de generadores, categorías, departamentos y mapa de actores con filtros.</w:t>
            </w:r>
          </w:p>
        </w:tc>
        <w:tc>
          <w:tcPr>
            <w:tcW w:type="dxa" w:w="1191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6DFEF"/>
              <w:left w:val="single" w:sz="4" w:color="D6DFEF"/>
              <w:bottom w:val="single" w:sz="4" w:color="D6DFEF"/>
              <w:right w:val="single" w:sz="4" w:color="D6DFEF"/>
            </w:tcBorders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6812B"/>
                <w:sz w:val="16"/>
              </w:rPr>
              <w:t>COMPLETADO</w:t>
            </w:r>
          </w:p>
        </w:tc>
      </w:tr>
      <w:tr>
        <w:trPr>
          <w:cantSplit w:val="true"/>
        </w:trPr>
        <w:tc>
          <w:tcPr>
            <w:tcW w:type="dxa" w:w="45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6DFEF"/>
              <w:left w:val="single" w:sz="4" w:color="D6DFEF"/>
              <w:bottom w:val="single" w:sz="4" w:color="D6DFEF"/>
              <w:right w:val="single" w:sz="4" w:color="D6DFEF"/>
            </w:tcBorders>
            <w:shd w:fill="EEF3FB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6</w:t>
            </w:r>
          </w:p>
        </w:tc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6DFEF"/>
              <w:left w:val="single" w:sz="4" w:color="D6DFEF"/>
              <w:bottom w:val="single" w:sz="4" w:color="D6DFEF"/>
              <w:right w:val="single" w:sz="4" w:color="D6DFEF"/>
            </w:tcBorders>
            <w:shd w:fill="EEF3FB"/>
            <w:vAlign w:val="center"/>
          </w:tcPr>
          <w:p>
            <w:pPr>
              <w:jc w:val="left"/>
            </w:pPr>
            <w:r>
              <w:rPr>
                <w:b/>
                <w:i w:val="0"/>
                <w:sz w:val="16"/>
              </w:rPr>
              <w:t>Exportación CSV</w:t>
            </w:r>
          </w:p>
        </w:tc>
        <w:tc>
          <w:tcPr>
            <w:tcW w:type="dxa" w:w="5329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6DFEF"/>
              <w:left w:val="single" w:sz="4" w:color="D6DFEF"/>
              <w:bottom w:val="single" w:sz="4" w:color="D6DFEF"/>
              <w:right w:val="single" w:sz="4" w:color="D6DFEF"/>
            </w:tcBorders>
            <w:shd w:fill="EEF3FB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Exportación tabular en CSV para manifiestos, generadores, transportistas y operadores, con filtros, límite y controles de acceso.</w:t>
            </w:r>
          </w:p>
        </w:tc>
        <w:tc>
          <w:tcPr>
            <w:tcW w:type="dxa" w:w="1191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6DFEF"/>
              <w:left w:val="single" w:sz="4" w:color="D6DFEF"/>
              <w:bottom w:val="single" w:sz="4" w:color="D6DFEF"/>
              <w:right w:val="single" w:sz="4" w:color="D6DFEF"/>
            </w:tcBorders>
            <w:shd w:fill="EEF3FB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6812B"/>
                <w:sz w:val="16"/>
              </w:rPr>
              <w:t>COMPLETADO</w:t>
            </w:r>
          </w:p>
        </w:tc>
      </w:tr>
      <w:tr>
        <w:trPr>
          <w:cantSplit w:val="true"/>
        </w:trPr>
        <w:tc>
          <w:tcPr>
            <w:tcW w:type="dxa" w:w="45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6DFEF"/>
              <w:left w:val="single" w:sz="4" w:color="D6DFEF"/>
              <w:bottom w:val="single" w:sz="4" w:color="D6DFEF"/>
              <w:right w:val="single" w:sz="4" w:color="D6DFEF"/>
            </w:tcBorders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7</w:t>
            </w:r>
          </w:p>
        </w:tc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6DFEF"/>
              <w:left w:val="single" w:sz="4" w:color="D6DFEF"/>
              <w:bottom w:val="single" w:sz="4" w:color="D6DFEF"/>
              <w:right w:val="single" w:sz="4" w:color="D6DFEF"/>
            </w:tcBorders>
            <w:vAlign w:val="center"/>
          </w:tcPr>
          <w:p>
            <w:pPr>
              <w:jc w:val="left"/>
            </w:pPr>
            <w:r>
              <w:rPr>
                <w:b/>
                <w:i w:val="0"/>
                <w:sz w:val="16"/>
              </w:rPr>
              <w:t>Exportación PDF</w:t>
            </w:r>
          </w:p>
        </w:tc>
        <w:tc>
          <w:tcPr>
            <w:tcW w:type="dxa" w:w="5329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6DFEF"/>
              <w:left w:val="single" w:sz="4" w:color="D6DFEF"/>
              <w:bottom w:val="single" w:sz="4" w:color="D6DFEF"/>
              <w:right w:val="single" w:sz="4" w:color="D6DFEF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Generación de reportes PDF desde el módulo de reportes y descarga de manifiestos y certificados PDF desde la API.</w:t>
            </w:r>
          </w:p>
        </w:tc>
        <w:tc>
          <w:tcPr>
            <w:tcW w:type="dxa" w:w="1191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6DFEF"/>
              <w:left w:val="single" w:sz="4" w:color="D6DFEF"/>
              <w:bottom w:val="single" w:sz="4" w:color="D6DFEF"/>
              <w:right w:val="single" w:sz="4" w:color="D6DFEF"/>
            </w:tcBorders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6812B"/>
                <w:sz w:val="16"/>
              </w:rPr>
              <w:t>COMPLETADO</w:t>
            </w:r>
          </w:p>
        </w:tc>
      </w:tr>
      <w:tr>
        <w:trPr>
          <w:cantSplit w:val="true"/>
        </w:trPr>
        <w:tc>
          <w:tcPr>
            <w:tcW w:type="dxa" w:w="45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6DFEF"/>
              <w:left w:val="single" w:sz="4" w:color="D6DFEF"/>
              <w:bottom w:val="single" w:sz="4" w:color="D6DFEF"/>
              <w:right w:val="single" w:sz="4" w:color="D6DFEF"/>
            </w:tcBorders>
            <w:shd w:fill="EEF3FB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8</w:t>
            </w:r>
          </w:p>
        </w:tc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6DFEF"/>
              <w:left w:val="single" w:sz="4" w:color="D6DFEF"/>
              <w:bottom w:val="single" w:sz="4" w:color="D6DFEF"/>
              <w:right w:val="single" w:sz="4" w:color="D6DFEF"/>
            </w:tcBorders>
            <w:shd w:fill="EEF3FB"/>
            <w:vAlign w:val="center"/>
          </w:tcPr>
          <w:p>
            <w:pPr>
              <w:jc w:val="left"/>
            </w:pPr>
            <w:r>
              <w:rPr>
                <w:b/>
                <w:i w:val="0"/>
                <w:sz w:val="16"/>
              </w:rPr>
              <w:t>Auditoría y alertas</w:t>
            </w:r>
          </w:p>
        </w:tc>
        <w:tc>
          <w:tcPr>
            <w:tcW w:type="dxa" w:w="5329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6DFEF"/>
              <w:left w:val="single" w:sz="4" w:color="D6DFEF"/>
              <w:bottom w:val="single" w:sz="4" w:color="D6DFEF"/>
              <w:right w:val="single" w:sz="4" w:color="D6DFEF"/>
            </w:tcBorders>
            <w:shd w:fill="EEF3FB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Registro de eventos relevantes, consulta de alertas y evidencia de cambios de estado para fiscalización.</w:t>
            </w:r>
          </w:p>
        </w:tc>
        <w:tc>
          <w:tcPr>
            <w:tcW w:type="dxa" w:w="1191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6DFEF"/>
              <w:left w:val="single" w:sz="4" w:color="D6DFEF"/>
              <w:bottom w:val="single" w:sz="4" w:color="D6DFEF"/>
              <w:right w:val="single" w:sz="4" w:color="D6DFEF"/>
            </w:tcBorders>
            <w:shd w:fill="EEF3FB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6812B"/>
                <w:sz w:val="16"/>
              </w:rPr>
              <w:t>COMPLETADO</w:t>
            </w:r>
          </w:p>
        </w:tc>
      </w:tr>
      <w:tr>
        <w:trPr>
          <w:cantSplit w:val="true"/>
        </w:trPr>
        <w:tc>
          <w:tcPr>
            <w:tcW w:type="dxa" w:w="45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6DFEF"/>
              <w:left w:val="single" w:sz="4" w:color="D6DFEF"/>
              <w:bottom w:val="single" w:sz="4" w:color="D6DFEF"/>
              <w:right w:val="single" w:sz="4" w:color="D6DFEF"/>
            </w:tcBorders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9</w:t>
            </w:r>
          </w:p>
        </w:tc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6DFEF"/>
              <w:left w:val="single" w:sz="4" w:color="D6DFEF"/>
              <w:bottom w:val="single" w:sz="4" w:color="D6DFEF"/>
              <w:right w:val="single" w:sz="4" w:color="D6DFEF"/>
            </w:tcBorders>
            <w:vAlign w:val="center"/>
          </w:tcPr>
          <w:p>
            <w:pPr>
              <w:jc w:val="left"/>
            </w:pPr>
            <w:r>
              <w:rPr>
                <w:b/>
                <w:i w:val="0"/>
                <w:sz w:val="16"/>
              </w:rPr>
              <w:t>Manuales y soporte</w:t>
            </w:r>
          </w:p>
        </w:tc>
        <w:tc>
          <w:tcPr>
            <w:tcW w:type="dxa" w:w="5329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6DFEF"/>
              <w:left w:val="single" w:sz="4" w:color="D6DFEF"/>
              <w:bottom w:val="single" w:sz="4" w:color="D6DFEF"/>
              <w:right w:val="single" w:sz="4" w:color="D6DFEF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Manuales por perfiles publicados en ambos entornos y soporte técnico de tres meses integrado a la entrega consolidada.</w:t>
            </w:r>
          </w:p>
        </w:tc>
        <w:tc>
          <w:tcPr>
            <w:tcW w:type="dxa" w:w="1191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6DFEF"/>
              <w:left w:val="single" w:sz="4" w:color="D6DFEF"/>
              <w:bottom w:val="single" w:sz="4" w:color="D6DFEF"/>
              <w:right w:val="single" w:sz="4" w:color="D6DFEF"/>
            </w:tcBorders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6812B"/>
                <w:sz w:val="16"/>
              </w:rPr>
              <w:t>COMPLETADO</w:t>
            </w:r>
          </w:p>
        </w:tc>
      </w:tr>
    </w:tbl>
    <w:p>
      <w:pPr>
        <w:spacing w:after="0"/>
      </w:pPr>
    </w:p>
    <w:p>
      <w:pPr>
        <w:spacing w:after="100"/>
        <w:jc w:val="both"/>
      </w:pPr>
      <w:r>
        <w:rPr>
          <w:b/>
          <w:i w:val="0"/>
        </w:rPr>
        <w:t xml:space="preserve">Evidencia en línea: </w:t>
      </w:r>
      <w:r>
        <w:rPr>
          <w:b w:val="0"/>
          <w:i w:val="0"/>
        </w:rPr>
        <w:t>módulo de reportes en https://sitrep.ultimamilla.com.ar/reportes; documentación de API en https://sitrep.ultimamilla.com.ar/api/docs/; entorno gubernamental en https://rptrazar.mendoza.gov.ar/.</w:t>
      </w:r>
    </w:p>
    <w:p>
      <w:pPr>
        <w:spacing w:after="100"/>
        <w:jc w:val="both"/>
      </w:pPr>
      <w:r>
        <w:rPr>
          <w:b/>
          <w:i w:val="0"/>
        </w:rPr>
        <w:t xml:space="preserve">Resultado de cumplimiento: </w:t>
      </w:r>
      <w:r>
        <w:rPr>
          <w:b w:val="0"/>
          <w:i w:val="0"/>
        </w:rPr>
        <w:t>todos los módulos y entregables de la Etapa 3 se encuentran completados, operativos y documentados en los entornos habilitados.</w:t>
      </w:r>
    </w:p>
    <w:p>
      <w:pPr>
        <w:spacing w:before="80" w:after="80"/>
      </w:pPr>
      <w:r>
        <w:rPr>
          <w:b/>
          <w:i w:val="0"/>
          <w:color w:val="1E3F73"/>
          <w:sz w:val="20"/>
        </w:rPr>
        <w:t>Resumen económico — Etapa 3 y acumulado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6690"/>
            <w:tcMar>
              <w:top w:w="50" w:type="dxa"/>
              <w:start w:w="120" w:type="dxa"/>
              <w:bottom w:w="50" w:type="dxa"/>
              <w:end w:w="120" w:type="dxa"/>
            </w:tcMar>
            <w:tcBorders>
              <w:top w:val="single" w:sz="4" w:color="D6DFEF"/>
              <w:left w:val="single" w:sz="4" w:color="D6DFEF"/>
              <w:bottom w:val="single" w:sz="4" w:color="D6DFEF"/>
              <w:right w:val="single" w:sz="4" w:color="D6DFEF"/>
            </w:tcBorders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Contrato total (IVA incluido)</w:t>
            </w:r>
          </w:p>
        </w:tc>
        <w:tc>
          <w:tcPr>
            <w:tcW w:type="dxa" w:w="2891"/>
            <w:tcMar>
              <w:top w:w="50" w:type="dxa"/>
              <w:start w:w="120" w:type="dxa"/>
              <w:bottom w:w="50" w:type="dxa"/>
              <w:end w:w="120" w:type="dxa"/>
            </w:tcMar>
            <w:tcBorders>
              <w:top w:val="single" w:sz="4" w:color="D6DFEF"/>
              <w:left w:val="single" w:sz="4" w:color="D6DFEF"/>
              <w:bottom w:val="single" w:sz="4" w:color="D6DFEF"/>
              <w:right w:val="single" w:sz="4" w:color="D6DFEF"/>
            </w:tcBorders>
          </w:tcPr>
          <w:p>
            <w:pPr>
              <w:spacing w:after="0"/>
              <w:jc w:val="right"/>
            </w:pPr>
            <w:r>
              <w:rPr>
                <w:b w:val="0"/>
                <w:i w:val="0"/>
                <w:sz w:val="17"/>
              </w:rPr>
              <w:t>$ 27.400.000,00</w:t>
            </w:r>
          </w:p>
        </w:tc>
      </w:tr>
      <w:tr>
        <w:tc>
          <w:tcPr>
            <w:tcW w:type="dxa" w:w="6690"/>
            <w:tcMar>
              <w:top w:w="50" w:type="dxa"/>
              <w:start w:w="120" w:type="dxa"/>
              <w:bottom w:w="50" w:type="dxa"/>
              <w:end w:w="120" w:type="dxa"/>
            </w:tcMar>
            <w:tcBorders>
              <w:top w:val="single" w:sz="4" w:color="D6DFEF"/>
              <w:left w:val="single" w:sz="4" w:color="D6DFEF"/>
              <w:bottom w:val="single" w:sz="4" w:color="D6DFEF"/>
              <w:right w:val="single" w:sz="4" w:color="D6DFEF"/>
            </w:tcBorders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Porcentaje contractual — Etapa 3</w:t>
            </w:r>
          </w:p>
        </w:tc>
        <w:tc>
          <w:tcPr>
            <w:tcW w:type="dxa" w:w="2891"/>
            <w:tcMar>
              <w:top w:w="50" w:type="dxa"/>
              <w:start w:w="120" w:type="dxa"/>
              <w:bottom w:w="50" w:type="dxa"/>
              <w:end w:w="120" w:type="dxa"/>
            </w:tcMar>
            <w:tcBorders>
              <w:top w:val="single" w:sz="4" w:color="D6DFEF"/>
              <w:left w:val="single" w:sz="4" w:color="D6DFEF"/>
              <w:bottom w:val="single" w:sz="4" w:color="D6DFEF"/>
              <w:right w:val="single" w:sz="4" w:color="D6DFEF"/>
            </w:tcBorders>
          </w:tcPr>
          <w:p>
            <w:pPr>
              <w:spacing w:after="0"/>
              <w:jc w:val="right"/>
            </w:pPr>
            <w:r>
              <w:rPr>
                <w:b w:val="0"/>
                <w:i w:val="0"/>
                <w:sz w:val="17"/>
              </w:rPr>
              <w:t>20 %</w:t>
            </w:r>
          </w:p>
        </w:tc>
      </w:tr>
      <w:tr>
        <w:tc>
          <w:tcPr>
            <w:tcW w:type="dxa" w:w="6690"/>
            <w:tcMar>
              <w:top w:w="50" w:type="dxa"/>
              <w:start w:w="120" w:type="dxa"/>
              <w:bottom w:w="50" w:type="dxa"/>
              <w:end w:w="120" w:type="dxa"/>
            </w:tcMar>
            <w:tcBorders>
              <w:top w:val="single" w:sz="4" w:color="D6DFEF"/>
              <w:left w:val="single" w:sz="4" w:color="D6DFEF"/>
              <w:bottom w:val="single" w:sz="4" w:color="D6DFEF"/>
              <w:right w:val="single" w:sz="4" w:color="D6DFEF"/>
            </w:tcBorders>
            <w:shd w:fill="EEF3FB"/>
          </w:tcPr>
          <w:p>
            <w:pPr>
              <w:spacing w:after="0"/>
            </w:pPr>
            <w:r>
              <w:rPr>
                <w:b/>
                <w:i w:val="0"/>
                <w:color w:val="1E3F73"/>
                <w:sz w:val="17"/>
              </w:rPr>
              <w:t>Monto asociado — Etapa 3</w:t>
            </w:r>
          </w:p>
        </w:tc>
        <w:tc>
          <w:tcPr>
            <w:tcW w:type="dxa" w:w="2891"/>
            <w:tcMar>
              <w:top w:w="50" w:type="dxa"/>
              <w:start w:w="120" w:type="dxa"/>
              <w:bottom w:w="50" w:type="dxa"/>
              <w:end w:w="120" w:type="dxa"/>
            </w:tcMar>
            <w:tcBorders>
              <w:top w:val="single" w:sz="4" w:color="D6DFEF"/>
              <w:left w:val="single" w:sz="4" w:color="D6DFEF"/>
              <w:bottom w:val="single" w:sz="4" w:color="D6DFEF"/>
              <w:right w:val="single" w:sz="4" w:color="D6DFEF"/>
            </w:tcBorders>
            <w:shd w:fill="EEF3FB"/>
          </w:tcPr>
          <w:p>
            <w:pPr>
              <w:spacing w:after="0"/>
              <w:jc w:val="right"/>
            </w:pPr>
            <w:r>
              <w:rPr>
                <w:b/>
                <w:i w:val="0"/>
                <w:color w:val="1E3F73"/>
                <w:sz w:val="17"/>
              </w:rPr>
              <w:t>$ 5.480.000,00</w:t>
            </w:r>
          </w:p>
        </w:tc>
      </w:tr>
      <w:tr>
        <w:tc>
          <w:tcPr>
            <w:tcW w:type="dxa" w:w="6690"/>
            <w:tcMar>
              <w:top w:w="50" w:type="dxa"/>
              <w:start w:w="120" w:type="dxa"/>
              <w:bottom w:w="50" w:type="dxa"/>
              <w:end w:w="120" w:type="dxa"/>
            </w:tcMar>
            <w:tcBorders>
              <w:top w:val="single" w:sz="4" w:color="D6DFEF"/>
              <w:left w:val="single" w:sz="4" w:color="D6DFEF"/>
              <w:bottom w:val="single" w:sz="4" w:color="D6DFEF"/>
              <w:right w:val="single" w:sz="4" w:color="D6DFEF"/>
            </w:tcBorders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Etapa 1 — aprobada y facturada (30 %) · Factura B 00002-00000853</w:t>
            </w:r>
          </w:p>
        </w:tc>
        <w:tc>
          <w:tcPr>
            <w:tcW w:type="dxa" w:w="2891"/>
            <w:tcMar>
              <w:top w:w="50" w:type="dxa"/>
              <w:start w:w="120" w:type="dxa"/>
              <w:bottom w:w="50" w:type="dxa"/>
              <w:end w:w="120" w:type="dxa"/>
            </w:tcMar>
            <w:tcBorders>
              <w:top w:val="single" w:sz="4" w:color="D6DFEF"/>
              <w:left w:val="single" w:sz="4" w:color="D6DFEF"/>
              <w:bottom w:val="single" w:sz="4" w:color="D6DFEF"/>
              <w:right w:val="single" w:sz="4" w:color="D6DFEF"/>
            </w:tcBorders>
          </w:tcPr>
          <w:p>
            <w:pPr>
              <w:spacing w:after="0"/>
              <w:jc w:val="right"/>
            </w:pPr>
            <w:r>
              <w:rPr>
                <w:b w:val="0"/>
                <w:i w:val="0"/>
                <w:sz w:val="17"/>
              </w:rPr>
              <w:t>$ 8.220.000,00</w:t>
            </w:r>
          </w:p>
        </w:tc>
      </w:tr>
      <w:tr>
        <w:tc>
          <w:tcPr>
            <w:tcW w:type="dxa" w:w="6690"/>
            <w:tcMar>
              <w:top w:w="50" w:type="dxa"/>
              <w:start w:w="120" w:type="dxa"/>
              <w:bottom w:w="50" w:type="dxa"/>
              <w:end w:w="120" w:type="dxa"/>
            </w:tcMar>
            <w:tcBorders>
              <w:top w:val="single" w:sz="4" w:color="D6DFEF"/>
              <w:left w:val="single" w:sz="4" w:color="D6DFEF"/>
              <w:bottom w:val="single" w:sz="4" w:color="D6DFEF"/>
              <w:right w:val="single" w:sz="4" w:color="D6DFEF"/>
            </w:tcBorders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Etapa 2 — aprobada y facturada (35 %) · Factura B 00002-00000854</w:t>
            </w:r>
          </w:p>
        </w:tc>
        <w:tc>
          <w:tcPr>
            <w:tcW w:type="dxa" w:w="2891"/>
            <w:tcMar>
              <w:top w:w="50" w:type="dxa"/>
              <w:start w:w="120" w:type="dxa"/>
              <w:bottom w:w="50" w:type="dxa"/>
              <w:end w:w="120" w:type="dxa"/>
            </w:tcMar>
            <w:tcBorders>
              <w:top w:val="single" w:sz="4" w:color="D6DFEF"/>
              <w:left w:val="single" w:sz="4" w:color="D6DFEF"/>
              <w:bottom w:val="single" w:sz="4" w:color="D6DFEF"/>
              <w:right w:val="single" w:sz="4" w:color="D6DFEF"/>
            </w:tcBorders>
          </w:tcPr>
          <w:p>
            <w:pPr>
              <w:spacing w:after="0"/>
              <w:jc w:val="right"/>
            </w:pPr>
            <w:r>
              <w:rPr>
                <w:b w:val="0"/>
                <w:i w:val="0"/>
                <w:sz w:val="17"/>
              </w:rPr>
              <w:t>$ 9.590.000,00</w:t>
            </w:r>
          </w:p>
        </w:tc>
      </w:tr>
      <w:tr>
        <w:tc>
          <w:tcPr>
            <w:tcW w:type="dxa" w:w="6690"/>
            <w:tcMar>
              <w:top w:w="50" w:type="dxa"/>
              <w:start w:w="120" w:type="dxa"/>
              <w:bottom w:w="50" w:type="dxa"/>
              <w:end w:w="120" w:type="dxa"/>
            </w:tcMar>
            <w:tcBorders>
              <w:top w:val="single" w:sz="4" w:color="D6DFEF"/>
              <w:left w:val="single" w:sz="4" w:color="D6DFEF"/>
              <w:bottom w:val="single" w:sz="4" w:color="D6DFEF"/>
              <w:right w:val="single" w:sz="4" w:color="D6DFEF"/>
            </w:tcBorders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Monto aprobado y facturado — Etapas 1 y 2 (65 %)</w:t>
            </w:r>
          </w:p>
        </w:tc>
        <w:tc>
          <w:tcPr>
            <w:tcW w:type="dxa" w:w="2891"/>
            <w:tcMar>
              <w:top w:w="50" w:type="dxa"/>
              <w:start w:w="120" w:type="dxa"/>
              <w:bottom w:w="50" w:type="dxa"/>
              <w:end w:w="120" w:type="dxa"/>
            </w:tcMar>
            <w:tcBorders>
              <w:top w:val="single" w:sz="4" w:color="D6DFEF"/>
              <w:left w:val="single" w:sz="4" w:color="D6DFEF"/>
              <w:bottom w:val="single" w:sz="4" w:color="D6DFEF"/>
              <w:right w:val="single" w:sz="4" w:color="D6DFEF"/>
            </w:tcBorders>
          </w:tcPr>
          <w:p>
            <w:pPr>
              <w:spacing w:after="0"/>
              <w:jc w:val="right"/>
            </w:pPr>
            <w:r>
              <w:rPr>
                <w:b w:val="0"/>
                <w:i w:val="0"/>
                <w:sz w:val="17"/>
              </w:rPr>
              <w:t>$ 17.810.000,00</w:t>
            </w:r>
          </w:p>
        </w:tc>
      </w:tr>
      <w:tr>
        <w:tc>
          <w:tcPr>
            <w:tcW w:type="dxa" w:w="6690"/>
            <w:tcMar>
              <w:top w:w="50" w:type="dxa"/>
              <w:start w:w="120" w:type="dxa"/>
              <w:bottom w:w="50" w:type="dxa"/>
              <w:end w:w="120" w:type="dxa"/>
            </w:tcMar>
            <w:tcBorders>
              <w:top w:val="single" w:sz="4" w:color="D6DFEF"/>
              <w:left w:val="single" w:sz="4" w:color="D6DFEF"/>
              <w:bottom w:val="single" w:sz="4" w:color="D6DFEF"/>
              <w:right w:val="single" w:sz="4" w:color="D6DFEF"/>
            </w:tcBorders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Etapa 3 — entregables completados (20 %)</w:t>
            </w:r>
          </w:p>
        </w:tc>
        <w:tc>
          <w:tcPr>
            <w:tcW w:type="dxa" w:w="2891"/>
            <w:tcMar>
              <w:top w:w="50" w:type="dxa"/>
              <w:start w:w="120" w:type="dxa"/>
              <w:bottom w:w="50" w:type="dxa"/>
              <w:end w:w="120" w:type="dxa"/>
            </w:tcMar>
            <w:tcBorders>
              <w:top w:val="single" w:sz="4" w:color="D6DFEF"/>
              <w:left w:val="single" w:sz="4" w:color="D6DFEF"/>
              <w:bottom w:val="single" w:sz="4" w:color="D6DFEF"/>
              <w:right w:val="single" w:sz="4" w:color="D6DFEF"/>
            </w:tcBorders>
          </w:tcPr>
          <w:p>
            <w:pPr>
              <w:spacing w:after="0"/>
              <w:jc w:val="right"/>
            </w:pPr>
            <w:r>
              <w:rPr>
                <w:b w:val="0"/>
                <w:i w:val="0"/>
                <w:sz w:val="17"/>
              </w:rPr>
              <w:t>$ 5.480.000,00</w:t>
            </w:r>
          </w:p>
        </w:tc>
      </w:tr>
      <w:tr>
        <w:tc>
          <w:tcPr>
            <w:tcW w:type="dxa" w:w="6690"/>
            <w:tcMar>
              <w:top w:w="50" w:type="dxa"/>
              <w:start w:w="120" w:type="dxa"/>
              <w:bottom w:w="50" w:type="dxa"/>
              <w:end w:w="120" w:type="dxa"/>
            </w:tcMar>
            <w:tcBorders>
              <w:top w:val="single" w:sz="4" w:color="D6DFEF"/>
              <w:left w:val="single" w:sz="4" w:color="D6DFEF"/>
              <w:bottom w:val="single" w:sz="4" w:color="D6DFEF"/>
              <w:right w:val="single" w:sz="4" w:color="D6DFEF"/>
            </w:tcBorders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Acumulado contractual — Etapas 1 a 3 (85 %)</w:t>
            </w:r>
          </w:p>
        </w:tc>
        <w:tc>
          <w:tcPr>
            <w:tcW w:type="dxa" w:w="2891"/>
            <w:tcMar>
              <w:top w:w="50" w:type="dxa"/>
              <w:start w:w="120" w:type="dxa"/>
              <w:bottom w:w="50" w:type="dxa"/>
              <w:end w:w="120" w:type="dxa"/>
            </w:tcMar>
            <w:tcBorders>
              <w:top w:val="single" w:sz="4" w:color="D6DFEF"/>
              <w:left w:val="single" w:sz="4" w:color="D6DFEF"/>
              <w:bottom w:val="single" w:sz="4" w:color="D6DFEF"/>
              <w:right w:val="single" w:sz="4" w:color="D6DFEF"/>
            </w:tcBorders>
          </w:tcPr>
          <w:p>
            <w:pPr>
              <w:spacing w:after="0"/>
              <w:jc w:val="right"/>
            </w:pPr>
            <w:r>
              <w:rPr>
                <w:b w:val="0"/>
                <w:i w:val="0"/>
                <w:sz w:val="17"/>
              </w:rPr>
              <w:t>$ 23.290.000,00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9E8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8" w:color="D3A300"/>
              <w:left w:val="single" w:sz="8" w:color="D3A300"/>
              <w:bottom w:val="single" w:sz="8" w:color="D3A300"/>
              <w:right w:val="single" w:sz="8" w:color="D3A300"/>
            </w:tcBorders>
          </w:tcPr>
          <w:p>
            <w:pPr>
              <w:spacing w:after="0"/>
              <w:jc w:val="both"/>
            </w:pPr>
            <w:r>
              <w:rPr>
                <w:b w:val="0"/>
                <w:i w:val="0"/>
                <w:sz w:val="18"/>
              </w:rPr>
              <w:t>Se solicita tener por presentado este informe, tener por cumplidos integralmente los entregables de la Etapa 3 y otorgar la conformidad correspondiente. El monto contractual de la etapa es de pesos cinco millones cuatrocientos ochenta mil ($ 5.480.000,00), IVA incluido.</w:t>
            </w:r>
          </w:p>
        </w:tc>
      </w:tr>
    </w:tbl>
    <w:p>
      <w:pPr>
        <w:spacing w:before="200"/>
      </w:pPr>
      <w:r>
        <w:rPr>
          <w:b w:val="0"/>
          <w:i w:val="0"/>
        </w:rPr>
        <w:t>Sin otro particular, saluda atentamente.</w:t>
      </w:r>
    </w:p>
    <w:p>
      <w:pPr>
        <w:spacing w:before="400" w:after="0"/>
      </w:pPr>
      <w:r>
        <w:rPr>
          <w:b w:val="0"/>
          <w:i w:val="0"/>
          <w:color w:val="666666"/>
        </w:rPr>
        <w:t>________________________________________</w:t>
      </w:r>
    </w:p>
    <w:p>
      <w:pPr>
        <w:spacing w:after="0"/>
      </w:pPr>
      <w:r>
        <w:rPr>
          <w:b/>
          <w:i w:val="0"/>
        </w:rPr>
        <w:t>Martín Santos</w:t>
      </w:r>
    </w:p>
    <w:p>
      <w:pPr>
        <w:spacing w:after="0"/>
      </w:pPr>
      <w:r>
        <w:rPr>
          <w:b w:val="0"/>
          <w:i/>
          <w:color w:val="666666"/>
          <w:sz w:val="16"/>
        </w:rPr>
        <w:t>Presidente — ULTIMA MILLA S.A.  ·  D.N.I. / C.U.I.T. responsable técnico</w:t>
      </w:r>
    </w:p>
    <w:sectPr w:rsidR="00FC693F" w:rsidRPr="0006063C" w:rsidSect="00034616">
      <w:footerReference w:type="default" r:id="rId9"/>
      <w:pgSz w:w="11906" w:h="16838"/>
      <w:pgMar w:top="935" w:right="1020" w:bottom="935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b w:val="0"/>
        <w:i w:val="0"/>
        <w:color w:val="888888"/>
        <w:sz w:val="14"/>
      </w:rPr>
      <w:t>Exp. PLIEG-2025-07544314-GDEMZA-DGFA#SAYOT  |  CUIT DGFA: 30-70829827-8  |  ULTIMA MILLA S.A.  |  SITREP v2026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7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E3F7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E3F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E3F73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1E3F73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