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pBdr>
          <w:bottom w:val="single" w:color="DC2626" w:sz="10" w:space="6"/>
        </w:pBdr>
        <w:tabs>
          <w:tab w:val="right" w:pos="9026"/>
        </w:tabs>
        <w:spacing w:after="120" w:before="0"/>
      </w:pPr>
      <w:r>
        <w:rPr>
          <w:rFonts w:ascii="Poppins" w:cs="Poppins" w:eastAsia="Poppins" w:hAnsi="Poppins"/>
          <w:b/>
          <w:bCs/>
          <w:color w:val="000000"/>
          <w:sz w:val="72"/>
          <w:szCs w:val="72"/>
        </w:rPr>
        <w:t xml:space="preserve">ultimamilla</w:t>
      </w:r>
      <w:r>
        <w:rPr>
          <w:rFonts w:ascii="Poppins" w:cs="Poppins" w:eastAsia="Poppins" w:hAnsi="Poppins"/>
          <w:b/>
          <w:bCs/>
          <w:color w:val="DC2626"/>
          <w:sz w:val="72"/>
          <w:szCs w:val="72"/>
        </w:rPr>
        <w:t xml:space="preserve">.</w:t>
      </w:r>
      <w:r>
        <w:rPr>
          <w:rFonts w:ascii="Poppins" w:cs="Poppins" w:eastAsia="Poppins" w:hAnsi="Poppins"/>
          <w:b/>
          <w:bCs/>
          <w:color w:val="000000"/>
          <w:sz w:val="72"/>
          <w:szCs w:val="72"/>
        </w:rPr>
        <w:t xml:space="preserve">com</w:t>
      </w:r>
      <w:r>
        <w:rPr>
          <w:rFonts w:ascii="Poppins" w:cs="Poppins" w:eastAsia="Poppins" w:hAnsi="Poppins"/>
          <w:b/>
          <w:bCs/>
          <w:color w:val="DC2626"/>
          <w:sz w:val="72"/>
          <w:szCs w:val="72"/>
        </w:rPr>
        <w:t xml:space="preserve">.</w:t>
      </w:r>
      <w:r>
        <w:rPr>
          <w:rFonts w:ascii="Poppins" w:cs="Poppins" w:eastAsia="Poppins" w:hAnsi="Poppins"/>
          <w:b/>
          <w:bCs/>
          <w:color w:val="000000"/>
          <w:sz w:val="72"/>
          <w:szCs w:val="72"/>
        </w:rPr>
        <w:t xml:space="preserve">ar</w:t>
      </w:r>
      <w:r>
        <w:rPr>
          <w:rFonts w:ascii="Arial" w:cs="Arial" w:eastAsia="Arial" w:hAnsi="Arial"/>
        </w:rPr>
        <w:t xml:space="preserve">	</w:t>
      </w:r>
      <w:r>
        <w:rPr>
          <w:rFonts w:ascii="Poppins" w:cs="Poppins" w:eastAsia="Poppins" w:hAnsi="Poppins"/>
          <w:b/>
          <w:bCs/>
          <w:color w:val="000000"/>
          <w:sz w:val="28"/>
          <w:szCs w:val="28"/>
        </w:rPr>
        <w:t xml:space="preserve">NOTA BLOG  N.º 001/2026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Tu propio ChatGPT, en tu servidor, en pesos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URL publicación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ultimamilla.com.ar/blog/ia-local-llm-pymes-argentina-2026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Categoría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Inteligencia Artificial — Open Source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Fecha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23 de Abril, 2026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Autor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Equipo Última Milla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Tiempo de lectura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9 minutos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Palabras clave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Ollama, LLM local, IA open source, PyMEs Argentina</w:t>
            </w:r>
          </w:p>
        </w:tc>
      </w:tr>
    </w:tbl>
    <w:p>
      <w:pPr>
        <w:spacing w:after="200" w:before="0"/>
      </w:pPr>
    </w:p>
    <w:p>
      <w:pPr>
        <w:spacing w:after="80" w:before="0"/>
        <w:jc w:val="center"/>
      </w:pPr>
      <w:r>
        <w:rPr>
          <w:rFonts w:ascii="Poppins" w:cs="Poppins" w:eastAsia="Poppins" w:hAnsi="Poppins"/>
          <w:b/>
          <w:bCs/>
          <w:color w:val="DC2626"/>
          <w:sz w:val="18"/>
          <w:szCs w:val="18"/>
        </w:rPr>
        <w:t xml:space="preserve">SERIE: TECNOLOGÍA ABIERTA PARA ORGANIZACIONES ARGENTINAS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DDDD" w:val="clear"/>
          </w:tcPr>
          <w:p/>
        </w:tc>
        <w:tc>
          <w:tcPr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"Hay un dato que muy pocos ejecutivos argentinos conocen: GPT-4o procesa tus datos en servidores en los Estados Unidos. Cada prompt que enviás —con información de clientes, estrategias comerciales, documentos internos— atraviesa el Atlántico digital hacia servidores de Microsoft Azure. Y cada token tiene un precio en dólares."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6C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DDD" w:sz="4"/>
              <w:left w:val="none" w:color="FFFFFF" w:sz="0"/>
              <w:bottom w:val="single" w:color="DC2626" w:sz="6"/>
              <w:right w:val="single" w:color="DDDDDD" w:sz="4"/>
            </w:tcBorders>
            <w:shd w:fill="F5F5F5" w:val="clear"/>
            <w:tcMar>
              <w:top w:type="dxa" w:w="70"/>
              <w:left w:type="dxa" w:w="200"/>
              <w:bottom w:type="dxa" w:w="7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4"/>
                <w:szCs w:val="24"/>
              </w:rPr>
              <w:t xml:space="preserve">EL COSTO QUE NADIE MIDE (HASTA QUE ALGUIEN LO MIDE)</w:t>
            </w:r>
          </w:p>
        </w:tc>
      </w:tr>
    </w:tbl>
    <w:p>
      <w:pPr>
        <w:spacing w:after="10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es una crítica a OpenAI. Es una descripción de la arquitectura. El problema para las PyMEs argentinas no es que el servicio sea "malo": es que en 2026 esa dependencia tiene alternativas concretas, maduras y —con el setup correcto— igualmente potentes. Y la diferencia de costo puede llegar a $4.300 dólares por año para una empresa de tamaño medio.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Calculemos con números conservadores. Una empresa de 50 personas genera aproximadamente: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26"/>
      </w:tblGrid>
      <w:tr>
        <w:trPr>
          <w:tblHeader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USD/mes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ARS/mes (abr. 2026)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ChatGPT Plus × 10 usuarios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$200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$260.000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API propia (~5M tokens/mes)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$180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$234.000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GitHub Copilot + herramientas IA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$120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$156.000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ANUAL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$6.000 USD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~$7.800.000 ARS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es un número que arruina a nadie. Pero tampoco compra mucho: acceso a un modelo que no conoce el contexto de tu industria, que no tiene memoria de tus procesos, y que procesa datos sensibles en infraestructura de terceros. En sectores como salud, derecho o finanzas, ese último punto deja de ser una preferencia y se convierte en un riesgo regulatorio.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6C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DDD" w:sz="4"/>
              <w:left w:val="none" w:color="FFFFFF" w:sz="0"/>
              <w:bottom w:val="single" w:color="DC2626" w:sz="6"/>
              <w:right w:val="single" w:color="DDDDDD" w:sz="4"/>
            </w:tcBorders>
            <w:shd w:fill="F5F5F5" w:val="clear"/>
            <w:tcMar>
              <w:top w:type="dxa" w:w="70"/>
              <w:left w:type="dxa" w:w="200"/>
              <w:bottom w:type="dxa" w:w="7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4"/>
                <w:szCs w:val="24"/>
              </w:rPr>
              <w:t xml:space="preserve">EL STACK DE IA LOCAL EN 2026: MADURO, FUNCIONAL, ARGENTINO</w:t>
            </w:r>
          </w:p>
        </w:tc>
      </w:tr>
    </w:tbl>
    <w:p>
      <w:pPr>
        <w:spacing w:after="10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ecosistema de IA open source maduró de forma extraordinaria entre 2024 y 2026. Ya no estamos hablando de proyectos experimentales que requieren un PhD para configurar. Estas son las herramientas que efectivamente usamos en producción con clientes: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Reemplaza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Ollama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Motor local de LLMs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OpenAI API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Open WebUI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Interfaz web para usuarios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ChatGPT Plus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AnythingLLM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RAG sobre documentos propios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ChatGPT + Notion AI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Flowise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Flujos de IA sin código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ChatGPT Plugins / Zapier AI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Langfuse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Observabilidad y métricas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OpenAI Dashboard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C0" w:val="clear"/>
          </w:tcPr>
          <w:p/>
        </w:tc>
        <w:tc>
          <w:tcPr>
            <w:tcBorders>
              <w:top w:val="single" w:color="1A56C0" w:sz="4"/>
              <w:left w:val="none" w:color="FFFFFF" w:sz="0"/>
              <w:bottom w:val="single" w:color="1A56C0" w:sz="4"/>
              <w:right w:val="single" w:color="1A56C0" w:sz="4"/>
            </w:tcBorders>
            <w:shd w:fill="EFF4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Llama 3.3 70B cuantizado en 4-bit tiene rendimiento comparable a GPT-4 Turbo en benchmarks de razonamiento y código. La diferencia está en el costo: uno se paga por token en dólares, el otro corre en hardware que ya amortizaste. (Fuente: Meta AI / MMLU Benchmark 2025)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6C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DDD" w:sz="4"/>
              <w:left w:val="none" w:color="FFFFFF" w:sz="0"/>
              <w:bottom w:val="single" w:color="DC2626" w:sz="6"/>
              <w:right w:val="single" w:color="DDDDDD" w:sz="4"/>
            </w:tcBorders>
            <w:shd w:fill="F5F5F5" w:val="clear"/>
            <w:tcMar>
              <w:top w:type="dxa" w:w="70"/>
              <w:left w:type="dxa" w:w="200"/>
              <w:bottom w:type="dxa" w:w="7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4"/>
                <w:szCs w:val="24"/>
              </w:rPr>
              <w:t xml:space="preserve">CASO DE USO: ESTUDIO ANDINO — IA PRIVADA EN 90 DÍAS</w:t>
            </w:r>
          </w:p>
        </w:tc>
      </w:tr>
    </w:tbl>
    <w:p>
      <w:pPr>
        <w:spacing w:after="10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Estudio Andino es una firma legal mendocina de 35 profesionales que maneja casos de derecho corporativo, laboral y societario. En octubre de 2025 enfrentaron un problema concreto: el 60% de los prompts que procesaban por ChatGPT involucraban datos de clientes —contratos, situaciones patrimoniales, litigios activos.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riesgo no era solo de privacidad. Era de confidencialidad profesional. En Argentina, el secreto profesional del abogado está regulado por el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Art. 156 del Código Penal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Enviar información de clientes a servidores externos sin su consentimiento explícito es, por lo menos, un riesgo legal que ningún estudio debería asumir.</w:t>
      </w: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solución implementada con Última Milla en 90 días: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Hardware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Dell PowerEdge R7525 — 2×NVIDIA A100 40GB (reacondicionado, $8.500 USD)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Modelo LLM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Llama 3.3 70B cuantizado 4-bit (calidad GPT-4-equivalent)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Stack software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Ollama + Open WebUI + AnythingLLM (Docker Compose)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Base de conocimiento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1.200 documentos: plantillas, jurisprudencia AR, procedimientos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Integración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Conector con sistema de gestión de expedientes existente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Usuarios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35 profesionales — adopción diaria: 87%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Resultados a 6 meses de producción: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Ahorro mensual vs. APIs externas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$380 USD/mes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Reducción tiempo consultas internas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−40%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Datos confidenciales procesados on-premise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Break-even del hardware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28 meses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Costo total implementación (90 días)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$11.200 USD (hardware + implementación)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6C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DDD" w:sz="4"/>
              <w:left w:val="none" w:color="FFFFFF" w:sz="0"/>
              <w:bottom w:val="single" w:color="DC2626" w:sz="6"/>
              <w:right w:val="single" w:color="DDDDDD" w:sz="4"/>
            </w:tcBorders>
            <w:shd w:fill="F5F5F5" w:val="clear"/>
            <w:tcMar>
              <w:top w:type="dxa" w:w="70"/>
              <w:left w:type="dxa" w:w="200"/>
              <w:bottom w:type="dxa" w:w="7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4"/>
                <w:szCs w:val="24"/>
              </w:rPr>
              <w:t xml:space="preserve">LO QUE NADIE TE DICE: LA PARTE HONESTA</w:t>
            </w:r>
          </w:p>
        </w:tc>
      </w:tr>
    </w:tbl>
    <w:p>
      <w:pPr>
        <w:spacing w:after="10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Los LLMs locales tienen limitaciones reales. Es importante conocerlas antes de comprometer un presupuesto: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</w:tcPr>
          <w:p/>
        </w:tc>
        <w:tc>
          <w:tcPr>
            <w:tcBorders>
              <w:top w:val="single" w:color="DC2626" w:sz="4"/>
              <w:left w:val="none" w:color="FFFFFF" w:sz="0"/>
              <w:bottom w:val="single" w:color="DC2626" w:sz="4"/>
              <w:right w:val="single" w:color="DC2626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! Los modelos open source son excelentes, pero no en todo. Llama 3.3 70B es muy bueno en razonamiento, código y análisis de documentos. En tareas que requieren razonamiento matemático avanzado complejo, GPT-4o todavía lleva ventaja. La solución híbrida (local para tareas sensibles o repetitivas, cloud para casos complejos) suele ser la respuesta más inteligente.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</w:tcPr>
          <w:p/>
        </w:tc>
        <w:tc>
          <w:tcPr>
            <w:tcBorders>
              <w:top w:val="single" w:color="DC2626" w:sz="4"/>
              <w:left w:val="none" w:color="FFFFFF" w:sz="0"/>
              <w:bottom w:val="single" w:color="DC2626" w:sz="4"/>
              <w:right w:val="single" w:color="DC2626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! El hardware tiene costo upfront. Un setup robusto para 50 usuarios cuesta entre $5.000 y $15.000 USD. El break-even frente a APIs externas ocurre entre 18 y 36 meses según el volumen de uso. Para empresas con uso muy bajo, puede no tener sentido.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</w:tcPr>
          <w:p/>
        </w:tc>
        <w:tc>
          <w:tcPr>
            <w:tcBorders>
              <w:top w:val="single" w:color="DC2626" w:sz="4"/>
              <w:left w:val="none" w:color="FFFFFF" w:sz="0"/>
              <w:bottom w:val="single" w:color="DC2626" w:sz="4"/>
              <w:right w:val="single" w:color="DC2626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! Necesitás mantenimiento. Los modelos se actualizan. La infraestructura requiere monitoreo. No es "instalar y olvidar". Alguien en el equipo IT o un partner externo tiene que gestionar esto. Última Milla ofrece contratos de soporte mensual exactamente para esto.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6C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DDD" w:sz="4"/>
              <w:left w:val="none" w:color="FFFFFF" w:sz="0"/>
              <w:bottom w:val="single" w:color="DC2626" w:sz="6"/>
              <w:right w:val="single" w:color="DDDDDD" w:sz="4"/>
            </w:tcBorders>
            <w:shd w:fill="F5F5F5" w:val="clear"/>
            <w:tcMar>
              <w:top w:type="dxa" w:w="70"/>
              <w:left w:type="dxa" w:w="200"/>
              <w:bottom w:type="dxa" w:w="7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4"/>
                <w:szCs w:val="24"/>
              </w:rPr>
              <w:t xml:space="preserve">5 PREGUNTAS PARA SABER SI TU ORGANIZACIÓN ES CANDIDATA</w:t>
            </w:r>
          </w:p>
        </w:tc>
      </w:tr>
    </w:tbl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200"/>
        <w:gridCol w:w="4526"/>
      </w:tblGrid>
      <w:tr>
        <w:trPr>
          <w:tblHeader/>
        </w:trP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Señal de viabilidad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¿Qué % de prompts contiene datos confidenciales?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Más del 30% → caso fuerte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¿Cuántos tokens procesás por mes?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Más de 3M tokens/mes → break-even &lt; 24 meses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¿Tenés servidor propio o datacenter local?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Sí → deploy inmediato posible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¿Necesitás análisis de imágenes frecuente?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Raramente → no es bloqueante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¿Tu IT puede gestionar una app dockerizada?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Sí → deployment en &lt; 1 día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DDDD" w:val="clear"/>
          </w:tcPr>
          <w:p/>
        </w:tc>
        <w:tc>
          <w:tcPr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"El software libre no es el software que no vale nada. Es el software que le devuelve el poder de decisión a quien lo usa. Y en Argentina, en 2026, eso tiene un valor que se puede calcular en dólares: exactamente los que no le estás pagando a OpenAI este mes."
— Martín Santos, Última Milla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6C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DDD" w:sz="4"/>
              <w:left w:val="none" w:color="FFFFFF" w:sz="0"/>
              <w:bottom w:val="single" w:color="DC2626" w:sz="6"/>
              <w:right w:val="single" w:color="DDDDDD" w:sz="4"/>
            </w:tcBorders>
            <w:shd w:fill="F5F5F5" w:val="clear"/>
            <w:tcMar>
              <w:top w:type="dxa" w:w="70"/>
              <w:left w:type="dxa" w:w="200"/>
              <w:bottom w:type="dxa" w:w="7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4"/>
                <w:szCs w:val="24"/>
              </w:rPr>
              <w:t xml:space="preserve">FUENTES Y RECURSOS</w:t>
            </w:r>
          </w:p>
        </w:tc>
      </w:tr>
    </w:tbl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Ollama — Local AI platform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https://ollama.com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Open WebUI — GitHub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https://github.com/open-webui/open-webui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Meta AI — Llama 3.3 Model Card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https://ai.meta.com/llama/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OpenAI API Pricing 2026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https://openai.com/api/pricing/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AnythingLLM — Private AI workspace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https://anythingllm.com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Flowise — No-code AI builder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https://flowiseai.com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134" w:bottom="140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after="0" w:before="80"/>
    </w:pPr>
    <w:r>
      <w:rPr>
        <w:rFonts w:ascii="Poppins" w:cs="Poppins" w:eastAsia="Poppins" w:hAnsi="Poppins"/>
        <w:b/>
        <w:bCs/>
        <w:color w:val="DC2626"/>
        <w:sz w:val="16"/>
        <w:szCs w:val="16"/>
      </w:rPr>
      <w:t xml:space="preserve">www.ultimamilla.com.ar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5"/>
        <w:szCs w:val="15"/>
      </w:rPr>
      <w:t xml:space="preserve">Blog Tecnología Abierta  —  Pág.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  <w:spacing w:after="80" w:before="0"/>
    </w:pPr>
    <w:r>
      <w:rPr>
        <w:rFonts w:ascii="Poppins" w:cs="Poppins" w:eastAsia="Poppins" w:hAnsi="Poppins"/>
        <w:b/>
        <w:bCs/>
        <w:color w:val="000000"/>
        <w:sz w:val="18"/>
        <w:szCs w:val="18"/>
      </w:rPr>
      <w:t xml:space="preserve">ultimamilla</w:t>
    </w:r>
    <w:r>
      <w:rPr>
        <w:rFonts w:ascii="Poppins" w:cs="Poppins" w:eastAsia="Poppins" w:hAnsi="Poppins"/>
        <w:b/>
        <w:bCs/>
        <w:color w:val="DC2626"/>
        <w:sz w:val="18"/>
        <w:szCs w:val="18"/>
      </w:rPr>
      <w:t xml:space="preserve">.</w:t>
    </w:r>
    <w:r>
      <w:rPr>
        <w:rFonts w:ascii="Poppins" w:cs="Poppins" w:eastAsia="Poppins" w:hAnsi="Poppins"/>
        <w:b/>
        <w:bCs/>
        <w:color w:val="000000"/>
        <w:sz w:val="18"/>
        <w:szCs w:val="18"/>
      </w:rPr>
      <w:t xml:space="preserve">com</w:t>
    </w:r>
    <w:r>
      <w:rPr>
        <w:rFonts w:ascii="Poppins" w:cs="Poppins" w:eastAsia="Poppins" w:hAnsi="Poppins"/>
        <w:b/>
        <w:bCs/>
        <w:color w:val="DC2626"/>
        <w:sz w:val="18"/>
        <w:szCs w:val="18"/>
      </w:rPr>
      <w:t xml:space="preserve">.</w:t>
    </w:r>
    <w:r>
      <w:rPr>
        <w:rFonts w:ascii="Poppins" w:cs="Poppins" w:eastAsia="Poppins" w:hAnsi="Poppins"/>
        <w:b/>
        <w:bCs/>
        <w:color w:val="000000"/>
        <w:sz w:val="18"/>
        <w:szCs w:val="18"/>
      </w:rPr>
      <w:t xml:space="preserve">ar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NOTA BLOG N.º 001/2026  —  ultimamilla.com.ar/blog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2026-04-23T23:21:55.661Z</dcterms:created>
  <dcterms:modified xsi:type="dcterms:W3CDTF">2026-04-23T23:21:55.661Z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