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236"/>
            <w:shd w:fill="DC2626" w:val="clear"/>
          </w:tcPr>
          <w:p>
            <w:r>
              <w:rPr>
                <w:rFonts w:ascii="Poppins" w:hAnsi="Poppins"/>
                <w:b/>
                <w:color w:val="FFFFFF"/>
                <w:sz w:val="28"/>
              </w:rPr>
              <w:t>ULTIMA MILLA S.A.</w:t>
            </w:r>
          </w:p>
        </w:tc>
        <w:tc>
          <w:tcPr>
            <w:tcW w:type="dxa" w:w="2835"/>
            <w:shd w:fill="000000" w:val="clear"/>
          </w:tcPr>
          <w:p>
            <w:pPr>
              <w:jc w:val="right"/>
            </w:pPr>
            <w:r>
              <w:rPr>
                <w:rFonts w:ascii="Poppins" w:hAnsi="Poppins"/>
                <w:b/>
                <w:color w:val="FFFFFF"/>
                <w:sz w:val="20"/>
              </w:rPr>
              <w:t>BLOG · NOTICIAS</w:t>
            </w:r>
          </w:p>
        </w:tc>
      </w:tr>
    </w:tbl>
    <w:p/>
    <w:p>
      <w:pPr>
        <w:jc w:val="left"/>
      </w:pPr>
      <w:r>
        <w:rPr>
          <w:rFonts w:ascii="Poppins" w:hAnsi="Poppins"/>
          <w:b/>
          <w:color w:val="000000"/>
          <w:sz w:val="40"/>
        </w:rPr>
        <w:t>Ley 27.506: la pyme que factura 230 millones y no puede entrar al Régimen</w:t>
      </w:r>
    </w:p>
    <w:p>
      <w:r>
        <w:rPr>
          <w:rFonts w:ascii="Poppins" w:hAnsi="Poppins"/>
          <w:color w:val="6B7280"/>
          <w:sz w:val="18"/>
        </w:rPr>
        <w:t xml:space="preserve">Publicado: 2026-04-24  ·  Categoría: noticias  ·  </w:t>
      </w:r>
      <w:hyperlink r:id="rId9">
        <w:r>
          <w:rPr>
            <w:rFonts w:ascii="Poppins" w:hAnsi="Poppins"/>
            <w:color w:val="1A56C0"/>
            <w:u w:val="single"/>
          </w:rPr>
          <w:t xml:space="preserve">ver en el blog</w:t>
        </w:r>
      </w:hyperlink>
    </w:p>
    <w:p>
      <w:pPr>
        <w:pBdr>
          <w:bottom w:val="single" w:sz="12" w:space="1" w:color="DC2626"/>
        </w:pBdr>
      </w:pPr>
    </w:p>
    <w:p>
      <w:pPr>
        <w:spacing w:after="160"/>
      </w:pPr>
      <w:r>
        <w:rPr>
          <w:rFonts w:ascii="Poppins" w:hAnsi="Poppins"/>
          <w:b w:val="0"/>
          <w:color w:val="000000"/>
          <w:sz w:val="22"/>
        </w:rPr>
        <w:t>Leandro Ábalos tiene un estudio de 11 desarrolladores en Godoy Cruz, factura 230 millones de pesos por año y exporta cero. Sus clientes son dos cooperativas eléctricas provinciales, una empresa de logística y un municipio. En papel, es exactamente lo que la Ley 27.506 dice querer promover. En los hechos, no puede inscribirse. El problema no es el software — es la definición de "innovación" que pactó el legislador.</w:t>
      </w:r>
    </w:p>
    <w:p>
      <w:pPr>
        <w:spacing w:before="240" w:after="80"/>
      </w:pPr>
      <w:r>
        <w:rPr>
          <w:rFonts w:ascii="Poppins" w:hAnsi="Poppins"/>
          <w:b/>
          <w:color w:val="DC2626"/>
          <w:sz w:val="28"/>
        </w:rPr>
        <w:t>Qué exige el régimen, en términos de facturación real</w:t>
      </w:r>
    </w:p>
    <w:p>
      <w:pPr>
        <w:spacing w:after="160"/>
      </w:pPr>
      <w:r>
        <w:rPr>
          <w:rFonts w:ascii="Poppins" w:hAnsi="Poppins"/>
          <w:b w:val="0"/>
          <w:color w:val="000000"/>
          <w:sz w:val="22"/>
        </w:rPr>
        <w:t xml:space="preserve">La </w:t>
      </w:r>
      <w:hyperlink r:id="rId10">
        <w:r>
          <w:rPr>
            <w:rFonts w:ascii="Poppins" w:hAnsi="Poppins"/>
            <w:color w:val="1A56C0"/>
            <w:u w:val="single"/>
          </w:rPr>
          <w:t xml:space="preserve">Ley 27.506 de Economía del Conocimiento</w:t>
        </w:r>
      </w:hyperlink>
      <w:r>
        <w:rPr>
          <w:rFonts w:ascii="Poppins" w:hAnsi="Poppins"/>
          <w:b w:val="0"/>
          <w:color w:val="000000"/>
          <w:sz w:val="22"/>
        </w:rPr>
        <w:t xml:space="preserve"> obliga a cualquier empresa que quiera acceder — reducciones de contribuciones patronales, crédito fiscal, IVA más amigable — a cumplir </w:t>
      </w:r>
      <w:r>
        <w:rPr>
          <w:rFonts w:ascii="Poppins" w:hAnsi="Poppins"/>
          <w:b/>
          <w:color w:val="000000"/>
          <w:sz w:val="22"/>
        </w:rPr>
        <w:t>dos de cuatro criterios</w:t>
      </w:r>
      <w:r>
        <w:rPr>
          <w:rFonts w:ascii="Poppins" w:hAnsi="Poppins"/>
          <w:b w:val="0"/>
          <w:color w:val="000000"/>
          <w:sz w:val="22"/>
        </w:rPr>
        <w:t xml:space="preserve">. Uno es tener una norma de calidad reconocida (ISO, CMMI). Otro es capacitar al equipo con entre 1% y 5% de la masa salarial. El tercero es inversión en I+D de entre 1% y 3% de la facturación. Y el cuarto, el más letal para el interior, es </w:t>
      </w:r>
      <w:r>
        <w:rPr>
          <w:rFonts w:ascii="Poppins" w:hAnsi="Poppins"/>
          <w:b/>
          <w:color w:val="000000"/>
          <w:sz w:val="22"/>
        </w:rPr>
        <w:t>exportar al menos 4% de la facturación si sos microempresa y 10% si sos pyme</w:t>
      </w:r>
      <w:r>
        <w:rPr>
          <w:rFonts w:ascii="Poppins" w:hAnsi="Poppins"/>
          <w:b w:val="0"/>
          <w:color w:val="000000"/>
          <w:sz w:val="22"/>
        </w:rPr>
        <w:t>.</w:t>
      </w:r>
    </w:p>
    <w:p>
      <w:pPr>
        <w:spacing w:after="160"/>
      </w:pPr>
      <w:r>
        <w:rPr>
          <w:rFonts w:ascii="Poppins" w:hAnsi="Poppins"/>
          <w:b w:val="0"/>
          <w:color w:val="000000"/>
          <w:sz w:val="22"/>
        </w:rPr>
        <w:t>La matemática de Leandro: 230 millones × 10% = 23 millones de pesos anuales que tiene que mover a cuentas del exterior para calificar. Sus clientes pagan en pesos, en Argentina, con factura A. Para llegar a ese umbral tendría que conseguir una operación internacional — y al mismo tiempo seguir atendiendo al municipio que le da el 35% del negocio.</w:t>
      </w:r>
    </w:p>
    <w:p>
      <w:pPr>
        <w:spacing w:before="240" w:after="80"/>
      </w:pPr>
      <w:r>
        <w:rPr>
          <w:rFonts w:ascii="Poppins" w:hAnsi="Poppins"/>
          <w:b/>
          <w:color w:val="DC2626"/>
          <w:sz w:val="28"/>
        </w:rPr>
        <w:t>Por qué "buscar un cliente en Miami" no es la respuesta</w:t>
      </w:r>
    </w:p>
    <w:p>
      <w:pPr>
        <w:spacing w:after="160"/>
      </w:pPr>
      <w:r>
        <w:rPr>
          <w:rFonts w:ascii="Poppins" w:hAnsi="Poppins"/>
          <w:b w:val="0"/>
          <w:color w:val="000000"/>
          <w:sz w:val="22"/>
        </w:rPr>
        <w:t xml:space="preserve">La tentación obvia es sumar un cliente extranjero rápido: un trabajo freelance facturado a una empresa de Delaware, un subcontrato para una consultora uruguaya. Es lo que recomiendan la mitad de los contadores de Cuyo y Patagonia que hoy asesoran pymes de software. El problema es que el régimen </w:t>
      </w:r>
      <w:r>
        <w:rPr>
          <w:rFonts w:ascii="Poppins" w:hAnsi="Poppins"/>
          <w:b/>
          <w:color w:val="000000"/>
          <w:sz w:val="22"/>
        </w:rPr>
        <w:t>pide sostener el criterio año tras año</w:t>
      </w:r>
      <w:r>
        <w:rPr>
          <w:rFonts w:ascii="Poppins" w:hAnsi="Poppins"/>
          <w:b w:val="0"/>
          <w:color w:val="000000"/>
          <w:sz w:val="22"/>
        </w:rPr>
        <w:t>: si un año exportás 10% y al siguiente 6%, el beneficio se cae y hay que devolver créditos fiscales.</w:t>
      </w:r>
    </w:p>
    <w:p>
      <w:pPr>
        <w:spacing w:after="160"/>
      </w:pPr>
      <w:r>
        <w:rPr>
          <w:rFonts w:ascii="Poppins" w:hAnsi="Poppins"/>
          <w:b w:val="0"/>
          <w:color w:val="000000"/>
          <w:sz w:val="22"/>
        </w:rPr>
        <w:t xml:space="preserve">El segundo problema es la sobreestimación del "efecto exportación". </w:t>
      </w:r>
      <w:hyperlink r:id="rId11">
        <w:r>
          <w:rPr>
            <w:rFonts w:ascii="Poppins" w:hAnsi="Poppins"/>
            <w:color w:val="1A56C0"/>
            <w:u w:val="single"/>
          </w:rPr>
          <w:t xml:space="preserve">Argencon</w:t>
        </w:r>
      </w:hyperlink>
      <w:r>
        <w:rPr>
          <w:rFonts w:ascii="Poppins" w:hAnsi="Poppins"/>
          <w:b w:val="0"/>
          <w:color w:val="000000"/>
          <w:sz w:val="22"/>
        </w:rPr>
        <w:t xml:space="preserve"> muestra que el sector exportó alrededor de US$ 8.700 millones en 2024 — pero más del 80% se concentra en AMBA, Córdoba capital y Rosario. El interior profundo — Cuyo, NOA, Patagonia — representa menos del 7% del total exportado bajo el régimen.</w:t>
      </w:r>
    </w:p>
    <w:p>
      <w:pPr>
        <w:spacing w:before="240" w:after="80"/>
      </w:pPr>
      <w:r>
        <w:rPr>
          <w:rFonts w:ascii="Poppins" w:hAnsi="Poppins"/>
          <w:b/>
          <w:color w:val="DC2626"/>
          <w:sz w:val="28"/>
        </w:rPr>
        <w:t>La salida: calidad más I+D, sin pasar por la aduana</w:t>
      </w:r>
    </w:p>
    <w:p>
      <w:pPr>
        <w:spacing w:after="160"/>
      </w:pPr>
      <w:r>
        <w:rPr>
          <w:rFonts w:ascii="Poppins" w:hAnsi="Poppins"/>
          <w:b w:val="0"/>
          <w:color w:val="000000"/>
          <w:sz w:val="22"/>
        </w:rPr>
        <w:t xml:space="preserve">Hay una combinación que cumple los dos criterios sin exportar un dólar. Primero, una norma de calidad accesible: </w:t>
      </w:r>
      <w:r>
        <w:rPr>
          <w:rFonts w:ascii="Poppins" w:hAnsi="Poppins"/>
          <w:b/>
          <w:color w:val="000000"/>
          <w:sz w:val="22"/>
        </w:rPr>
        <w:t>ISO/IEC 27001</w:t>
      </w:r>
      <w:r>
        <w:rPr>
          <w:rFonts w:ascii="Poppins" w:hAnsi="Poppins"/>
          <w:b w:val="0"/>
          <w:color w:val="000000"/>
          <w:sz w:val="22"/>
        </w:rPr>
        <w:t xml:space="preserve"> (seguridad de la información) cuesta entre US$ 8.000 y US$ 15.000 la primera certificación para un estudio de 10 a 20 personas. Las reevaluaciones anuales son más baratas. Segundo, </w:t>
      </w:r>
      <w:r>
        <w:rPr>
          <w:rFonts w:ascii="Poppins" w:hAnsi="Poppins"/>
          <w:b/>
          <w:color w:val="000000"/>
          <w:sz w:val="22"/>
        </w:rPr>
        <w:t>1% a 2% de facturación</w:t>
      </w:r>
      <w:r>
        <w:rPr>
          <w:rFonts w:ascii="Poppins" w:hAnsi="Poppins"/>
          <w:b w:val="0"/>
          <w:color w:val="000000"/>
          <w:sz w:val="22"/>
        </w:rPr>
        <w:t xml:space="preserve"> destinado a I+D documentado: un producto propio, un módulo open source contribuido a un repositorio público, una capacitación de postgrado a cargo de la empresa.</w:t>
      </w:r>
    </w:p>
    <w:p>
      <w:pPr>
        <w:spacing w:after="160"/>
      </w:pPr>
      <w:r>
        <w:rPr>
          <w:rFonts w:ascii="Poppins" w:hAnsi="Poppins"/>
          <w:b w:val="0"/>
          <w:color w:val="000000"/>
          <w:sz w:val="22"/>
        </w:rPr>
        <w:t xml:space="preserve">Este es el camino que siguieron varias pymes del interior que hoy tienen contratos de trazabilidad, fiscalización electrónica y gestión clínica: construir un activo de propiedad intelectual propio sobre una base open source — PostgreSQL, Keycloak, NocoDB — y declararlo como desarrollo interno. En el caso de UMSA, </w:t>
      </w:r>
      <w:r>
        <w:rPr>
          <w:rFonts w:ascii="Poppins" w:hAnsi="Poppins"/>
          <w:b/>
          <w:color w:val="000000"/>
          <w:sz w:val="22"/>
        </w:rPr>
        <w:t>PSICOLE</w:t>
      </w:r>
      <w:r>
        <w:rPr>
          <w:rFonts w:ascii="Poppins" w:hAnsi="Poppins"/>
          <w:b w:val="0"/>
          <w:color w:val="000000"/>
          <w:sz w:val="22"/>
        </w:rPr>
        <w:t xml:space="preserve"> (gestión de historias clínicas psicológicas) es exactamente eso: un desarrollo verticalizado sobre stack abierto que permite justificar I+D sin tocar el criterio de exportación.</w:t>
      </w:r>
    </w:p>
    <w:p>
      <w:pPr>
        <w:spacing w:before="240" w:after="80"/>
      </w:pPr>
      <w:r>
        <w:rPr>
          <w:rFonts w:ascii="Poppins" w:hAnsi="Poppins"/>
          <w:b/>
          <w:color w:val="DC2626"/>
          <w:sz w:val="28"/>
        </w:rPr>
        <w:t>Lo que hay que mirar antes de inscribirse</w:t>
      </w:r>
    </w:p>
    <w:p>
      <w:pPr>
        <w:spacing w:after="160"/>
      </w:pPr>
      <w:r>
        <w:rPr>
          <w:rFonts w:ascii="Poppins" w:hAnsi="Poppins"/>
          <w:b/>
          <w:color w:val="000000"/>
          <w:sz w:val="22"/>
        </w:rPr>
        <w:t>El riesgo del control posterior.</w:t>
      </w:r>
      <w:r>
        <w:rPr>
          <w:rFonts w:ascii="Poppins" w:hAnsi="Poppins"/>
          <w:b w:val="0"/>
          <w:color w:val="000000"/>
          <w:sz w:val="22"/>
        </w:rPr>
        <w:t xml:space="preserve"> La inscripción no es un cheque en blanco: la autoridad de aplicación (</w:t>
      </w:r>
      <w:hyperlink r:id="rId12">
        <w:r>
          <w:rPr>
            <w:rFonts w:ascii="Poppins" w:hAnsi="Poppins"/>
            <w:color w:val="1A56C0"/>
            <w:u w:val="single"/>
          </w:rPr>
          <w:t xml:space="preserve">guía oficial</w:t>
        </w:r>
      </w:hyperlink>
      <w:r>
        <w:rPr>
          <w:rFonts w:ascii="Poppins" w:hAnsi="Poppins"/>
          <w:b w:val="0"/>
          <w:color w:val="000000"/>
          <w:sz w:val="22"/>
        </w:rPr>
        <w:t>) puede pedir papeles de respaldo en cualquier momento. Si declaraste 2% en I+D, tenés que tener timesheets, commits, papers, comprobantes. Muchas pymes se inscriben con un PDF armado en una tarde y caen en la primera auditoría.</w:t>
      </w:r>
    </w:p>
    <w:p>
      <w:pPr>
        <w:spacing w:after="160"/>
      </w:pPr>
      <w:r>
        <w:rPr>
          <w:rFonts w:ascii="Poppins" w:hAnsi="Poppins"/>
          <w:b/>
          <w:color w:val="000000"/>
          <w:sz w:val="22"/>
        </w:rPr>
        <w:t>El costo real de la norma de calidad.</w:t>
      </w:r>
      <w:r>
        <w:rPr>
          <w:rFonts w:ascii="Poppins" w:hAnsi="Poppins"/>
          <w:b w:val="0"/>
          <w:color w:val="000000"/>
          <w:sz w:val="22"/>
        </w:rPr>
        <w:t xml:space="preserve"> ISO 27001 es accesible pero exige trabajo: políticas de gestión, inventario de activos, análisis de riesgo. Si la contratás "para cumplir" con una consultora que te arma un cajón de papeles, llega la auditoría de seguimiento y la certificación se cae.</w:t>
      </w:r>
    </w:p>
    <w:p>
      <w:pPr>
        <w:spacing w:after="160"/>
      </w:pPr>
      <w:r>
        <w:rPr>
          <w:rFonts w:ascii="Poppins" w:hAnsi="Poppins"/>
          <w:b/>
          <w:color w:val="000000"/>
          <w:sz w:val="22"/>
        </w:rPr>
        <w:t>La estabilidad fiscal no cubre impuestos provinciales.</w:t>
      </w:r>
      <w:r>
        <w:rPr>
          <w:rFonts w:ascii="Poppins" w:hAnsi="Poppins"/>
          <w:b w:val="0"/>
          <w:color w:val="000000"/>
          <w:sz w:val="22"/>
        </w:rPr>
        <w:t xml:space="preserve"> El régimen garantiza estabilidad fiscal nacional, pero </w:t>
      </w:r>
      <w:r>
        <w:rPr>
          <w:rFonts w:ascii="Poppins" w:hAnsi="Poppins"/>
          <w:b/>
          <w:color w:val="000000"/>
          <w:sz w:val="22"/>
        </w:rPr>
        <w:t>no toca Ingresos Brutos</w:t>
      </w:r>
      <w:r>
        <w:rPr>
          <w:rFonts w:ascii="Poppins" w:hAnsi="Poppins"/>
          <w:b w:val="0"/>
          <w:color w:val="000000"/>
          <w:sz w:val="22"/>
        </w:rPr>
        <w:t>, que en Mendoza, Neuquén o Santa Fe se come entre 3% y 4% de cada factura. La ecuación económica puede ser menos espectacular de lo que promete el PDF promocional.</w:t>
      </w:r>
    </w:p>
    <w:p>
      <w:pPr>
        <w:spacing w:before="240" w:after="80"/>
      </w:pPr>
      <w:r>
        <w:rPr>
          <w:rFonts w:ascii="Poppins" w:hAnsi="Poppins"/>
          <w:b/>
          <w:color w:val="DC2626"/>
          <w:sz w:val="28"/>
        </w:rPr>
        <w:t>Para seguir leyendo</w:t>
      </w:r>
    </w:p>
    <w:p>
      <w:pPr>
        <w:pStyle w:val="ListBullet"/>
      </w:pPr>
      <w:hyperlink r:id="rId10">
        <w:r>
          <w:rPr>
            <w:rFonts w:ascii="Poppins" w:hAnsi="Poppins"/>
            <w:color w:val="1A56C0"/>
            <w:u w:val="single"/>
          </w:rPr>
          <w:t xml:space="preserve">Ley 27.506 — texto actualizado (Argentina.gob.ar)</w:t>
        </w:r>
      </w:hyperlink>
    </w:p>
    <w:p>
      <w:pPr>
        <w:pStyle w:val="ListBullet"/>
      </w:pPr>
      <w:hyperlink r:id="rId11">
        <w:r>
          <w:rPr>
            <w:rFonts w:ascii="Poppins" w:hAnsi="Poppins"/>
            <w:color w:val="1A56C0"/>
            <w:u w:val="single"/>
          </w:rPr>
          <w:t xml:space="preserve">Argencon — informe anual del sector Economía del Conocimiento</w:t>
        </w:r>
      </w:hyperlink>
    </w:p>
    <w:p>
      <w:pPr>
        <w:pStyle w:val="ListBullet"/>
      </w:pPr>
      <w:hyperlink r:id="rId12">
        <w:r>
          <w:rPr>
            <w:rFonts w:ascii="Poppins" w:hAnsi="Poppins"/>
            <w:color w:val="1A56C0"/>
            <w:u w:val="single"/>
          </w:rPr>
          <w:t xml:space="preserve">Acceder a los beneficios del régimen — guía oficial</w:t>
        </w:r>
      </w:hyperlink>
    </w:p>
    <w:p/>
    <w:p>
      <w:pPr>
        <w:jc w:val="center"/>
        <w:pBdr>
          <w:top w:val="single" w:sz="6" w:space="1" w:color="DC2626"/>
        </w:pBdr>
      </w:pPr>
      <w:r>
        <w:rPr>
          <w:rFonts w:ascii="Poppins" w:hAnsi="Poppins"/>
          <w:color w:val="6B7280"/>
          <w:sz w:val="18"/>
        </w:rPr>
        <w:t>ULTIMA MILLA S.A.  ·  www.ultimamilla.com.ar  ·  Infraestructura y software abiertos para pymes y organizaciones argentinas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ultimamilla.com.ar/blog/ley-27-506-la-pyme-que-factura-230-millones-y-no-puede-entrar-al-regimen" TargetMode="External"/><Relationship Id="rId10" Type="http://schemas.openxmlformats.org/officeDocument/2006/relationships/hyperlink" Target="https://www.argentina.gob.ar/normativa/nacional/ley-27506-324101/actualizacion" TargetMode="External"/><Relationship Id="rId11" Type="http://schemas.openxmlformats.org/officeDocument/2006/relationships/hyperlink" Target="https://www.argencon.org/ley-economia-conocimiento/" TargetMode="External"/><Relationship Id="rId12" Type="http://schemas.openxmlformats.org/officeDocument/2006/relationships/hyperlink" Target="https://www.argentina.gob.ar/servicio/acceder-los-beneficios-del-regimen-de-promocion-de-la-economia-del-conocimien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