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754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de comunicaciones para la integración de edificios y servicios de infraestructura digital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3888000" cy="2120727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12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 de los equipos de comunicaciones en las sedes incluidas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5839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75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3402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37"/>
        <w:gridCol w:w="362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73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628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02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Unitario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p>
      <w:pPr>
        <w:pStyle w:val="Heading1"/>
        <w:pageBreakBefore/>
      </w:pPr>
      <w:r>
        <w:t>Anexo 1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2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3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4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5 y documentación complementaria</w:t>
      </w:r>
    </w:p>
    <w:p>
      <w:r>
        <w:t>Ejemplo de contenido para comprobar la secuencia automática al insertar y mover secciones.</w:t>
      </w:r>
    </w:p>
    <w:p>
      <w:pPr>
        <w:pStyle w:val="Heading2"/>
      </w:pPr>
      <w:r>
        <w:t>Especificación complementaria 1</w:t>
      </w:r>
    </w:p>
    <w:p>
      <w:pPr>
        <w:pStyle w:val="Heading2"/>
        <w:spacing w:before="160"/>
      </w:pPr>
      <w:r>
        <w:t>Especificación complementaria 2</w:t>
      </w:r>
    </w:p>
    <w:p>
      <w:pPr>
        <w:pStyle w:val="Heading2"/>
        <w:spacing w:before="160"/>
      </w:pPr>
      <w:r>
        <w:t>Especificación complementaria 3</w:t>
      </w:r>
    </w:p>
    <w:p>
      <w:pPr>
        <w:pStyle w:val="Heading2"/>
        <w:spacing w:before="160"/>
      </w:pPr>
      <w:r>
        <w:t>Especificación complementaria 4</w:t>
      </w:r>
    </w:p>
    <w:p>
      <w:pPr>
        <w:pStyle w:val="Heading2"/>
        <w:spacing w:before="160"/>
      </w:pPr>
      <w:r>
        <w:t>Especificación complementaria 5</w:t>
      </w:r>
    </w:p>
    <w:p>
      <w:pPr>
        <w:pStyle w:val="Heading2"/>
        <w:spacing w:before="160"/>
      </w:pPr>
      <w:r>
        <w:t>Especificación complementaria 6</w:t>
      </w:r>
    </w:p>
    <w:p>
      <w:pPr>
        <w:pStyle w:val="Heading2"/>
        <w:spacing w:before="160"/>
      </w:pPr>
      <w:r>
        <w:t>Especificación complementaria 7</w:t>
      </w:r>
    </w:p>
    <w:p>
      <w:pPr>
        <w:pStyle w:val="Heading2"/>
        <w:spacing w:before="160"/>
      </w:pPr>
      <w:r>
        <w:t>Especificación complementaria 8</w:t>
      </w:r>
    </w:p>
    <w:p>
      <w:pPr>
        <w:pStyle w:val="Heading2"/>
        <w:spacing w:before="160"/>
      </w:pPr>
      <w:r>
        <w:t>Especificación complementaria 9</w:t>
      </w:r>
    </w:p>
    <w:p>
      <w:pPr>
        <w:pStyle w:val="Heading2"/>
        <w:spacing w:before="160"/>
      </w:pPr>
      <w:r>
        <w:t>Especificación complementaria 10</w:t>
      </w:r>
    </w:p>
    <w:p>
      <w:pPr>
        <w:pStyle w:val="Heading2"/>
        <w:spacing w:before="160"/>
      </w:pPr>
      <w:r>
        <w:t>Especificación complementaria 11</w:t>
      </w:r>
    </w:p>
    <w:p>
      <w:pPr>
        <w:pStyle w:val="Heading2"/>
        <w:spacing w:before="160"/>
      </w:pPr>
      <w:r>
        <w:t>Especificación complementaria 12</w:t>
      </w:r>
    </w:p>
    <w:p>
      <w:pPr>
        <w:pStyle w:val="Heading3"/>
        <w:spacing w:before="160"/>
      </w:pPr>
      <w:r>
        <w:t>Condiciones de interoperabilidad y validación técnica de los servicios que forman parte de la contratación</w:t>
      </w:r>
    </w:p>
    <w:p>
      <w:r>
        <w:t>La continuación del título conserva la línea izquierda del bloque, con el número dentro del texto y una separación corta.</w:t>
      </w:r>
    </w:p>
    <w:p>
      <w:pPr>
        <w:pStyle w:val="Heading1"/>
      </w:pPr>
      <w:r>
        <w:t>Anexo 6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7 y documentación complementaria</w:t>
      </w:r>
    </w:p>
    <w:p>
      <w:r>
        <w:t>Ejemplo de contenido para comprobar la secuencia automática al insertar y mover secciones.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